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FB24" w14:textId="7C9E32CB" w:rsidR="00310CFF" w:rsidRPr="003E7E99" w:rsidRDefault="00310CFF" w:rsidP="00310CF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01180C96" wp14:editId="12A7836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49F0B1"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w:t>
      </w:r>
      <w:r w:rsidRPr="003E7E99">
        <w:rPr>
          <w:b/>
          <w:lang w:eastAsia="zh-CN"/>
        </w:rPr>
        <w:tab/>
      </w:r>
      <w:r w:rsidRPr="00712356">
        <w:rPr>
          <w:b/>
          <w:lang w:eastAsia="zh-CN"/>
        </w:rPr>
        <w:t>R1-</w:t>
      </w:r>
      <w:r w:rsidR="00065D2E" w:rsidRPr="00712356">
        <w:rPr>
          <w:b/>
          <w:lang w:eastAsia="zh-CN"/>
        </w:rPr>
        <w:t>190</w:t>
      </w:r>
      <w:r w:rsidR="00065D2E" w:rsidRPr="00065D2E">
        <w:rPr>
          <w:b/>
          <w:lang w:eastAsia="zh-CN"/>
        </w:rPr>
        <w:t>3</w:t>
      </w:r>
      <w:r w:rsidR="005021DF">
        <w:rPr>
          <w:b/>
          <w:lang w:eastAsia="zh-CN"/>
        </w:rPr>
        <w:t>513</w:t>
      </w:r>
    </w:p>
    <w:p w14:paraId="1AC95D6F" w14:textId="77777777" w:rsidR="00310CFF" w:rsidRPr="003E7E99" w:rsidRDefault="00310CFF" w:rsidP="00310CFF">
      <w:pPr>
        <w:jc w:val="left"/>
        <w:rPr>
          <w:b/>
          <w:lang w:eastAsia="zh-CN"/>
        </w:rPr>
      </w:pPr>
      <w:r>
        <w:rPr>
          <w:b/>
          <w:lang w:eastAsia="zh-CN"/>
        </w:rPr>
        <w:t>Athens, Greece, Feb 25</w:t>
      </w:r>
      <w:r w:rsidRPr="008030FE">
        <w:rPr>
          <w:b/>
          <w:lang w:eastAsia="zh-CN"/>
        </w:rPr>
        <w:t xml:space="preserve"> – </w:t>
      </w:r>
      <w:r>
        <w:rPr>
          <w:b/>
          <w:lang w:eastAsia="zh-CN"/>
        </w:rPr>
        <w:t>March 1, 2019</w:t>
      </w:r>
    </w:p>
    <w:p w14:paraId="3A123E7F" w14:textId="77777777" w:rsidR="00310CFF" w:rsidRPr="000A0279" w:rsidRDefault="00310CFF" w:rsidP="00310CFF">
      <w:pPr>
        <w:pBdr>
          <w:top w:val="single" w:sz="4" w:space="1" w:color="auto"/>
        </w:pBdr>
        <w:spacing w:after="0"/>
        <w:jc w:val="left"/>
        <w:rPr>
          <w:b/>
          <w:kern w:val="2"/>
          <w:lang w:eastAsia="zh-CN"/>
        </w:rPr>
      </w:pPr>
    </w:p>
    <w:p w14:paraId="68F45970"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75B69FB3"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5021DF">
        <w:rPr>
          <w:b/>
          <w:lang w:eastAsia="zh-CN"/>
        </w:rPr>
        <w:t xml:space="preserve">Updated </w:t>
      </w:r>
      <w:r w:rsidR="00091CBE">
        <w:rPr>
          <w:b/>
          <w:lang w:eastAsia="zh-CN"/>
        </w:rPr>
        <w:t>f</w:t>
      </w:r>
      <w:r w:rsidR="00FD41BC">
        <w:rPr>
          <w:b/>
          <w:lang w:eastAsia="zh-CN"/>
        </w:rPr>
        <w:t xml:space="preserve">eature lead summary </w:t>
      </w:r>
      <w:bookmarkStart w:id="0"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0"/>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1" w:name="_Ref124589705"/>
      <w:bookmarkStart w:id="2" w:name="_Ref129681862"/>
      <w:r>
        <w:t>Introduction</w:t>
      </w:r>
    </w:p>
    <w:p w14:paraId="2FB55B2E" w14:textId="1F280D3C"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F96D90">
        <w:rPr>
          <w:rFonts w:eastAsia="MS Mincho"/>
          <w:lang w:eastAsia="ja-JP"/>
        </w:rPr>
        <w:fldChar w:fldCharType="begin"/>
      </w:r>
      <w:r w:rsidR="00F96D90">
        <w:rPr>
          <w:rFonts w:eastAsia="MS Mincho"/>
          <w:lang w:eastAsia="ja-JP"/>
        </w:rPr>
        <w:instrText xml:space="preserve"> REF _Ref457225889 \r \h </w:instrText>
      </w:r>
      <w:r w:rsidR="00F96D90">
        <w:rPr>
          <w:rFonts w:eastAsia="MS Mincho"/>
          <w:lang w:eastAsia="ja-JP"/>
        </w:rPr>
      </w:r>
      <w:r w:rsidR="00F96D90">
        <w:rPr>
          <w:rFonts w:eastAsia="MS Mincho"/>
          <w:lang w:eastAsia="ja-JP"/>
        </w:rPr>
        <w:fldChar w:fldCharType="separate"/>
      </w:r>
      <w:r w:rsidR="00FF0EA8">
        <w:rPr>
          <w:rFonts w:eastAsia="MS Mincho"/>
          <w:lang w:eastAsia="ja-JP"/>
        </w:rPr>
        <w:t>[1]</w:t>
      </w:r>
      <w:r w:rsidR="00F96D9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3" w:name="_Hlk515906322"/>
            <w:r w:rsidRPr="00460844">
              <w:rPr>
                <w:b/>
                <w:bCs/>
              </w:rPr>
              <w:t xml:space="preserve"> and/or UE power consumption</w:t>
            </w:r>
            <w:bookmarkEnd w:id="3"/>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4D3BBE69" w14:textId="04CE86DB" w:rsidR="00387665" w:rsidRPr="00B84B2D" w:rsidRDefault="002F1F4A" w:rsidP="00D23EEB">
            <w:pPr>
              <w:numPr>
                <w:ilvl w:val="1"/>
                <w:numId w:val="10"/>
              </w:numPr>
              <w:overflowPunct w:val="0"/>
              <w:snapToGrid/>
              <w:spacing w:after="0"/>
              <w:jc w:val="left"/>
              <w:textAlignment w:val="baseline"/>
              <w:rPr>
                <w:bCs/>
              </w:rPr>
            </w:pPr>
            <w:r w:rsidRPr="00460844">
              <w:rPr>
                <w:bCs/>
              </w:rPr>
              <w:t>Note: This is limited to orthogonal (multi) access schemes</w:t>
            </w:r>
          </w:p>
        </w:tc>
      </w:tr>
    </w:tbl>
    <w:p w14:paraId="793A3193" w14:textId="1B5C5F85"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preconfigured resources in RAN1#</w:t>
      </w:r>
      <w:r>
        <w:rPr>
          <w:kern w:val="2"/>
          <w:lang w:val="en-GB" w:eastAsia="zh-CN"/>
        </w:rPr>
        <w:t>94</w:t>
      </w:r>
      <w:r w:rsidR="002E7ADD">
        <w:rPr>
          <w:kern w:val="2"/>
          <w:lang w:val="en-GB" w:eastAsia="zh-CN"/>
        </w:rPr>
        <w:t xml:space="preserve"> </w:t>
      </w:r>
      <w:r w:rsidR="002E7ADD">
        <w:rPr>
          <w:kern w:val="2"/>
          <w:lang w:val="en-GB" w:eastAsia="zh-CN"/>
        </w:rPr>
        <w:fldChar w:fldCharType="begin"/>
      </w:r>
      <w:r w:rsidR="002E7ADD">
        <w:rPr>
          <w:kern w:val="2"/>
          <w:lang w:val="en-GB" w:eastAsia="zh-CN"/>
        </w:rPr>
        <w:instrText xml:space="preserve"> REF _Ref1641762 \r \h </w:instrText>
      </w:r>
      <w:r w:rsidR="002E7ADD">
        <w:rPr>
          <w:kern w:val="2"/>
          <w:lang w:val="en-GB" w:eastAsia="zh-CN"/>
        </w:rPr>
      </w:r>
      <w:r w:rsidR="002E7ADD">
        <w:rPr>
          <w:kern w:val="2"/>
          <w:lang w:val="en-GB" w:eastAsia="zh-CN"/>
        </w:rPr>
        <w:fldChar w:fldCharType="separate"/>
      </w:r>
      <w:r w:rsidR="00FF0EA8">
        <w:rPr>
          <w:kern w:val="2"/>
          <w:lang w:val="en-GB" w:eastAsia="zh-CN"/>
        </w:rPr>
        <w:t>[2]</w:t>
      </w:r>
      <w:r w:rsidR="002E7ADD">
        <w:rPr>
          <w:kern w:val="2"/>
          <w:lang w:val="en-GB" w:eastAsia="zh-CN"/>
        </w:rPr>
        <w:fldChar w:fldCharType="end"/>
      </w:r>
      <w:r w:rsidR="00461067">
        <w:rPr>
          <w:kern w:val="2"/>
          <w:lang w:val="en-GB" w:eastAsia="zh-CN"/>
        </w:rPr>
        <w:t>,</w:t>
      </w:r>
      <w:r>
        <w:rPr>
          <w:kern w:val="2"/>
          <w:lang w:val="en-GB" w:eastAsia="zh-CN"/>
        </w:rPr>
        <w:t xml:space="preserve"> RAN1</w:t>
      </w:r>
      <w:r w:rsidR="000E5353">
        <w:rPr>
          <w:kern w:val="2"/>
          <w:lang w:val="en-GB" w:eastAsia="zh-CN"/>
        </w:rPr>
        <w:t>#</w:t>
      </w:r>
      <w:r>
        <w:rPr>
          <w:kern w:val="2"/>
          <w:lang w:val="en-GB" w:eastAsia="zh-CN"/>
        </w:rPr>
        <w:t xml:space="preserve">94b </w:t>
      </w:r>
      <w:r w:rsidR="002E7ADD">
        <w:rPr>
          <w:kern w:val="2"/>
          <w:lang w:val="en-GB" w:eastAsia="zh-CN"/>
        </w:rPr>
        <w:fldChar w:fldCharType="begin"/>
      </w:r>
      <w:r w:rsidR="002E7ADD">
        <w:rPr>
          <w:kern w:val="2"/>
          <w:lang w:val="en-GB" w:eastAsia="zh-CN"/>
        </w:rPr>
        <w:instrText xml:space="preserve"> REF _Ref1641766 \r \h </w:instrText>
      </w:r>
      <w:r w:rsidR="002E7ADD">
        <w:rPr>
          <w:kern w:val="2"/>
          <w:lang w:val="en-GB" w:eastAsia="zh-CN"/>
        </w:rPr>
      </w:r>
      <w:r w:rsidR="002E7ADD">
        <w:rPr>
          <w:kern w:val="2"/>
          <w:lang w:val="en-GB" w:eastAsia="zh-CN"/>
        </w:rPr>
        <w:fldChar w:fldCharType="separate"/>
      </w:r>
      <w:r w:rsidR="00FF0EA8">
        <w:rPr>
          <w:kern w:val="2"/>
          <w:lang w:val="en-GB" w:eastAsia="zh-CN"/>
        </w:rPr>
        <w:t>[3]</w:t>
      </w:r>
      <w:r w:rsidR="002E7ADD">
        <w:rPr>
          <w:kern w:val="2"/>
          <w:lang w:val="en-GB" w:eastAsia="zh-CN"/>
        </w:rPr>
        <w:fldChar w:fldCharType="end"/>
      </w:r>
      <w:r w:rsidR="000E5353">
        <w:rPr>
          <w:kern w:val="2"/>
          <w:lang w:val="en-GB" w:eastAsia="zh-CN"/>
        </w:rPr>
        <w:t xml:space="preserve"> and</w:t>
      </w:r>
      <w:r w:rsidR="00461067">
        <w:rPr>
          <w:kern w:val="2"/>
          <w:lang w:val="en-GB" w:eastAsia="zh-CN"/>
        </w:rPr>
        <w:t xml:space="preserve"> RAN1</w:t>
      </w:r>
      <w:r w:rsidR="000E5353">
        <w:rPr>
          <w:kern w:val="2"/>
          <w:lang w:val="en-GB" w:eastAsia="zh-CN"/>
        </w:rPr>
        <w:t>#</w:t>
      </w:r>
      <w:r w:rsidR="00461067">
        <w:rPr>
          <w:kern w:val="2"/>
          <w:lang w:val="en-GB" w:eastAsia="zh-CN"/>
        </w:rPr>
        <w:t>95</w:t>
      </w:r>
      <w:r>
        <w:rPr>
          <w:kern w:val="2"/>
          <w:lang w:val="en-GB" w:eastAsia="zh-CN"/>
        </w:rPr>
        <w:t xml:space="preserve"> </w:t>
      </w:r>
      <w:r w:rsidR="002E7ADD">
        <w:rPr>
          <w:kern w:val="2"/>
          <w:lang w:val="en-GB" w:eastAsia="zh-CN"/>
        </w:rPr>
        <w:fldChar w:fldCharType="begin"/>
      </w:r>
      <w:r w:rsidR="002E7ADD">
        <w:rPr>
          <w:kern w:val="2"/>
          <w:lang w:val="en-GB" w:eastAsia="zh-CN"/>
        </w:rPr>
        <w:instrText xml:space="preserve"> REF _Ref1641770 \r \h </w:instrText>
      </w:r>
      <w:r w:rsidR="002E7ADD">
        <w:rPr>
          <w:kern w:val="2"/>
          <w:lang w:val="en-GB" w:eastAsia="zh-CN"/>
        </w:rPr>
      </w:r>
      <w:r w:rsidR="002E7ADD">
        <w:rPr>
          <w:kern w:val="2"/>
          <w:lang w:val="en-GB" w:eastAsia="zh-CN"/>
        </w:rPr>
        <w:fldChar w:fldCharType="separate"/>
      </w:r>
      <w:r w:rsidR="00FF0EA8">
        <w:rPr>
          <w:kern w:val="2"/>
          <w:lang w:val="en-GB" w:eastAsia="zh-CN"/>
        </w:rPr>
        <w:t>[4]</w:t>
      </w:r>
      <w:r w:rsidR="002E7ADD">
        <w:rPr>
          <w:kern w:val="2"/>
          <w:lang w:val="en-GB" w:eastAsia="zh-CN"/>
        </w:rPr>
        <w:fldChar w:fldCharType="end"/>
      </w:r>
      <w:r w:rsidR="004E6B56">
        <w:rPr>
          <w:kern w:val="2"/>
          <w:lang w:val="en-GB" w:eastAsia="zh-CN"/>
        </w:rPr>
        <w:t xml:space="preserve"> </w:t>
      </w:r>
      <w:r>
        <w:rPr>
          <w:kern w:val="2"/>
          <w:lang w:val="en-GB" w:eastAsia="zh-CN"/>
        </w:rPr>
        <w:t>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1EFF928A" w14:textId="675CD26F" w:rsidR="00461067" w:rsidRPr="008D42C8" w:rsidRDefault="00461067" w:rsidP="00851131">
      <w:pPr>
        <w:spacing w:beforeLines="50" w:before="120"/>
        <w:rPr>
          <w:b/>
          <w:kern w:val="2"/>
          <w:lang w:eastAsia="zh-CN"/>
        </w:rPr>
      </w:pPr>
      <w:r w:rsidRPr="008D42C8">
        <w:rPr>
          <w:rFonts w:hint="eastAsia"/>
          <w:b/>
          <w:kern w:val="2"/>
          <w:lang w:eastAsia="zh-CN"/>
        </w:rPr>
        <w:lastRenderedPageBreak/>
        <w:t>RAN1#95</w:t>
      </w:r>
    </w:p>
    <w:tbl>
      <w:tblPr>
        <w:tblStyle w:val="TableGrid"/>
        <w:tblW w:w="0" w:type="auto"/>
        <w:tblLook w:val="04A0" w:firstRow="1" w:lastRow="0" w:firstColumn="1" w:lastColumn="0" w:noHBand="0" w:noVBand="1"/>
      </w:tblPr>
      <w:tblGrid>
        <w:gridCol w:w="9307"/>
      </w:tblGrid>
      <w:tr w:rsidR="00461067" w:rsidRPr="00250828" w14:paraId="2EB16AD9" w14:textId="77777777" w:rsidTr="00250CD0">
        <w:tc>
          <w:tcPr>
            <w:tcW w:w="9307" w:type="dxa"/>
          </w:tcPr>
          <w:p w14:paraId="44174A69" w14:textId="77777777" w:rsidR="00461067" w:rsidRPr="00250828" w:rsidRDefault="00461067" w:rsidP="00250CD0">
            <w:pPr>
              <w:autoSpaceDE/>
              <w:autoSpaceDN/>
              <w:adjustRightInd/>
              <w:snapToGrid/>
              <w:spacing w:after="0"/>
              <w:ind w:left="1134" w:hanging="1134"/>
              <w:rPr>
                <w:rFonts w:eastAsia="MS Mincho"/>
                <w:b/>
                <w:highlight w:val="green"/>
                <w:lang w:val="en-GB" w:eastAsia="sv-SE"/>
              </w:rPr>
            </w:pPr>
            <w:r w:rsidRPr="00250828">
              <w:rPr>
                <w:rFonts w:eastAsia="MS Mincho"/>
                <w:b/>
                <w:highlight w:val="green"/>
                <w:lang w:val="en-GB" w:eastAsia="sv-SE"/>
              </w:rPr>
              <w:t xml:space="preserve">Agreement </w:t>
            </w:r>
          </w:p>
          <w:p w14:paraId="4C8E81B9" w14:textId="77777777" w:rsidR="00461067" w:rsidRPr="00250828" w:rsidRDefault="00461067" w:rsidP="00250CD0">
            <w:pPr>
              <w:autoSpaceDE/>
              <w:autoSpaceDN/>
              <w:adjustRightInd/>
              <w:snapToGrid/>
              <w:spacing w:after="0"/>
              <w:rPr>
                <w:rFonts w:eastAsia="MS Mincho"/>
                <w:lang w:val="en-GB" w:eastAsia="sv-SE"/>
              </w:rPr>
            </w:pPr>
            <w:r w:rsidRPr="00250828">
              <w:rPr>
                <w:rFonts w:eastAsia="MS Mincho"/>
                <w:lang w:val="en-GB" w:eastAsia="sv-SE"/>
              </w:rPr>
              <w:t>In idle mode, at least the following TA validation attributes are supported:</w:t>
            </w:r>
          </w:p>
          <w:p w14:paraId="12137F69"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changes (serving cell refers the cell that the UE is camping on)</w:t>
            </w:r>
          </w:p>
          <w:p w14:paraId="110B9386"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 xml:space="preserve">Time Alignment Timer for idle mode </w:t>
            </w:r>
          </w:p>
          <w:p w14:paraId="04272DE3"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NRSRP changes (serving cell refers the cell that the UE is camping on)</w:t>
            </w:r>
          </w:p>
          <w:p w14:paraId="6E180566" w14:textId="77777777" w:rsidR="00461067" w:rsidRPr="00250828" w:rsidRDefault="00461067" w:rsidP="00F01520">
            <w:pPr>
              <w:numPr>
                <w:ilvl w:val="1"/>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Based on NRSRP measurement definition in existing Rel-15 TS36.214</w:t>
            </w:r>
          </w:p>
          <w:p w14:paraId="2A941324" w14:textId="77777777" w:rsidR="00461067" w:rsidRPr="00250828" w:rsidRDefault="00461067" w:rsidP="00250CD0">
            <w:pPr>
              <w:autoSpaceDE/>
              <w:autoSpaceDN/>
              <w:adjustRightInd/>
              <w:snapToGrid/>
              <w:spacing w:after="0"/>
              <w:jc w:val="left"/>
              <w:rPr>
                <w:rFonts w:eastAsia="Batang"/>
                <w:highlight w:val="green"/>
                <w:lang w:val="en-GB" w:eastAsia="x-none"/>
              </w:rPr>
            </w:pPr>
            <w:r w:rsidRPr="00250828">
              <w:rPr>
                <w:rFonts w:eastAsia="Batang"/>
                <w:lang w:val="en-GB" w:eastAsia="x-none"/>
              </w:rPr>
              <w:t xml:space="preserve">Send LS to RAN2, RAN4 to consider in their work. All the agreements with ‘include in LS to RAN2, RAN4’ for NB-IoT and eMTC should be captured in this LS. </w:t>
            </w:r>
            <w:r w:rsidRPr="00250828">
              <w:rPr>
                <w:rFonts w:eastAsia="Batang"/>
                <w:highlight w:val="green"/>
                <w:lang w:val="en-GB" w:eastAsia="x-none"/>
              </w:rPr>
              <w:t>The LS is endorsed in R1-1813778</w:t>
            </w:r>
          </w:p>
          <w:p w14:paraId="0DAF13F0" w14:textId="77777777" w:rsidR="00461067" w:rsidRPr="00250828" w:rsidRDefault="00461067" w:rsidP="00250CD0">
            <w:pPr>
              <w:autoSpaceDE/>
              <w:autoSpaceDN/>
              <w:adjustRightInd/>
              <w:snapToGrid/>
              <w:spacing w:after="0"/>
              <w:jc w:val="left"/>
              <w:rPr>
                <w:rFonts w:eastAsia="Batang"/>
                <w:lang w:val="en-GB" w:eastAsia="x-none"/>
              </w:rPr>
            </w:pPr>
          </w:p>
          <w:p w14:paraId="109C9916" w14:textId="77777777" w:rsidR="00461067" w:rsidRPr="00250828" w:rsidRDefault="00461067" w:rsidP="00250CD0">
            <w:pPr>
              <w:autoSpaceDE/>
              <w:autoSpaceDN/>
              <w:adjustRightInd/>
              <w:snapToGrid/>
              <w:spacing w:after="0"/>
              <w:ind w:left="1134" w:hanging="1134"/>
              <w:rPr>
                <w:rFonts w:eastAsia="Times New Roman"/>
                <w:b/>
                <w:highlight w:val="green"/>
              </w:rPr>
            </w:pPr>
            <w:r w:rsidRPr="00250828">
              <w:rPr>
                <w:rFonts w:eastAsia="Times New Roman"/>
                <w:b/>
                <w:highlight w:val="green"/>
              </w:rPr>
              <w:t>Agreement</w:t>
            </w:r>
          </w:p>
          <w:p w14:paraId="62A98BA0" w14:textId="77777777" w:rsidR="00461067" w:rsidRPr="00250828" w:rsidRDefault="00461067" w:rsidP="00250CD0">
            <w:pPr>
              <w:autoSpaceDE/>
              <w:autoSpaceDN/>
              <w:adjustRightInd/>
              <w:snapToGrid/>
              <w:spacing w:after="0"/>
              <w:rPr>
                <w:rFonts w:eastAsia="Times New Roman"/>
              </w:rPr>
            </w:pPr>
            <w:r w:rsidRPr="00250828">
              <w:rPr>
                <w:rFonts w:eastAsia="Times New Roman"/>
              </w:rPr>
              <w:t>The UE can be configured to use at least these TA validation attributes:</w:t>
            </w:r>
          </w:p>
          <w:p w14:paraId="1D5E6087"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Time Alignment Timer for idle mode </w:t>
            </w:r>
          </w:p>
          <w:p w14:paraId="48A9E7FE"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Serving cell NRSRP changes </w:t>
            </w:r>
          </w:p>
          <w:p w14:paraId="3935EA05"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Note: the configuration shall support disabling of the TA validation attributes</w:t>
            </w:r>
          </w:p>
          <w:p w14:paraId="645F8720"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3FCFB124" w14:textId="77777777" w:rsidR="00461067" w:rsidRPr="00250828" w:rsidRDefault="00461067" w:rsidP="00250CD0">
            <w:pPr>
              <w:autoSpaceDE/>
              <w:autoSpaceDN/>
              <w:adjustRightInd/>
              <w:snapToGrid/>
              <w:spacing w:after="0"/>
              <w:jc w:val="left"/>
              <w:rPr>
                <w:rFonts w:eastAsia="Batang"/>
                <w:lang w:val="en-GB" w:eastAsia="x-none"/>
              </w:rPr>
            </w:pPr>
          </w:p>
          <w:p w14:paraId="1DCB75BE" w14:textId="77777777" w:rsidR="00461067" w:rsidRPr="00250828" w:rsidRDefault="00461067" w:rsidP="00250CD0">
            <w:pPr>
              <w:autoSpaceDE/>
              <w:autoSpaceDN/>
              <w:adjustRightInd/>
              <w:snapToGrid/>
              <w:spacing w:after="0"/>
              <w:jc w:val="left"/>
              <w:rPr>
                <w:rFonts w:eastAsia="Batang"/>
                <w:b/>
                <w:lang w:val="en-GB" w:eastAsia="x-none"/>
              </w:rPr>
            </w:pPr>
            <w:r w:rsidRPr="00250828">
              <w:rPr>
                <w:rFonts w:eastAsia="Batang"/>
                <w:b/>
                <w:lang w:val="en-GB" w:eastAsia="x-none"/>
              </w:rPr>
              <w:t>For further study:</w:t>
            </w:r>
          </w:p>
          <w:p w14:paraId="2170AE53"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eastAsia="x-none"/>
              </w:rPr>
              <w:t>TA validation attributes:</w:t>
            </w:r>
          </w:p>
          <w:p w14:paraId="7ADC77BF"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Subscription based UE differentiation (or Stationary indication in held in subscription)</w:t>
            </w:r>
          </w:p>
          <w:p w14:paraId="76EAD32B"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Cell specific indication where TA is valid within that cell</w:t>
            </w:r>
          </w:p>
          <w:p w14:paraId="29B4115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7C09B554" w14:textId="77777777" w:rsidR="00461067" w:rsidRPr="00250828" w:rsidRDefault="00461067" w:rsidP="00250CD0">
            <w:pPr>
              <w:autoSpaceDE/>
              <w:autoSpaceDN/>
              <w:adjustRightInd/>
              <w:snapToGrid/>
              <w:spacing w:after="0"/>
              <w:jc w:val="left"/>
              <w:rPr>
                <w:rFonts w:ascii="Times" w:eastAsia="Malgun Gothic" w:hAnsi="Times"/>
                <w:b/>
                <w:highlight w:val="green"/>
                <w:lang w:val="en-GB"/>
              </w:rPr>
            </w:pPr>
            <w:r w:rsidRPr="00250828">
              <w:rPr>
                <w:rFonts w:ascii="Times" w:eastAsia="Malgun Gothic" w:hAnsi="Times"/>
                <w:b/>
                <w:highlight w:val="green"/>
                <w:lang w:val="en-GB"/>
              </w:rPr>
              <w:t>Agreement</w:t>
            </w:r>
          </w:p>
          <w:p w14:paraId="1B7E5459"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5876A57C" w14:textId="77777777" w:rsidR="00461067" w:rsidRPr="00250828" w:rsidRDefault="00461067" w:rsidP="00250CD0">
            <w:pPr>
              <w:autoSpaceDE/>
              <w:autoSpaceDN/>
              <w:adjustRightInd/>
              <w:snapToGrid/>
              <w:spacing w:after="0"/>
              <w:jc w:val="left"/>
              <w:rPr>
                <w:rFonts w:ascii="Times" w:eastAsia="Malgun Gothic" w:hAnsi="Times"/>
                <w:lang w:val="en-GB"/>
              </w:rPr>
            </w:pPr>
            <w:r w:rsidRPr="00250828">
              <w:rPr>
                <w:rFonts w:ascii="Times" w:eastAsia="Malgun Gothic" w:hAnsi="Times"/>
                <w:lang w:val="en-GB"/>
              </w:rPr>
              <w:t xml:space="preserve">RAN1 assumes that a UE transitioning from EDT/connected to idle mode can use the valid TA that was used while in EDT/connected mode. </w:t>
            </w:r>
          </w:p>
          <w:p w14:paraId="5AB76701"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48F76CDA"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5717B8B7" w14:textId="77777777" w:rsidR="00461067" w:rsidRPr="00250828" w:rsidRDefault="00461067" w:rsidP="00250CD0">
            <w:p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For dedicated PUR in idle mode, the UE may skip UL transmissions.</w:t>
            </w:r>
          </w:p>
          <w:p w14:paraId="4416364C"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Resource release mechanism</w:t>
            </w:r>
          </w:p>
          <w:p w14:paraId="232DD814"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Whether or not to support mechanism to disable skipping by eNB</w:t>
            </w:r>
          </w:p>
          <w:p w14:paraId="30C7424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67462416"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08E343BA"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In idle mode, only one HARQ process is supported for dedicated PUR</w:t>
            </w:r>
          </w:p>
          <w:p w14:paraId="11A9E0FC"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3D28CFAE" w14:textId="77777777" w:rsidR="00461067" w:rsidRPr="00250828" w:rsidRDefault="00461067" w:rsidP="00250CD0">
            <w:pPr>
              <w:autoSpaceDE/>
              <w:autoSpaceDN/>
              <w:adjustRightInd/>
              <w:snapToGrid/>
              <w:spacing w:after="0"/>
              <w:jc w:val="left"/>
              <w:rPr>
                <w:rFonts w:ascii="Times" w:eastAsia="Batang" w:hAnsi="Times"/>
                <w:b/>
                <w:highlight w:val="green"/>
                <w:lang w:val="en-GB" w:eastAsia="zh-CN"/>
              </w:rPr>
            </w:pPr>
            <w:r w:rsidRPr="00250828">
              <w:rPr>
                <w:rFonts w:ascii="Times" w:eastAsia="Batang" w:hAnsi="Times"/>
                <w:b/>
                <w:highlight w:val="green"/>
                <w:lang w:val="en-GB" w:eastAsia="zh-CN"/>
              </w:rPr>
              <w:t>Agreement</w:t>
            </w:r>
          </w:p>
          <w:p w14:paraId="61B41F86"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For dedicated PUR in idle mode, UL grant for HARQ retransmission is transmitted in search space</w:t>
            </w:r>
          </w:p>
          <w:p w14:paraId="562A454C" w14:textId="77777777" w:rsidR="00461067" w:rsidRPr="00250828" w:rsidRDefault="00461067" w:rsidP="00F01520">
            <w:pPr>
              <w:numPr>
                <w:ilvl w:val="0"/>
                <w:numId w:val="27"/>
              </w:num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FFS: Details on the search space (for example USS, CSS)</w:t>
            </w:r>
          </w:p>
        </w:tc>
      </w:tr>
    </w:tbl>
    <w:p w14:paraId="2FE50AB0" w14:textId="31180F8C" w:rsidR="004F6A83" w:rsidRPr="00851131" w:rsidRDefault="00D27779" w:rsidP="00851131">
      <w:pPr>
        <w:spacing w:beforeLines="50" w:before="120"/>
        <w:rPr>
          <w:kern w:val="2"/>
          <w:lang w:val="en-GB" w:eastAsia="zh-CN"/>
        </w:rPr>
      </w:pPr>
      <w:r>
        <w:rPr>
          <w:rFonts w:hint="eastAsia"/>
          <w:kern w:val="2"/>
          <w:lang w:val="en-GB" w:eastAsia="zh-CN"/>
        </w:rPr>
        <w:t xml:space="preserve">This contribution </w:t>
      </w:r>
      <w:r w:rsidR="0016755E">
        <w:rPr>
          <w:kern w:val="2"/>
          <w:lang w:val="en-GB" w:eastAsia="zh-CN"/>
        </w:rPr>
        <w:t xml:space="preserve">is the </w:t>
      </w:r>
      <w:r w:rsidR="00E3436C">
        <w:rPr>
          <w:kern w:val="2"/>
          <w:lang w:val="en-GB" w:eastAsia="zh-CN"/>
        </w:rPr>
        <w:t xml:space="preserve">updated </w:t>
      </w:r>
      <w:r w:rsidR="0016755E">
        <w:rPr>
          <w:kern w:val="2"/>
          <w:lang w:val="en-GB" w:eastAsia="zh-CN"/>
        </w:rPr>
        <w:t xml:space="preserve">feature lead summary </w:t>
      </w:r>
      <w:r w:rsidR="00E3436C">
        <w:rPr>
          <w:kern w:val="2"/>
          <w:lang w:val="en-GB" w:eastAsia="zh-CN"/>
        </w:rPr>
        <w:t xml:space="preserve">to be discussed in the </w:t>
      </w:r>
      <w:bookmarkStart w:id="4" w:name="_GoBack"/>
      <w:bookmarkEnd w:id="4"/>
      <w:r w:rsidR="0016755E">
        <w:rPr>
          <w:kern w:val="2"/>
          <w:lang w:val="en-GB" w:eastAsia="zh-CN"/>
        </w:rPr>
        <w:t>comeback session</w:t>
      </w:r>
      <w:r w:rsidR="00A41B8A">
        <w:rPr>
          <w:kern w:val="2"/>
          <w:lang w:val="en-GB" w:eastAsia="zh-CN"/>
        </w:rPr>
        <w:t>.</w:t>
      </w:r>
    </w:p>
    <w:bookmarkEnd w:id="1"/>
    <w:bookmarkEnd w:id="2"/>
    <w:p w14:paraId="7AF23BD4" w14:textId="4147F86C" w:rsidR="00C84A24" w:rsidRDefault="00C84A24" w:rsidP="00C84A24">
      <w:pPr>
        <w:pStyle w:val="Heading1"/>
      </w:pPr>
      <w:r>
        <w:t xml:space="preserve">From </w:t>
      </w:r>
      <w:r w:rsidR="00303D6E">
        <w:t>Monday</w:t>
      </w:r>
      <w:r>
        <w:t xml:space="preserve"> online PUR session </w:t>
      </w:r>
    </w:p>
    <w:p w14:paraId="7E9EA4D2" w14:textId="77777777" w:rsidR="00C84A24" w:rsidRPr="00E84F88" w:rsidRDefault="00C84A24" w:rsidP="00C84A24">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2725FB09" w14:textId="77777777" w:rsidR="00C84A24" w:rsidRPr="00730A98" w:rsidRDefault="00C84A24" w:rsidP="00C84A24">
      <w:pPr>
        <w:rPr>
          <w:lang w:eastAsia="en-GB"/>
        </w:rPr>
      </w:pPr>
      <w:r w:rsidRPr="00730A98">
        <w:rPr>
          <w:kern w:val="2"/>
        </w:rPr>
        <w:t>When the UE is configured to use several TA validation criteria, the TA is valid only when all the configured TA validation criteria are satisfied.</w:t>
      </w:r>
    </w:p>
    <w:p w14:paraId="13DEC106" w14:textId="77777777" w:rsidR="00C84A24" w:rsidRDefault="00C84A24" w:rsidP="00C84A24">
      <w:pPr>
        <w:rPr>
          <w:lang w:eastAsia="x-none"/>
        </w:rPr>
      </w:pPr>
    </w:p>
    <w:p w14:paraId="639FBEBF"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02658EBD" w14:textId="77777777" w:rsidR="00C84A24" w:rsidRPr="009B58BF" w:rsidRDefault="00C84A24" w:rsidP="00C84A24">
      <w:pPr>
        <w:rPr>
          <w:szCs w:val="32"/>
          <w:lang w:eastAsia="en-GB"/>
        </w:rPr>
      </w:pPr>
      <w:r w:rsidRPr="009B58BF">
        <w:rPr>
          <w:szCs w:val="32"/>
          <w:lang w:eastAsia="en-GB"/>
        </w:rPr>
        <w:t>The value of infinity is supported for both the Time Alignment Timer for idle mode and for the NRSRP change threshold.</w:t>
      </w:r>
    </w:p>
    <w:p w14:paraId="0D21AAFA" w14:textId="77777777" w:rsidR="00C84A24" w:rsidRDefault="00C84A24" w:rsidP="00C84A24">
      <w:pPr>
        <w:rPr>
          <w:lang w:eastAsia="x-none"/>
        </w:rPr>
      </w:pPr>
    </w:p>
    <w:p w14:paraId="5FA8E2C8"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6D10F8B2" w14:textId="77777777" w:rsidR="00C84A24" w:rsidRPr="00F97A99" w:rsidRDefault="00C84A24" w:rsidP="00C84A24">
      <w:pPr>
        <w:pStyle w:val="ListParagraph"/>
        <w:rPr>
          <w:szCs w:val="22"/>
          <w:lang w:eastAsia="en-GB"/>
        </w:rPr>
      </w:pPr>
      <w:r w:rsidRPr="00F97A99">
        <w:rPr>
          <w:szCs w:val="22"/>
          <w:lang w:eastAsia="en-GB"/>
        </w:rPr>
        <w:t>TA value for UE transitioning from connected to idle mode:</w:t>
      </w:r>
    </w:p>
    <w:p w14:paraId="3F21C4B8" w14:textId="77777777" w:rsidR="00C84A24" w:rsidRPr="00F97A99" w:rsidRDefault="00C84A24" w:rsidP="00C84A24">
      <w:pPr>
        <w:pStyle w:val="BodyText"/>
        <w:numPr>
          <w:ilvl w:val="0"/>
          <w:numId w:val="41"/>
        </w:numPr>
        <w:autoSpaceDE/>
        <w:autoSpaceDN/>
        <w:adjustRightInd/>
        <w:snapToGrid/>
        <w:spacing w:afterLines="50"/>
        <w:jc w:val="left"/>
        <w:rPr>
          <w:szCs w:val="22"/>
          <w:lang w:eastAsia="ko-KR"/>
        </w:rPr>
      </w:pPr>
      <w:r w:rsidRPr="00F97A99">
        <w:rPr>
          <w:szCs w:val="22"/>
          <w:lang w:val="en-US" w:eastAsia="ko-KR"/>
        </w:rPr>
        <w:t>An i</w:t>
      </w:r>
      <w:r w:rsidRPr="00F97A99">
        <w:rPr>
          <w:szCs w:val="22"/>
          <w:lang w:eastAsia="ko-KR"/>
        </w:rPr>
        <w:t xml:space="preserve">dle UE can reuse the last TA command in serving cell before going to idle for transmission in PUR if it is still valid according to the configured TA validation attributes </w:t>
      </w:r>
    </w:p>
    <w:p w14:paraId="0D848AA8" w14:textId="77777777" w:rsidR="00C84A24" w:rsidRDefault="00C84A24" w:rsidP="00C84A24">
      <w:pPr>
        <w:rPr>
          <w:lang w:eastAsia="x-none"/>
        </w:rPr>
      </w:pPr>
    </w:p>
    <w:p w14:paraId="30C81145"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064B4D6D" w14:textId="77777777" w:rsidR="00C84A24" w:rsidRPr="00CA4E43" w:rsidRDefault="00C84A24" w:rsidP="00C84A24">
      <w:pPr>
        <w:rPr>
          <w:szCs w:val="20"/>
          <w:lang w:eastAsia="en-GB"/>
        </w:rPr>
      </w:pPr>
      <w:r w:rsidRPr="00CA4E43">
        <w:rPr>
          <w:szCs w:val="20"/>
          <w:lang w:eastAsia="en-GB"/>
        </w:rPr>
        <w:t>When the TA is invalid, the UE may obtain TA via legacy RACH or EDT</w:t>
      </w:r>
    </w:p>
    <w:p w14:paraId="11E5FB68" w14:textId="77777777" w:rsidR="00C84A24" w:rsidRPr="00CA4E43" w:rsidRDefault="00C84A24" w:rsidP="00C84A24">
      <w:pPr>
        <w:pStyle w:val="ListParagraph"/>
        <w:widowControl/>
        <w:numPr>
          <w:ilvl w:val="0"/>
          <w:numId w:val="19"/>
        </w:numPr>
        <w:autoSpaceDE/>
        <w:autoSpaceDN/>
        <w:adjustRightInd/>
        <w:spacing w:afterLines="100" w:after="240" w:line="240" w:lineRule="auto"/>
        <w:ind w:firstLineChars="0"/>
        <w:rPr>
          <w:szCs w:val="20"/>
          <w:lang w:eastAsia="en-GB"/>
        </w:rPr>
      </w:pPr>
      <w:r w:rsidRPr="00CA4E43">
        <w:rPr>
          <w:szCs w:val="20"/>
          <w:lang w:eastAsia="en-GB"/>
        </w:rPr>
        <w:t>FFS other mechanisms for TA update</w:t>
      </w:r>
    </w:p>
    <w:p w14:paraId="3EEA9016" w14:textId="77777777" w:rsidR="00C84A24" w:rsidRDefault="00C84A24" w:rsidP="00C84A24">
      <w:pPr>
        <w:rPr>
          <w:lang w:eastAsia="x-none"/>
        </w:rPr>
      </w:pPr>
    </w:p>
    <w:p w14:paraId="47A66486"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556B3BED" w14:textId="77777777" w:rsidR="00C84A24" w:rsidRPr="007043FF" w:rsidRDefault="00C84A24" w:rsidP="00C84A24">
      <w:pPr>
        <w:rPr>
          <w:szCs w:val="20"/>
          <w:lang w:eastAsia="en-GB"/>
        </w:rPr>
      </w:pPr>
      <w:r w:rsidRPr="007043FF">
        <w:rPr>
          <w:szCs w:val="20"/>
          <w:lang w:eastAsia="zh-CN"/>
        </w:rPr>
        <w:t>Support both UE triggered and eNB triggered resource release mechanism</w:t>
      </w:r>
    </w:p>
    <w:p w14:paraId="0DE6C55F" w14:textId="77777777" w:rsidR="00C84A24" w:rsidRPr="007043FF" w:rsidRDefault="00C84A24" w:rsidP="00C84A24">
      <w:pPr>
        <w:pStyle w:val="ListParagraph"/>
        <w:widowControl/>
        <w:numPr>
          <w:ilvl w:val="1"/>
          <w:numId w:val="19"/>
        </w:numPr>
        <w:autoSpaceDE/>
        <w:autoSpaceDN/>
        <w:adjustRightInd/>
        <w:spacing w:line="240" w:lineRule="auto"/>
        <w:ind w:left="840" w:firstLineChars="0"/>
        <w:rPr>
          <w:szCs w:val="20"/>
          <w:lang w:eastAsia="en-GB"/>
        </w:rPr>
      </w:pPr>
      <w:r w:rsidRPr="007043FF">
        <w:rPr>
          <w:szCs w:val="20"/>
          <w:lang w:eastAsia="en-GB"/>
        </w:rPr>
        <w:t>FFS the details</w:t>
      </w:r>
    </w:p>
    <w:p w14:paraId="3AA0DE5B" w14:textId="77777777" w:rsidR="00C84A24" w:rsidRPr="004A54BC" w:rsidRDefault="00C84A24" w:rsidP="00C84A24">
      <w:pPr>
        <w:rPr>
          <w:sz w:val="44"/>
          <w:lang w:eastAsia="x-none"/>
        </w:rPr>
      </w:pPr>
    </w:p>
    <w:p w14:paraId="487F17CF"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4EC1365E" w14:textId="77777777" w:rsidR="00C84A24" w:rsidRPr="00065C2F" w:rsidRDefault="00C84A24" w:rsidP="00C84A24">
      <w:pPr>
        <w:rPr>
          <w:lang w:eastAsia="x-none"/>
        </w:rPr>
      </w:pPr>
      <w:r w:rsidRPr="00065C2F">
        <w:rPr>
          <w:lang w:eastAsia="x-none"/>
        </w:rPr>
        <w:t xml:space="preserve">For dedicated PUR in idle mode, the PUR ACK is at least sent on NPDCCH </w:t>
      </w:r>
    </w:p>
    <w:p w14:paraId="654F89A4" w14:textId="77777777" w:rsidR="00C84A24" w:rsidRPr="00065C2F" w:rsidRDefault="00C84A24" w:rsidP="00C84A24">
      <w:pPr>
        <w:numPr>
          <w:ilvl w:val="0"/>
          <w:numId w:val="40"/>
        </w:numPr>
        <w:autoSpaceDE/>
        <w:autoSpaceDN/>
        <w:adjustRightInd/>
        <w:snapToGrid/>
        <w:spacing w:after="0"/>
        <w:jc w:val="left"/>
        <w:rPr>
          <w:rFonts w:eastAsia="MS Gothic"/>
          <w:kern w:val="2"/>
          <w:szCs w:val="40"/>
          <w:lang w:eastAsia="ja-JP"/>
        </w:rPr>
      </w:pPr>
      <w:r w:rsidRPr="00065C2F">
        <w:rPr>
          <w:rFonts w:eastAsia="MS Gothic"/>
          <w:kern w:val="2"/>
          <w:szCs w:val="40"/>
          <w:lang w:eastAsia="ja-JP"/>
        </w:rPr>
        <w:t>RAN2 can decide if a higher layer PUR ACK is also supported</w:t>
      </w:r>
    </w:p>
    <w:p w14:paraId="37603C15" w14:textId="77777777" w:rsidR="00C84A24" w:rsidRPr="004A54BC" w:rsidRDefault="00C84A24" w:rsidP="00C84A24">
      <w:pPr>
        <w:rPr>
          <w:lang w:eastAsia="x-none"/>
        </w:rPr>
      </w:pPr>
    </w:p>
    <w:p w14:paraId="01EDD3DD" w14:textId="77777777" w:rsidR="00C84A24" w:rsidRPr="009C5DC7" w:rsidRDefault="00C84A24" w:rsidP="00C84A24">
      <w:pPr>
        <w:rPr>
          <w:b/>
          <w:szCs w:val="32"/>
          <w:highlight w:val="yellow"/>
          <w:lang w:eastAsia="x-none"/>
        </w:rPr>
      </w:pPr>
      <w:r w:rsidRPr="009C5DC7">
        <w:rPr>
          <w:b/>
          <w:szCs w:val="32"/>
          <w:highlight w:val="yellow"/>
          <w:lang w:eastAsia="x-none"/>
        </w:rPr>
        <w:t>For futher discussion</w:t>
      </w:r>
    </w:p>
    <w:p w14:paraId="1BE57DC9" w14:textId="77777777" w:rsidR="00C84A24" w:rsidRPr="00792C07" w:rsidRDefault="00C84A24" w:rsidP="00C84A24">
      <w:pPr>
        <w:rPr>
          <w:szCs w:val="20"/>
          <w:lang w:eastAsia="en-GB"/>
        </w:rPr>
      </w:pPr>
      <w:r w:rsidRPr="00792C07">
        <w:rPr>
          <w:szCs w:val="20"/>
          <w:lang w:eastAsia="zh-CN"/>
        </w:rPr>
        <w:t>After data transmission on PUR, upon unsuccessful decoding by eNB, the UE can expect</w:t>
      </w:r>
      <w:r w:rsidRPr="00792C07">
        <w:rPr>
          <w:rFonts w:hint="eastAsia"/>
          <w:szCs w:val="20"/>
          <w:lang w:eastAsia="en-GB"/>
        </w:rPr>
        <w:t xml:space="preserve"> </w:t>
      </w:r>
      <w:r w:rsidRPr="00792C07">
        <w:rPr>
          <w:szCs w:val="20"/>
        </w:rPr>
        <w:t xml:space="preserve">an UL grant for retransmission on NPDCCH. </w:t>
      </w:r>
    </w:p>
    <w:p w14:paraId="4E1739D9" w14:textId="77777777" w:rsidR="00C84A24" w:rsidRPr="00792C07" w:rsidRDefault="00C84A24" w:rsidP="00C84A24">
      <w:pPr>
        <w:pStyle w:val="ListParagraph"/>
        <w:widowControl/>
        <w:numPr>
          <w:ilvl w:val="1"/>
          <w:numId w:val="19"/>
        </w:numPr>
        <w:autoSpaceDE/>
        <w:autoSpaceDN/>
        <w:adjustRightInd/>
        <w:spacing w:line="240" w:lineRule="auto"/>
        <w:ind w:left="840" w:firstLineChars="0"/>
        <w:rPr>
          <w:szCs w:val="20"/>
          <w:lang w:eastAsia="en-GB"/>
        </w:rPr>
      </w:pPr>
      <w:r w:rsidRPr="00792C07">
        <w:rPr>
          <w:szCs w:val="20"/>
        </w:rPr>
        <w:t xml:space="preserve">FSS if the UE can also expect </w:t>
      </w:r>
      <w:r w:rsidRPr="00792C07">
        <w:rPr>
          <w:rFonts w:hint="eastAsia"/>
          <w:szCs w:val="20"/>
        </w:rPr>
        <w:t>an explicit NACK</w:t>
      </w:r>
      <w:r w:rsidRPr="00792C07">
        <w:rPr>
          <w:szCs w:val="20"/>
        </w:rPr>
        <w:t xml:space="preserve"> on NPDCCH.</w:t>
      </w:r>
    </w:p>
    <w:p w14:paraId="3525654B" w14:textId="77777777" w:rsidR="00C84A24" w:rsidRDefault="00C84A24" w:rsidP="00C84A24">
      <w:pPr>
        <w:rPr>
          <w:lang w:eastAsia="x-none"/>
        </w:rPr>
      </w:pPr>
    </w:p>
    <w:p w14:paraId="76ABB533" w14:textId="77777777" w:rsidR="00C84A24" w:rsidRPr="006F5415" w:rsidRDefault="00C84A24" w:rsidP="00C84A24">
      <w:pPr>
        <w:rPr>
          <w:b/>
          <w:highlight w:val="green"/>
          <w:lang w:eastAsia="x-none"/>
        </w:rPr>
      </w:pPr>
      <w:r w:rsidRPr="006F5415">
        <w:rPr>
          <w:b/>
          <w:highlight w:val="green"/>
          <w:lang w:eastAsia="x-none"/>
        </w:rPr>
        <w:t>Agreement</w:t>
      </w:r>
    </w:p>
    <w:p w14:paraId="34536641" w14:textId="77777777" w:rsidR="00C84A24" w:rsidRPr="00C26FF0" w:rsidRDefault="00C84A24" w:rsidP="00C84A24">
      <w:pPr>
        <w:rPr>
          <w:lang w:eastAsia="x-none"/>
        </w:rPr>
      </w:pPr>
      <w:r w:rsidRPr="00C26FF0">
        <w:rPr>
          <w:lang w:eastAsia="x-none"/>
        </w:rPr>
        <w:t>For dedicated PUR in idle mode, the PUR search space configuration shall be included in the PUR configuration.</w:t>
      </w:r>
    </w:p>
    <w:p w14:paraId="7E86A7D9" w14:textId="77777777" w:rsidR="00C84A24" w:rsidRPr="00C26FF0" w:rsidRDefault="00C84A24" w:rsidP="00C84A24">
      <w:pPr>
        <w:numPr>
          <w:ilvl w:val="0"/>
          <w:numId w:val="40"/>
        </w:numPr>
        <w:autoSpaceDE/>
        <w:autoSpaceDN/>
        <w:adjustRightInd/>
        <w:snapToGrid/>
        <w:spacing w:after="0"/>
        <w:jc w:val="left"/>
        <w:rPr>
          <w:lang w:eastAsia="x-none"/>
        </w:rPr>
      </w:pPr>
      <w:r w:rsidRPr="00C26FF0">
        <w:rPr>
          <w:lang w:eastAsia="x-none"/>
        </w:rPr>
        <w:t>PUR search space is the search space where UE monitors for NPDCCH</w:t>
      </w:r>
    </w:p>
    <w:p w14:paraId="0EE220AD" w14:textId="77777777" w:rsidR="00C84A24" w:rsidRPr="00C26FF0" w:rsidRDefault="00C84A24" w:rsidP="00C84A24">
      <w:pPr>
        <w:numPr>
          <w:ilvl w:val="0"/>
          <w:numId w:val="40"/>
        </w:numPr>
        <w:autoSpaceDE/>
        <w:autoSpaceDN/>
        <w:adjustRightInd/>
        <w:snapToGrid/>
        <w:spacing w:after="0"/>
        <w:jc w:val="left"/>
        <w:rPr>
          <w:lang w:eastAsia="x-none"/>
        </w:rPr>
      </w:pPr>
      <w:r w:rsidRPr="00C26FF0">
        <w:rPr>
          <w:lang w:eastAsia="x-none"/>
        </w:rPr>
        <w:t>FFS: Whether PUR search space is common or UE specific</w:t>
      </w:r>
    </w:p>
    <w:p w14:paraId="140C559B" w14:textId="77777777" w:rsidR="00C84A24" w:rsidRPr="00963629" w:rsidRDefault="00C84A24" w:rsidP="00C84A24">
      <w:pPr>
        <w:rPr>
          <w:b/>
          <w:sz w:val="40"/>
          <w:lang w:eastAsia="zh-CN"/>
        </w:rPr>
      </w:pPr>
    </w:p>
    <w:p w14:paraId="383CDD19" w14:textId="77777777" w:rsidR="00C84A24" w:rsidRPr="00706938" w:rsidRDefault="00C84A24" w:rsidP="00C84A24">
      <w:pPr>
        <w:rPr>
          <w:highlight w:val="yellow"/>
          <w:lang w:eastAsia="x-none"/>
        </w:rPr>
      </w:pPr>
      <w:r w:rsidRPr="00706938">
        <w:rPr>
          <w:highlight w:val="yellow"/>
          <w:lang w:eastAsia="x-none"/>
        </w:rPr>
        <w:t>For further discussion: details on CFS PUR including whether to support it</w:t>
      </w:r>
    </w:p>
    <w:p w14:paraId="5DBD4ECE" w14:textId="77777777" w:rsidR="00C84A24" w:rsidRDefault="00C84A24" w:rsidP="00C84A24">
      <w:pPr>
        <w:rPr>
          <w:lang w:eastAsia="x-none"/>
        </w:rPr>
      </w:pPr>
    </w:p>
    <w:p w14:paraId="39EE1B6B" w14:textId="01121431" w:rsidR="00C84A24" w:rsidRDefault="006F5415" w:rsidP="00C84A24">
      <w:pPr>
        <w:pStyle w:val="Heading1"/>
        <w:rPr>
          <w:rFonts w:hint="eastAsia"/>
        </w:rPr>
      </w:pPr>
      <w:r>
        <w:t xml:space="preserve">Come back - </w:t>
      </w:r>
      <w:r w:rsidR="00C84A24">
        <w:t>Possible agreements</w:t>
      </w:r>
    </w:p>
    <w:p w14:paraId="02F2DC3A" w14:textId="77777777" w:rsidR="00C84A24" w:rsidRDefault="00C84A24" w:rsidP="00C84A24">
      <w:pPr>
        <w:rPr>
          <w:lang w:eastAsia="en-GB"/>
        </w:rPr>
      </w:pPr>
    </w:p>
    <w:p w14:paraId="78E1CF31" w14:textId="27A38C43" w:rsidR="00C84A24" w:rsidRPr="00C84A24" w:rsidRDefault="00C84A24" w:rsidP="00C84A24">
      <w:pPr>
        <w:rPr>
          <w:b/>
          <w:szCs w:val="20"/>
          <w:highlight w:val="yellow"/>
          <w:lang w:eastAsia="x-none"/>
        </w:rPr>
      </w:pPr>
      <w:r w:rsidRPr="00C84A24">
        <w:rPr>
          <w:b/>
          <w:szCs w:val="20"/>
          <w:highlight w:val="yellow"/>
          <w:lang w:eastAsia="x-none"/>
        </w:rPr>
        <w:t>Ag</w:t>
      </w:r>
      <w:r w:rsidR="003517CD">
        <w:rPr>
          <w:b/>
          <w:szCs w:val="20"/>
          <w:highlight w:val="yellow"/>
          <w:lang w:eastAsia="x-none"/>
        </w:rPr>
        <w:t>reement#1</w:t>
      </w:r>
    </w:p>
    <w:p w14:paraId="09D692F3" w14:textId="77777777" w:rsidR="00C84A24" w:rsidRPr="00792C07" w:rsidRDefault="00C84A24" w:rsidP="00C84A24">
      <w:pPr>
        <w:rPr>
          <w:szCs w:val="20"/>
          <w:lang w:eastAsia="x-none"/>
        </w:rPr>
      </w:pPr>
      <w:r w:rsidRPr="00792C07">
        <w:rPr>
          <w:szCs w:val="20"/>
          <w:lang w:eastAsia="x-none"/>
        </w:rPr>
        <w:t>In idle mode, the TA validation configuration can include “PUR Time Alignment Timer”</w:t>
      </w:r>
    </w:p>
    <w:p w14:paraId="07D02968" w14:textId="77777777" w:rsidR="00C84A24" w:rsidRPr="00792C07" w:rsidRDefault="00C84A24" w:rsidP="00C84A24">
      <w:pPr>
        <w:numPr>
          <w:ilvl w:val="0"/>
          <w:numId w:val="40"/>
        </w:numPr>
        <w:autoSpaceDE/>
        <w:autoSpaceDN/>
        <w:adjustRightInd/>
        <w:snapToGrid/>
        <w:spacing w:after="0"/>
        <w:jc w:val="left"/>
        <w:rPr>
          <w:szCs w:val="20"/>
          <w:lang w:eastAsia="x-none"/>
        </w:rPr>
      </w:pPr>
      <w:r w:rsidRPr="00792C07">
        <w:rPr>
          <w:szCs w:val="20"/>
          <w:lang w:eastAsia="x-none"/>
        </w:rPr>
        <w:t>Where the UE considers the TA as invalid if the (current time – time at last TA update) &gt; the PUR Time Alignment Timer</w:t>
      </w:r>
    </w:p>
    <w:p w14:paraId="57D125F0" w14:textId="77777777" w:rsidR="00C84A24" w:rsidRPr="00792C07" w:rsidRDefault="00C84A24" w:rsidP="00C84A24">
      <w:pPr>
        <w:numPr>
          <w:ilvl w:val="0"/>
          <w:numId w:val="40"/>
        </w:numPr>
        <w:autoSpaceDE/>
        <w:autoSpaceDN/>
        <w:adjustRightInd/>
        <w:snapToGrid/>
        <w:spacing w:after="0"/>
        <w:jc w:val="left"/>
        <w:rPr>
          <w:szCs w:val="20"/>
          <w:lang w:eastAsia="x-none"/>
        </w:rPr>
      </w:pPr>
      <w:r w:rsidRPr="00792C07">
        <w:rPr>
          <w:szCs w:val="20"/>
          <w:lang w:eastAsia="x-none"/>
        </w:rPr>
        <w:t xml:space="preserve">Details on how to specify the “PUR Time Alignment Timer” is up to RAN2  </w:t>
      </w:r>
    </w:p>
    <w:p w14:paraId="25E96C00" w14:textId="77777777" w:rsidR="00C84A24" w:rsidRPr="00C84A24" w:rsidRDefault="00C84A24" w:rsidP="00C84A24">
      <w:pPr>
        <w:rPr>
          <w:b/>
          <w:lang w:eastAsia="en-GB"/>
        </w:rPr>
      </w:pPr>
    </w:p>
    <w:p w14:paraId="520D1073" w14:textId="4848A4FB" w:rsidR="003517CD" w:rsidRPr="003517CD" w:rsidRDefault="003517CD" w:rsidP="003517CD">
      <w:pPr>
        <w:rPr>
          <w:b/>
          <w:szCs w:val="20"/>
          <w:highlight w:val="yellow"/>
          <w:lang w:eastAsia="x-none"/>
        </w:rPr>
      </w:pPr>
      <w:r w:rsidRPr="003517CD">
        <w:rPr>
          <w:b/>
          <w:szCs w:val="20"/>
          <w:highlight w:val="yellow"/>
          <w:lang w:eastAsia="x-none"/>
        </w:rPr>
        <w:t>Agreement</w:t>
      </w:r>
      <w:r>
        <w:rPr>
          <w:b/>
          <w:szCs w:val="20"/>
          <w:highlight w:val="yellow"/>
          <w:lang w:eastAsia="x-none"/>
        </w:rPr>
        <w:t>#2</w:t>
      </w:r>
    </w:p>
    <w:p w14:paraId="5A3CF31A" w14:textId="77777777" w:rsidR="003517CD" w:rsidRPr="00792C07" w:rsidRDefault="003517CD" w:rsidP="003517CD">
      <w:pPr>
        <w:rPr>
          <w:szCs w:val="20"/>
          <w:lang w:eastAsia="x-none"/>
        </w:rPr>
      </w:pPr>
      <w:r w:rsidRPr="00792C07">
        <w:rPr>
          <w:szCs w:val="20"/>
          <w:lang w:eastAsia="x-none"/>
        </w:rPr>
        <w:t>In idle mode, when the UE validates TA, the UE considers the TA for the previous serving cell as invalid if the serving cell changes</w:t>
      </w:r>
    </w:p>
    <w:p w14:paraId="6F4718CA" w14:textId="77777777" w:rsidR="003517CD" w:rsidRPr="00792C07" w:rsidRDefault="003517CD" w:rsidP="003517CD">
      <w:pPr>
        <w:numPr>
          <w:ilvl w:val="0"/>
          <w:numId w:val="40"/>
        </w:numPr>
        <w:autoSpaceDE/>
        <w:autoSpaceDN/>
        <w:adjustRightInd/>
        <w:snapToGrid/>
        <w:spacing w:after="0"/>
        <w:jc w:val="left"/>
        <w:rPr>
          <w:szCs w:val="20"/>
          <w:lang w:eastAsia="x-none"/>
        </w:rPr>
      </w:pPr>
      <w:r w:rsidRPr="00792C07">
        <w:rPr>
          <w:szCs w:val="20"/>
          <w:lang w:eastAsia="x-none"/>
        </w:rPr>
        <w:t>Above applies for the case where the UE is configured to use the serving cell change attribute</w:t>
      </w:r>
    </w:p>
    <w:p w14:paraId="06E0FB78" w14:textId="77777777" w:rsidR="00C84A24" w:rsidRPr="003517CD" w:rsidRDefault="00C84A24" w:rsidP="00C84A24">
      <w:pPr>
        <w:rPr>
          <w:b/>
          <w:lang w:eastAsia="en-GB"/>
        </w:rPr>
      </w:pPr>
    </w:p>
    <w:p w14:paraId="78DADAC3" w14:textId="6A948EAC" w:rsidR="003517CD" w:rsidRPr="003517CD" w:rsidRDefault="003517CD" w:rsidP="003517CD">
      <w:pPr>
        <w:rPr>
          <w:b/>
          <w:szCs w:val="20"/>
          <w:highlight w:val="yellow"/>
          <w:lang w:eastAsia="x-none"/>
        </w:rPr>
      </w:pPr>
      <w:r w:rsidRPr="003517CD">
        <w:rPr>
          <w:b/>
          <w:szCs w:val="20"/>
          <w:highlight w:val="yellow"/>
          <w:lang w:eastAsia="x-none"/>
        </w:rPr>
        <w:t>Agreement</w:t>
      </w:r>
      <w:r w:rsidRPr="003517CD">
        <w:rPr>
          <w:b/>
          <w:szCs w:val="20"/>
          <w:highlight w:val="yellow"/>
          <w:lang w:eastAsia="x-none"/>
        </w:rPr>
        <w:t>#3</w:t>
      </w:r>
    </w:p>
    <w:p w14:paraId="7F0769D7" w14:textId="59BF9939" w:rsidR="003517CD" w:rsidRPr="00792C07" w:rsidRDefault="003517CD" w:rsidP="003517CD">
      <w:pPr>
        <w:rPr>
          <w:szCs w:val="20"/>
          <w:lang w:eastAsia="x-none"/>
        </w:rPr>
      </w:pPr>
      <w:r w:rsidRPr="00792C07">
        <w:rPr>
          <w:szCs w:val="20"/>
          <w:lang w:eastAsia="x-none"/>
        </w:rPr>
        <w:t>For d</w:t>
      </w:r>
      <w:r w:rsidR="00226FD2">
        <w:rPr>
          <w:szCs w:val="20"/>
          <w:lang w:eastAsia="x-none"/>
        </w:rPr>
        <w:t>edicated PUR in idle mode, the d</w:t>
      </w:r>
      <w:r w:rsidRPr="00792C07">
        <w:rPr>
          <w:szCs w:val="20"/>
          <w:lang w:eastAsia="x-none"/>
        </w:rPr>
        <w:t>edicated PUR A</w:t>
      </w:r>
      <w:r w:rsidR="00226FD2">
        <w:rPr>
          <w:szCs w:val="20"/>
          <w:lang w:eastAsia="x-none"/>
        </w:rPr>
        <w:t>CK is at least sent on N</w:t>
      </w:r>
      <w:r w:rsidRPr="00792C07">
        <w:rPr>
          <w:szCs w:val="20"/>
          <w:lang w:eastAsia="x-none"/>
        </w:rPr>
        <w:t xml:space="preserve">PDCCH </w:t>
      </w:r>
    </w:p>
    <w:p w14:paraId="5A7458D0" w14:textId="77777777" w:rsidR="003517CD" w:rsidRPr="00792C07" w:rsidRDefault="003517CD" w:rsidP="003517CD">
      <w:pPr>
        <w:numPr>
          <w:ilvl w:val="0"/>
          <w:numId w:val="40"/>
        </w:numPr>
        <w:autoSpaceDE/>
        <w:autoSpaceDN/>
        <w:adjustRightInd/>
        <w:snapToGrid/>
        <w:spacing w:after="0"/>
        <w:jc w:val="left"/>
        <w:rPr>
          <w:rFonts w:eastAsia="MS Gothic"/>
          <w:kern w:val="2"/>
          <w:szCs w:val="20"/>
          <w:lang w:eastAsia="ja-JP"/>
        </w:rPr>
      </w:pPr>
      <w:r w:rsidRPr="00792C07">
        <w:rPr>
          <w:rFonts w:eastAsia="MS Gothic"/>
          <w:kern w:val="2"/>
          <w:szCs w:val="20"/>
          <w:lang w:eastAsia="ja-JP"/>
        </w:rPr>
        <w:t>RAN2 can decide if a higher layer PUR ACK is also supported</w:t>
      </w:r>
    </w:p>
    <w:p w14:paraId="3E823585" w14:textId="77777777" w:rsidR="009A1CA1" w:rsidRPr="003517CD" w:rsidRDefault="009A1CA1" w:rsidP="00C84A24">
      <w:pPr>
        <w:rPr>
          <w:b/>
          <w:lang w:eastAsia="en-GB"/>
        </w:rPr>
      </w:pPr>
    </w:p>
    <w:p w14:paraId="65BC86DD" w14:textId="2B4699BB" w:rsidR="003517CD" w:rsidRPr="003517CD" w:rsidRDefault="003517CD" w:rsidP="003517CD">
      <w:pPr>
        <w:rPr>
          <w:b/>
          <w:highlight w:val="yellow"/>
          <w:lang w:eastAsia="x-none"/>
        </w:rPr>
      </w:pPr>
      <w:r w:rsidRPr="003517CD">
        <w:rPr>
          <w:b/>
          <w:highlight w:val="yellow"/>
          <w:lang w:eastAsia="x-none"/>
        </w:rPr>
        <w:t>Agreement</w:t>
      </w:r>
      <w:r w:rsidRPr="003517CD">
        <w:rPr>
          <w:b/>
          <w:highlight w:val="yellow"/>
          <w:lang w:eastAsia="x-none"/>
        </w:rPr>
        <w:t>#</w:t>
      </w:r>
      <w:r w:rsidR="009A1CA1">
        <w:rPr>
          <w:b/>
          <w:highlight w:val="yellow"/>
          <w:lang w:eastAsia="x-none"/>
        </w:rPr>
        <w:t>4</w:t>
      </w:r>
    </w:p>
    <w:p w14:paraId="0C8EC42D" w14:textId="77777777" w:rsidR="003517CD" w:rsidRPr="00180717" w:rsidRDefault="003517CD" w:rsidP="003517CD">
      <w:r w:rsidRPr="00180717">
        <w:t xml:space="preserve">When the TA is validated and found to be invalid and the UE has data to send, the UE can obtain a valid TA and may send data via legacy RACH or EDT procedures </w:t>
      </w:r>
    </w:p>
    <w:p w14:paraId="5C089770" w14:textId="77777777" w:rsidR="003517CD" w:rsidRPr="00180717" w:rsidRDefault="003517CD" w:rsidP="003517CD">
      <w:pPr>
        <w:pStyle w:val="ListParagraph"/>
        <w:widowControl/>
        <w:numPr>
          <w:ilvl w:val="0"/>
          <w:numId w:val="19"/>
        </w:numPr>
        <w:autoSpaceDE/>
        <w:autoSpaceDN/>
        <w:adjustRightInd/>
        <w:spacing w:afterLines="100" w:after="240" w:line="240" w:lineRule="auto"/>
        <w:ind w:left="720" w:firstLineChars="0" w:hanging="360"/>
      </w:pPr>
      <w:r w:rsidRPr="00180717">
        <w:t>FFS whether only TA is acquired and then data sent on PUR is supported</w:t>
      </w:r>
    </w:p>
    <w:p w14:paraId="50A67A27" w14:textId="77777777" w:rsidR="003517CD" w:rsidRPr="00180717" w:rsidRDefault="003517CD" w:rsidP="003517CD">
      <w:pPr>
        <w:pStyle w:val="ListParagraph"/>
        <w:widowControl/>
        <w:numPr>
          <w:ilvl w:val="0"/>
          <w:numId w:val="19"/>
        </w:numPr>
        <w:autoSpaceDE/>
        <w:autoSpaceDN/>
        <w:adjustRightInd/>
        <w:spacing w:afterLines="100" w:after="240" w:line="240" w:lineRule="auto"/>
        <w:ind w:left="720" w:firstLineChars="0" w:hanging="360"/>
      </w:pPr>
      <w:r w:rsidRPr="00180717">
        <w:t>FFS other approaches to obtain a valid TA</w:t>
      </w:r>
    </w:p>
    <w:p w14:paraId="13B5193E" w14:textId="77777777" w:rsidR="009A1CA1" w:rsidRDefault="009A1CA1" w:rsidP="003517CD">
      <w:pPr>
        <w:rPr>
          <w:lang w:eastAsia="x-none"/>
        </w:rPr>
      </w:pPr>
    </w:p>
    <w:p w14:paraId="68D69D5E" w14:textId="73BE5613" w:rsidR="003517CD" w:rsidRPr="003517CD" w:rsidRDefault="003517CD" w:rsidP="003517CD">
      <w:pPr>
        <w:rPr>
          <w:b/>
          <w:highlight w:val="yellow"/>
          <w:lang w:eastAsia="x-none"/>
        </w:rPr>
      </w:pPr>
      <w:r w:rsidRPr="003517CD">
        <w:rPr>
          <w:b/>
          <w:highlight w:val="yellow"/>
          <w:lang w:eastAsia="x-none"/>
        </w:rPr>
        <w:t>Agreement</w:t>
      </w:r>
      <w:r w:rsidRPr="003517CD">
        <w:rPr>
          <w:b/>
          <w:highlight w:val="yellow"/>
          <w:lang w:eastAsia="x-none"/>
        </w:rPr>
        <w:t>#</w:t>
      </w:r>
      <w:r w:rsidR="009A1CA1">
        <w:rPr>
          <w:b/>
          <w:highlight w:val="yellow"/>
          <w:lang w:eastAsia="x-none"/>
        </w:rPr>
        <w:t>5</w:t>
      </w:r>
    </w:p>
    <w:p w14:paraId="0C600D26" w14:textId="77777777" w:rsidR="003517CD" w:rsidRPr="00F00DA1" w:rsidRDefault="003517CD" w:rsidP="003517CD">
      <w:pPr>
        <w:rPr>
          <w:rFonts w:eastAsia="MS Mincho"/>
          <w:szCs w:val="20"/>
        </w:rPr>
      </w:pPr>
      <w:r w:rsidRPr="00F00DA1">
        <w:rPr>
          <w:rFonts w:eastAsia="MS Mincho"/>
          <w:szCs w:val="20"/>
        </w:rPr>
        <w:t xml:space="preserve">For dedicated PUR, in idle mode, the PUR resource configuration includes at least the following </w:t>
      </w:r>
    </w:p>
    <w:p w14:paraId="5BE510CB" w14:textId="77777777" w:rsidR="003517CD" w:rsidRPr="00F00DA1" w:rsidRDefault="003517CD" w:rsidP="003517CD">
      <w:pPr>
        <w:numPr>
          <w:ilvl w:val="0"/>
          <w:numId w:val="21"/>
        </w:numPr>
        <w:autoSpaceDE/>
        <w:autoSpaceDN/>
        <w:adjustRightInd/>
        <w:snapToGrid/>
        <w:spacing w:after="0"/>
        <w:ind w:left="1440"/>
        <w:jc w:val="left"/>
        <w:rPr>
          <w:rFonts w:eastAsia="MS Mincho"/>
          <w:szCs w:val="20"/>
        </w:rPr>
      </w:pPr>
      <w:r w:rsidRPr="00F00DA1">
        <w:rPr>
          <w:rFonts w:eastAsia="MS Mincho"/>
          <w:szCs w:val="20"/>
        </w:rPr>
        <w:t xml:space="preserve">Time domain resources including periodicity(s) </w:t>
      </w:r>
    </w:p>
    <w:p w14:paraId="7DC2191A" w14:textId="77777777" w:rsidR="003517CD" w:rsidRPr="00F00DA1" w:rsidRDefault="003517CD" w:rsidP="003517CD">
      <w:pPr>
        <w:numPr>
          <w:ilvl w:val="2"/>
          <w:numId w:val="21"/>
        </w:numPr>
        <w:autoSpaceDE/>
        <w:autoSpaceDN/>
        <w:adjustRightInd/>
        <w:snapToGrid/>
        <w:spacing w:after="0"/>
        <w:ind w:left="1800"/>
        <w:jc w:val="left"/>
        <w:rPr>
          <w:rFonts w:eastAsia="MS Mincho"/>
          <w:szCs w:val="20"/>
        </w:rPr>
      </w:pPr>
      <w:r w:rsidRPr="00F00DA1">
        <w:rPr>
          <w:rFonts w:eastAsia="MS Mincho"/>
          <w:szCs w:val="20"/>
        </w:rPr>
        <w:t>Note: also includes number of repetitions, number of RUs, starting position</w:t>
      </w:r>
    </w:p>
    <w:p w14:paraId="1A4A0717" w14:textId="77777777" w:rsidR="003517CD" w:rsidRPr="00F00DA1" w:rsidRDefault="003517CD" w:rsidP="003517CD">
      <w:pPr>
        <w:numPr>
          <w:ilvl w:val="0"/>
          <w:numId w:val="21"/>
        </w:numPr>
        <w:autoSpaceDE/>
        <w:autoSpaceDN/>
        <w:adjustRightInd/>
        <w:snapToGrid/>
        <w:spacing w:after="0"/>
        <w:ind w:left="1440"/>
        <w:jc w:val="left"/>
        <w:rPr>
          <w:rFonts w:eastAsia="MS Mincho"/>
          <w:szCs w:val="20"/>
        </w:rPr>
      </w:pPr>
      <w:r w:rsidRPr="00F00DA1">
        <w:rPr>
          <w:rFonts w:eastAsia="MS Mincho"/>
          <w:szCs w:val="20"/>
        </w:rPr>
        <w:t>Frequency domain resources</w:t>
      </w:r>
    </w:p>
    <w:p w14:paraId="24FEAE96" w14:textId="77777777" w:rsidR="003517CD" w:rsidRPr="00F00DA1" w:rsidRDefault="003517CD" w:rsidP="003517CD">
      <w:pPr>
        <w:numPr>
          <w:ilvl w:val="0"/>
          <w:numId w:val="21"/>
        </w:numPr>
        <w:autoSpaceDE/>
        <w:autoSpaceDN/>
        <w:adjustRightInd/>
        <w:snapToGrid/>
        <w:spacing w:after="0"/>
        <w:ind w:left="1440"/>
        <w:jc w:val="left"/>
        <w:rPr>
          <w:rFonts w:eastAsia="MS Mincho"/>
          <w:szCs w:val="20"/>
        </w:rPr>
      </w:pPr>
      <w:r w:rsidRPr="00F00DA1">
        <w:rPr>
          <w:rFonts w:eastAsia="MS Mincho"/>
          <w:szCs w:val="20"/>
        </w:rPr>
        <w:t>TBS(s)/MCS(s)</w:t>
      </w:r>
    </w:p>
    <w:p w14:paraId="597C70EE" w14:textId="77777777" w:rsidR="003517CD" w:rsidRPr="00F00DA1" w:rsidRDefault="003517CD" w:rsidP="003517CD">
      <w:pPr>
        <w:numPr>
          <w:ilvl w:val="0"/>
          <w:numId w:val="21"/>
        </w:numPr>
        <w:autoSpaceDE/>
        <w:autoSpaceDN/>
        <w:adjustRightInd/>
        <w:snapToGrid/>
        <w:spacing w:after="0"/>
        <w:ind w:left="1440"/>
        <w:jc w:val="left"/>
        <w:rPr>
          <w:rFonts w:eastAsia="MS Mincho"/>
          <w:szCs w:val="20"/>
        </w:rPr>
      </w:pPr>
      <w:r w:rsidRPr="00F00DA1">
        <w:rPr>
          <w:rFonts w:eastAsia="MS Mincho"/>
          <w:szCs w:val="20"/>
        </w:rPr>
        <w:t>Power control parameters</w:t>
      </w:r>
    </w:p>
    <w:p w14:paraId="61EAB1AD" w14:textId="77777777" w:rsidR="003517CD" w:rsidRDefault="003517CD" w:rsidP="003517CD">
      <w:pPr>
        <w:rPr>
          <w:lang w:eastAsia="x-none"/>
        </w:rPr>
      </w:pPr>
    </w:p>
    <w:p w14:paraId="03AF2287" w14:textId="76550541" w:rsidR="003517CD" w:rsidRPr="003517CD" w:rsidRDefault="003517CD" w:rsidP="003517CD">
      <w:pPr>
        <w:rPr>
          <w:b/>
          <w:highlight w:val="yellow"/>
          <w:lang w:eastAsia="x-none"/>
        </w:rPr>
      </w:pPr>
      <w:r w:rsidRPr="003517CD">
        <w:rPr>
          <w:b/>
          <w:highlight w:val="yellow"/>
          <w:lang w:eastAsia="x-none"/>
        </w:rPr>
        <w:t>Agreement</w:t>
      </w:r>
      <w:r>
        <w:rPr>
          <w:b/>
          <w:highlight w:val="yellow"/>
          <w:lang w:eastAsia="x-none"/>
        </w:rPr>
        <w:t>#</w:t>
      </w:r>
      <w:r w:rsidR="005E42EA">
        <w:rPr>
          <w:b/>
          <w:highlight w:val="yellow"/>
          <w:lang w:eastAsia="x-none"/>
        </w:rPr>
        <w:t>6</w:t>
      </w:r>
    </w:p>
    <w:p w14:paraId="70CC3F00" w14:textId="77777777" w:rsidR="003517CD" w:rsidRPr="00EE788F" w:rsidRDefault="003517CD" w:rsidP="003517CD">
      <w:r w:rsidRPr="00EE788F">
        <w:t>In idle mode, at least the following PUR configurations and PUR parameters may be updated after a PUR transmission:</w:t>
      </w:r>
    </w:p>
    <w:p w14:paraId="6699D869" w14:textId="77777777" w:rsidR="003517CD" w:rsidRPr="00EE788F" w:rsidRDefault="003517CD" w:rsidP="003517CD">
      <w:pPr>
        <w:pStyle w:val="ListBullet"/>
        <w:widowControl w:val="0"/>
        <w:tabs>
          <w:tab w:val="num" w:pos="0"/>
          <w:tab w:val="num" w:pos="1080"/>
        </w:tabs>
        <w:snapToGrid/>
        <w:spacing w:after="0"/>
        <w:ind w:left="1080" w:hanging="360"/>
        <w:jc w:val="both"/>
        <w:rPr>
          <w:rFonts w:eastAsia="MS Mincho"/>
          <w:lang w:eastAsia="sv-SE"/>
        </w:rPr>
      </w:pPr>
      <w:r w:rsidRPr="00EE788F">
        <w:rPr>
          <w:rFonts w:eastAsia="MS Mincho"/>
          <w:lang w:eastAsia="sv-SE"/>
        </w:rPr>
        <w:t xml:space="preserve">Timing advance </w:t>
      </w:r>
      <w:r w:rsidRPr="00EE788F">
        <w:rPr>
          <w:rFonts w:eastAsia="MS Mincho"/>
        </w:rPr>
        <w:t>adjustment</w:t>
      </w:r>
      <w:r w:rsidRPr="00EE788F">
        <w:rPr>
          <w:rFonts w:eastAsia="MS Mincho"/>
          <w:lang w:eastAsia="sv-SE"/>
        </w:rPr>
        <w:t xml:space="preserve"> </w:t>
      </w:r>
    </w:p>
    <w:p w14:paraId="37102643" w14:textId="77777777" w:rsidR="003517CD" w:rsidRPr="00EE788F" w:rsidRDefault="003517CD" w:rsidP="003517CD">
      <w:pPr>
        <w:pStyle w:val="ListBullet"/>
        <w:widowControl w:val="0"/>
        <w:tabs>
          <w:tab w:val="num" w:pos="0"/>
          <w:tab w:val="num" w:pos="1080"/>
        </w:tabs>
        <w:snapToGrid/>
        <w:spacing w:after="0"/>
        <w:ind w:left="1080" w:hanging="360"/>
        <w:jc w:val="both"/>
        <w:rPr>
          <w:rFonts w:eastAsia="MS Mincho"/>
        </w:rPr>
      </w:pPr>
      <w:r w:rsidRPr="00EE788F">
        <w:rPr>
          <w:rFonts w:eastAsia="MS Mincho"/>
        </w:rPr>
        <w:t>UE TX power adjustment</w:t>
      </w:r>
    </w:p>
    <w:p w14:paraId="0198A452" w14:textId="02238119" w:rsidR="003517CD" w:rsidRPr="00EE788F" w:rsidRDefault="003517CD" w:rsidP="003517CD">
      <w:pPr>
        <w:pStyle w:val="ListBullet"/>
        <w:widowControl w:val="0"/>
        <w:tabs>
          <w:tab w:val="num" w:pos="0"/>
          <w:tab w:val="num" w:pos="1080"/>
        </w:tabs>
        <w:snapToGrid/>
        <w:spacing w:after="0"/>
        <w:ind w:left="1080" w:hanging="360"/>
        <w:jc w:val="both"/>
        <w:rPr>
          <w:rFonts w:eastAsia="MS Mincho"/>
        </w:rPr>
      </w:pPr>
      <w:r w:rsidRPr="00EE788F">
        <w:rPr>
          <w:rFonts w:eastAsia="MS Mincho"/>
        </w:rPr>
        <w:t xml:space="preserve">FFS: Repetition adjustment for </w:t>
      </w:r>
      <w:r w:rsidR="005E42EA">
        <w:rPr>
          <w:rFonts w:eastAsia="MS Mincho"/>
        </w:rPr>
        <w:t>N</w:t>
      </w:r>
      <w:r w:rsidRPr="00EE788F">
        <w:rPr>
          <w:rFonts w:eastAsia="MS Mincho"/>
        </w:rPr>
        <w:t>PUSCH</w:t>
      </w:r>
    </w:p>
    <w:p w14:paraId="57E4984F" w14:textId="77777777" w:rsidR="003517CD" w:rsidRPr="00EE788F" w:rsidRDefault="003517CD" w:rsidP="003517CD">
      <w:pPr>
        <w:rPr>
          <w:lang w:eastAsia="x-none"/>
        </w:rPr>
      </w:pPr>
      <w:r w:rsidRPr="00EE788F">
        <w:rPr>
          <w:lang w:eastAsia="x-none"/>
        </w:rPr>
        <w:t>FFS: Whether the above update is done in L1 and/or higher layer</w:t>
      </w:r>
    </w:p>
    <w:p w14:paraId="4B20BC73" w14:textId="77777777" w:rsidR="003517CD" w:rsidRDefault="003517CD" w:rsidP="003517CD">
      <w:pPr>
        <w:rPr>
          <w:lang w:eastAsia="x-none"/>
        </w:rPr>
      </w:pPr>
    </w:p>
    <w:p w14:paraId="41EA7134" w14:textId="36B78D8B" w:rsidR="003517CD" w:rsidRPr="00303D6E" w:rsidRDefault="003517CD" w:rsidP="003517CD">
      <w:pPr>
        <w:rPr>
          <w:b/>
          <w:highlight w:val="yellow"/>
          <w:lang w:eastAsia="x-none"/>
        </w:rPr>
      </w:pPr>
      <w:r w:rsidRPr="00303D6E">
        <w:rPr>
          <w:b/>
          <w:highlight w:val="yellow"/>
          <w:lang w:eastAsia="x-none"/>
        </w:rPr>
        <w:t>Agreement</w:t>
      </w:r>
      <w:r w:rsidR="00303D6E" w:rsidRPr="00303D6E">
        <w:rPr>
          <w:b/>
          <w:highlight w:val="yellow"/>
          <w:lang w:eastAsia="x-none"/>
        </w:rPr>
        <w:t>#</w:t>
      </w:r>
      <w:r w:rsidR="005E42EA">
        <w:rPr>
          <w:b/>
          <w:highlight w:val="yellow"/>
          <w:lang w:eastAsia="x-none"/>
        </w:rPr>
        <w:t>7</w:t>
      </w:r>
    </w:p>
    <w:p w14:paraId="5A05A12B" w14:textId="77777777" w:rsidR="003517CD" w:rsidRPr="00672BA3" w:rsidRDefault="003517CD" w:rsidP="003517CD">
      <w:pPr>
        <w:rPr>
          <w:rFonts w:eastAsia="MS Mincho"/>
          <w:szCs w:val="20"/>
        </w:rPr>
      </w:pPr>
      <w:r w:rsidRPr="00672BA3">
        <w:rPr>
          <w:rFonts w:eastAsia="MS Mincho"/>
          <w:szCs w:val="20"/>
        </w:rPr>
        <w:t xml:space="preserve">In idle mode, the PUR search space configuration includes at least the following: </w:t>
      </w:r>
    </w:p>
    <w:p w14:paraId="473FBDDD" w14:textId="17305176" w:rsidR="003517CD" w:rsidRPr="00672BA3" w:rsidRDefault="003928BF" w:rsidP="003517CD">
      <w:pPr>
        <w:pStyle w:val="ListBullet"/>
        <w:widowControl w:val="0"/>
        <w:tabs>
          <w:tab w:val="num" w:pos="0"/>
          <w:tab w:val="num" w:pos="1440"/>
        </w:tabs>
        <w:snapToGrid/>
        <w:spacing w:after="0"/>
        <w:ind w:left="1440" w:hanging="360"/>
        <w:jc w:val="both"/>
        <w:rPr>
          <w:rFonts w:eastAsia="MS Mincho"/>
        </w:rPr>
      </w:pPr>
      <w:r>
        <w:rPr>
          <w:rFonts w:eastAsia="MS Mincho"/>
        </w:rPr>
        <w:t>N</w:t>
      </w:r>
      <w:r w:rsidR="003517CD" w:rsidRPr="00672BA3">
        <w:rPr>
          <w:rFonts w:eastAsia="MS Mincho"/>
        </w:rPr>
        <w:t xml:space="preserve">PDCCH repetitions and aggregation levels </w:t>
      </w:r>
    </w:p>
    <w:p w14:paraId="73638F70" w14:textId="33B1E5D3" w:rsidR="003517CD" w:rsidRPr="00672BA3" w:rsidRDefault="003928BF" w:rsidP="003517CD">
      <w:pPr>
        <w:pStyle w:val="ListBullet"/>
        <w:widowControl w:val="0"/>
        <w:tabs>
          <w:tab w:val="num" w:pos="0"/>
          <w:tab w:val="num" w:pos="1440"/>
        </w:tabs>
        <w:snapToGrid/>
        <w:spacing w:after="0"/>
        <w:ind w:left="1440" w:hanging="360"/>
        <w:jc w:val="both"/>
        <w:rPr>
          <w:rFonts w:eastAsia="MS Mincho"/>
        </w:rPr>
      </w:pPr>
      <w:r>
        <w:rPr>
          <w:rFonts w:eastAsia="MS Mincho"/>
        </w:rPr>
        <w:t>N</w:t>
      </w:r>
      <w:r w:rsidR="003517CD" w:rsidRPr="00672BA3">
        <w:rPr>
          <w:rFonts w:eastAsia="MS Mincho"/>
        </w:rPr>
        <w:t xml:space="preserve">PDCCH starting subframe periodicity (variable </w:t>
      </w:r>
      <w:r w:rsidR="003517CD" w:rsidRPr="00672BA3">
        <w:rPr>
          <w:rFonts w:eastAsia="MS Mincho"/>
          <w:i/>
        </w:rPr>
        <w:t>G</w:t>
      </w:r>
      <w:r w:rsidR="003517CD" w:rsidRPr="00672BA3">
        <w:rPr>
          <w:rFonts w:eastAsia="MS Mincho"/>
        </w:rPr>
        <w:t>)</w:t>
      </w:r>
    </w:p>
    <w:p w14:paraId="4D82B8D1" w14:textId="77777777" w:rsidR="003517CD" w:rsidRPr="00672BA3" w:rsidRDefault="003517CD" w:rsidP="003517CD">
      <w:pPr>
        <w:pStyle w:val="ListBullet"/>
        <w:widowControl w:val="0"/>
        <w:tabs>
          <w:tab w:val="num" w:pos="0"/>
          <w:tab w:val="num" w:pos="1440"/>
        </w:tabs>
        <w:snapToGrid/>
        <w:spacing w:after="0"/>
        <w:ind w:left="1440" w:hanging="360"/>
        <w:jc w:val="both"/>
        <w:rPr>
          <w:rFonts w:eastAsia="MS Mincho"/>
        </w:rPr>
      </w:pPr>
      <w:r w:rsidRPr="00672BA3">
        <w:rPr>
          <w:rFonts w:eastAsia="MS Mincho"/>
        </w:rPr>
        <w:t>Starting subframe position</w:t>
      </w:r>
      <w:r>
        <w:rPr>
          <w:rFonts w:eastAsia="MS Mincho"/>
        </w:rPr>
        <w:t xml:space="preserve"> (alpha_offset)</w:t>
      </w:r>
    </w:p>
    <w:p w14:paraId="1B9CC6CC" w14:textId="77777777" w:rsidR="00E54B63" w:rsidRPr="00D75DE6" w:rsidRDefault="00E54B63" w:rsidP="00E54B63">
      <w:pPr>
        <w:autoSpaceDE/>
        <w:autoSpaceDN/>
        <w:adjustRightInd/>
        <w:snapToGrid/>
        <w:spacing w:after="0"/>
        <w:jc w:val="left"/>
        <w:rPr>
          <w:rFonts w:hint="eastAsia"/>
          <w:lang w:eastAsia="zh-CN"/>
        </w:rPr>
      </w:pPr>
    </w:p>
    <w:p w14:paraId="19278EB9" w14:textId="77777777" w:rsidR="0029350A" w:rsidRDefault="00BE1680" w:rsidP="007C6B5F">
      <w:pPr>
        <w:pStyle w:val="Heading1"/>
        <w:numPr>
          <w:ilvl w:val="0"/>
          <w:numId w:val="0"/>
        </w:numPr>
        <w:ind w:left="432" w:hanging="432"/>
        <w:rPr>
          <w:lang w:eastAsia="zh-CN"/>
        </w:rPr>
      </w:pPr>
      <w:bookmarkStart w:id="5" w:name="_Ref129681832"/>
      <w:bookmarkStart w:id="6" w:name="_Ref124589665"/>
      <w:bookmarkStart w:id="7" w:name="_Ref71620620"/>
      <w:bookmarkStart w:id="8" w:name="_Ref124671424"/>
      <w:r w:rsidRPr="00E2368C">
        <w:t>References</w:t>
      </w:r>
      <w:bookmarkEnd w:id="5"/>
      <w:bookmarkEnd w:id="6"/>
      <w:bookmarkEnd w:id="7"/>
      <w:bookmarkEnd w:id="8"/>
    </w:p>
    <w:p w14:paraId="756317AB" w14:textId="7853AF54" w:rsidR="00767593" w:rsidRDefault="00767593" w:rsidP="0081349B">
      <w:pPr>
        <w:pStyle w:val="references0"/>
        <w:numPr>
          <w:ilvl w:val="0"/>
          <w:numId w:val="14"/>
        </w:numPr>
        <w:spacing w:after="0" w:line="240" w:lineRule="auto"/>
        <w:rPr>
          <w:noProof w:val="0"/>
          <w:sz w:val="21"/>
          <w:szCs w:val="21"/>
        </w:rPr>
      </w:pPr>
      <w:bookmarkStart w:id="9" w:name="_Ref387394383"/>
      <w:bookmarkStart w:id="10"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9"/>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0"/>
    </w:p>
    <w:p w14:paraId="2900407C" w14:textId="3424813E" w:rsidR="0058366E" w:rsidRDefault="0058366E" w:rsidP="0081349B">
      <w:pPr>
        <w:pStyle w:val="references0"/>
        <w:numPr>
          <w:ilvl w:val="0"/>
          <w:numId w:val="14"/>
        </w:numPr>
        <w:spacing w:after="0" w:line="240" w:lineRule="auto"/>
        <w:rPr>
          <w:noProof w:val="0"/>
          <w:sz w:val="21"/>
          <w:szCs w:val="21"/>
        </w:rPr>
      </w:pPr>
      <w:bookmarkStart w:id="11" w:name="_Ref1641762"/>
      <w:r>
        <w:rPr>
          <w:noProof w:val="0"/>
          <w:sz w:val="21"/>
          <w:szCs w:val="21"/>
        </w:rPr>
        <w:t>Chairman’s Notes RAN1#94, August 2018.</w:t>
      </w:r>
      <w:bookmarkEnd w:id="11"/>
    </w:p>
    <w:p w14:paraId="2EE0A0EE" w14:textId="6B279669" w:rsidR="00851131" w:rsidRDefault="00851131" w:rsidP="0081349B">
      <w:pPr>
        <w:pStyle w:val="references0"/>
        <w:numPr>
          <w:ilvl w:val="0"/>
          <w:numId w:val="14"/>
        </w:numPr>
        <w:spacing w:after="0" w:line="240" w:lineRule="auto"/>
        <w:rPr>
          <w:noProof w:val="0"/>
          <w:sz w:val="21"/>
          <w:szCs w:val="21"/>
        </w:rPr>
      </w:pPr>
      <w:bookmarkStart w:id="12" w:name="_Ref1641766"/>
      <w:r>
        <w:rPr>
          <w:noProof w:val="0"/>
          <w:sz w:val="21"/>
          <w:szCs w:val="21"/>
        </w:rPr>
        <w:t>Chairman’s Notes RAN1#94b, October 2018.</w:t>
      </w:r>
      <w:bookmarkEnd w:id="12"/>
    </w:p>
    <w:p w14:paraId="7E41B43D" w14:textId="44301A0E" w:rsidR="007D2561" w:rsidRDefault="007D2561" w:rsidP="0081349B">
      <w:pPr>
        <w:pStyle w:val="references0"/>
        <w:numPr>
          <w:ilvl w:val="0"/>
          <w:numId w:val="14"/>
        </w:numPr>
        <w:spacing w:after="0" w:line="240" w:lineRule="auto"/>
        <w:rPr>
          <w:noProof w:val="0"/>
          <w:sz w:val="21"/>
          <w:szCs w:val="21"/>
        </w:rPr>
      </w:pPr>
      <w:bookmarkStart w:id="13" w:name="_Ref524795437"/>
      <w:bookmarkStart w:id="14" w:name="_Ref1641770"/>
      <w:r w:rsidRPr="00AB2A43">
        <w:rPr>
          <w:noProof w:val="0"/>
          <w:sz w:val="21"/>
          <w:szCs w:val="21"/>
        </w:rPr>
        <w:t>Chairman</w:t>
      </w:r>
      <w:r w:rsidR="00DE03F4">
        <w:rPr>
          <w:noProof w:val="0"/>
          <w:sz w:val="21"/>
          <w:szCs w:val="21"/>
        </w:rPr>
        <w:t>’</w:t>
      </w:r>
      <w:r w:rsidRPr="00AB2A43">
        <w:rPr>
          <w:noProof w:val="0"/>
          <w:sz w:val="21"/>
          <w:szCs w:val="21"/>
        </w:rPr>
        <w:t>s Notes RAN1</w:t>
      </w:r>
      <w:r w:rsidR="000368C7">
        <w:rPr>
          <w:noProof w:val="0"/>
          <w:sz w:val="21"/>
          <w:szCs w:val="21"/>
        </w:rPr>
        <w:t>#</w:t>
      </w:r>
      <w:r w:rsidRPr="00AB2A43">
        <w:rPr>
          <w:noProof w:val="0"/>
          <w:sz w:val="21"/>
          <w:szCs w:val="21"/>
        </w:rPr>
        <w:t>95</w:t>
      </w:r>
      <w:bookmarkEnd w:id="13"/>
      <w:r w:rsidR="002002D8" w:rsidRPr="00AB2A43">
        <w:rPr>
          <w:rFonts w:hint="eastAsia"/>
          <w:noProof w:val="0"/>
          <w:sz w:val="21"/>
          <w:szCs w:val="21"/>
        </w:rPr>
        <w:t xml:space="preserve">, </w:t>
      </w:r>
      <w:r w:rsidR="00227F9F" w:rsidRPr="00AB2A43">
        <w:rPr>
          <w:noProof w:val="0"/>
          <w:sz w:val="21"/>
          <w:szCs w:val="21"/>
        </w:rPr>
        <w:t>November 2018</w:t>
      </w:r>
      <w:r w:rsidR="00420736">
        <w:rPr>
          <w:noProof w:val="0"/>
          <w:sz w:val="21"/>
          <w:szCs w:val="21"/>
        </w:rPr>
        <w:t>.</w:t>
      </w:r>
      <w:bookmarkEnd w:id="14"/>
    </w:p>
    <w:bookmarkStart w:id="15" w:name="_Ref1641934"/>
    <w:p w14:paraId="04FD8ED4" w14:textId="77777777" w:rsidR="00753E33" w:rsidRPr="00FB64C4" w:rsidRDefault="00753E33" w:rsidP="00FB64C4">
      <w:pPr>
        <w:pStyle w:val="references0"/>
        <w:numPr>
          <w:ilvl w:val="0"/>
          <w:numId w:val="14"/>
        </w:numPr>
        <w:spacing w:after="0" w:line="240" w:lineRule="auto"/>
        <w:rPr>
          <w:noProof w:val="0"/>
          <w:sz w:val="21"/>
          <w:szCs w:val="21"/>
        </w:rPr>
      </w:pPr>
      <w:r w:rsidRPr="00FB64C4">
        <w:rPr>
          <w:noProof w:val="0"/>
          <w:sz w:val="21"/>
          <w:szCs w:val="21"/>
        </w:rPr>
        <w:fldChar w:fldCharType="begin"/>
      </w:r>
      <w:r w:rsidRPr="00FB64C4">
        <w:rPr>
          <w:noProof w:val="0"/>
          <w:sz w:val="21"/>
          <w:szCs w:val="21"/>
        </w:rPr>
        <w:instrText xml:space="preserve"> HYPERLINK "file:///C:\\Users\\wanshic\\Documents\\Standards\\3GPP%20Standards\\Meeting%20Documents\\TSGR1_96\\R1-1901503.zip" </w:instrText>
      </w:r>
      <w:r w:rsidRPr="00FB64C4">
        <w:rPr>
          <w:noProof w:val="0"/>
          <w:sz w:val="21"/>
          <w:szCs w:val="21"/>
        </w:rPr>
        <w:fldChar w:fldCharType="separate"/>
      </w:r>
      <w:r w:rsidRPr="00FB64C4">
        <w:rPr>
          <w:noProof w:val="0"/>
          <w:sz w:val="21"/>
          <w:szCs w:val="21"/>
        </w:rPr>
        <w:t>R1-1901503</w:t>
      </w:r>
      <w:r w:rsidRPr="00FB64C4">
        <w:rPr>
          <w:noProof w:val="0"/>
          <w:sz w:val="21"/>
          <w:szCs w:val="21"/>
        </w:rPr>
        <w:fldChar w:fldCharType="end"/>
      </w:r>
      <w:r w:rsidRPr="00FB64C4">
        <w:rPr>
          <w:noProof w:val="0"/>
          <w:sz w:val="21"/>
          <w:szCs w:val="21"/>
        </w:rPr>
        <w:tab/>
        <w:t>Transmission in preconfigured UL resources</w:t>
      </w:r>
      <w:r w:rsidRPr="00FB64C4">
        <w:rPr>
          <w:noProof w:val="0"/>
          <w:sz w:val="21"/>
          <w:szCs w:val="21"/>
        </w:rPr>
        <w:tab/>
        <w:t>Huawei, HiSilicon</w:t>
      </w:r>
      <w:bookmarkEnd w:id="15"/>
    </w:p>
    <w:p w14:paraId="0E5D0EB8" w14:textId="77777777" w:rsidR="00753E33" w:rsidRPr="00FB64C4" w:rsidRDefault="00E33E71" w:rsidP="00FB64C4">
      <w:pPr>
        <w:pStyle w:val="references0"/>
        <w:numPr>
          <w:ilvl w:val="0"/>
          <w:numId w:val="14"/>
        </w:numPr>
        <w:spacing w:after="0" w:line="240" w:lineRule="auto"/>
        <w:rPr>
          <w:noProof w:val="0"/>
          <w:sz w:val="21"/>
          <w:szCs w:val="21"/>
        </w:rPr>
      </w:pPr>
      <w:hyperlink r:id="rId8" w:history="1">
        <w:r w:rsidR="00753E33" w:rsidRPr="00FB64C4">
          <w:rPr>
            <w:noProof w:val="0"/>
            <w:sz w:val="21"/>
            <w:szCs w:val="21"/>
          </w:rPr>
          <w:t>R1-1901629</w:t>
        </w:r>
      </w:hyperlink>
      <w:r w:rsidR="00753E33" w:rsidRPr="00FB64C4">
        <w:rPr>
          <w:noProof w:val="0"/>
          <w:sz w:val="21"/>
          <w:szCs w:val="21"/>
        </w:rPr>
        <w:tab/>
        <w:t xml:space="preserve">NB-IOT Pre-configured UL Resources Design Considerations </w:t>
      </w:r>
      <w:r w:rsidR="00753E33" w:rsidRPr="00FB64C4">
        <w:rPr>
          <w:noProof w:val="0"/>
          <w:sz w:val="21"/>
          <w:szCs w:val="21"/>
        </w:rPr>
        <w:tab/>
        <w:t>Sierra Wireless, S.A.</w:t>
      </w:r>
    </w:p>
    <w:p w14:paraId="230A690F" w14:textId="77777777" w:rsidR="00753E33" w:rsidRPr="00FB64C4" w:rsidRDefault="00E33E71" w:rsidP="00FB64C4">
      <w:pPr>
        <w:pStyle w:val="references0"/>
        <w:numPr>
          <w:ilvl w:val="0"/>
          <w:numId w:val="14"/>
        </w:numPr>
        <w:spacing w:after="0" w:line="240" w:lineRule="auto"/>
        <w:rPr>
          <w:noProof w:val="0"/>
          <w:sz w:val="21"/>
          <w:szCs w:val="21"/>
        </w:rPr>
      </w:pPr>
      <w:hyperlink r:id="rId9" w:history="1">
        <w:r w:rsidR="00753E33" w:rsidRPr="00FB64C4">
          <w:rPr>
            <w:noProof w:val="0"/>
            <w:sz w:val="21"/>
            <w:szCs w:val="21"/>
          </w:rPr>
          <w:t>R1-1901733</w:t>
        </w:r>
      </w:hyperlink>
      <w:r w:rsidR="00753E33" w:rsidRPr="00FB64C4">
        <w:rPr>
          <w:noProof w:val="0"/>
          <w:sz w:val="21"/>
          <w:szCs w:val="21"/>
        </w:rPr>
        <w:tab/>
        <w:t>Early Transmission in Preconfigured UL resources in NB-IoT</w:t>
      </w:r>
      <w:r w:rsidR="00753E33" w:rsidRPr="00FB64C4">
        <w:rPr>
          <w:noProof w:val="0"/>
          <w:sz w:val="21"/>
          <w:szCs w:val="21"/>
        </w:rPr>
        <w:tab/>
        <w:t>MediaTek Inc.</w:t>
      </w:r>
    </w:p>
    <w:p w14:paraId="616D3179" w14:textId="77777777" w:rsidR="00753E33" w:rsidRPr="00FB64C4" w:rsidRDefault="00E33E71" w:rsidP="00FB64C4">
      <w:pPr>
        <w:pStyle w:val="references0"/>
        <w:numPr>
          <w:ilvl w:val="0"/>
          <w:numId w:val="14"/>
        </w:numPr>
        <w:spacing w:after="0" w:line="240" w:lineRule="auto"/>
        <w:rPr>
          <w:noProof w:val="0"/>
          <w:sz w:val="21"/>
          <w:szCs w:val="21"/>
        </w:rPr>
      </w:pPr>
      <w:hyperlink r:id="rId10" w:history="1">
        <w:r w:rsidR="00753E33" w:rsidRPr="00FB64C4">
          <w:rPr>
            <w:noProof w:val="0"/>
            <w:sz w:val="21"/>
            <w:szCs w:val="21"/>
          </w:rPr>
          <w:t>R1-1901747</w:t>
        </w:r>
      </w:hyperlink>
      <w:r w:rsidR="00753E33" w:rsidRPr="00FB64C4">
        <w:rPr>
          <w:noProof w:val="0"/>
          <w:sz w:val="21"/>
          <w:szCs w:val="21"/>
        </w:rPr>
        <w:tab/>
        <w:t>Support for transmission in preconfigured UL resources in NB-IoT</w:t>
      </w:r>
      <w:r w:rsidR="00753E33" w:rsidRPr="00FB64C4">
        <w:rPr>
          <w:noProof w:val="0"/>
          <w:sz w:val="21"/>
          <w:szCs w:val="21"/>
        </w:rPr>
        <w:tab/>
        <w:t>Ericsson</w:t>
      </w:r>
    </w:p>
    <w:p w14:paraId="3DC45BAC" w14:textId="2209DA4D" w:rsidR="00753E33" w:rsidRPr="006C3A45" w:rsidRDefault="00753E33" w:rsidP="006C3A45">
      <w:pPr>
        <w:pStyle w:val="references0"/>
        <w:numPr>
          <w:ilvl w:val="0"/>
          <w:numId w:val="14"/>
        </w:numPr>
        <w:spacing w:after="0" w:line="240" w:lineRule="auto"/>
        <w:rPr>
          <w:noProof w:val="0"/>
          <w:sz w:val="21"/>
          <w:szCs w:val="21"/>
        </w:rPr>
      </w:pPr>
      <w:r w:rsidRPr="00FB64C4">
        <w:rPr>
          <w:noProof w:val="0"/>
          <w:sz w:val="21"/>
          <w:szCs w:val="21"/>
        </w:rPr>
        <w:t>R1-1901866</w:t>
      </w:r>
      <w:r w:rsidRPr="00FB64C4">
        <w:rPr>
          <w:noProof w:val="0"/>
          <w:sz w:val="21"/>
          <w:szCs w:val="21"/>
        </w:rPr>
        <w:tab/>
        <w:t>Support for transmission in preconfigured UL resources for NB-IoT</w:t>
      </w:r>
      <w:r w:rsidRPr="00FB64C4">
        <w:rPr>
          <w:noProof w:val="0"/>
          <w:sz w:val="21"/>
          <w:szCs w:val="21"/>
        </w:rPr>
        <w:tab/>
        <w:t>ZTE</w:t>
      </w:r>
      <w:r w:rsidR="006C3A45">
        <w:rPr>
          <w:rFonts w:eastAsiaTheme="minorEastAsia" w:hint="eastAsia"/>
          <w:noProof w:val="0"/>
          <w:sz w:val="21"/>
          <w:szCs w:val="21"/>
          <w:lang w:eastAsia="zh-CN"/>
        </w:rPr>
        <w:t xml:space="preserve"> </w:t>
      </w:r>
      <w:r w:rsidR="006C3A45">
        <w:rPr>
          <w:rFonts w:eastAsiaTheme="minorEastAsia"/>
          <w:noProof w:val="0"/>
          <w:sz w:val="21"/>
          <w:szCs w:val="21"/>
          <w:lang w:eastAsia="zh-CN"/>
        </w:rPr>
        <w:t>(</w:t>
      </w:r>
      <w:r w:rsidRPr="006C3A45">
        <w:rPr>
          <w:noProof w:val="0"/>
          <w:sz w:val="21"/>
          <w:szCs w:val="21"/>
        </w:rPr>
        <w:t>Late submission</w:t>
      </w:r>
      <w:r w:rsidR="006C3A45">
        <w:rPr>
          <w:noProof w:val="0"/>
          <w:sz w:val="21"/>
          <w:szCs w:val="21"/>
        </w:rPr>
        <w:t>)</w:t>
      </w:r>
    </w:p>
    <w:p w14:paraId="30FDB060" w14:textId="77777777" w:rsidR="00753E33" w:rsidRPr="00FB64C4" w:rsidRDefault="00E33E71" w:rsidP="00FB64C4">
      <w:pPr>
        <w:pStyle w:val="references0"/>
        <w:numPr>
          <w:ilvl w:val="0"/>
          <w:numId w:val="14"/>
        </w:numPr>
        <w:spacing w:after="0" w:line="240" w:lineRule="auto"/>
        <w:rPr>
          <w:noProof w:val="0"/>
          <w:sz w:val="21"/>
          <w:szCs w:val="21"/>
        </w:rPr>
      </w:pPr>
      <w:hyperlink r:id="rId11" w:history="1">
        <w:r w:rsidR="00753E33" w:rsidRPr="00FB64C4">
          <w:rPr>
            <w:noProof w:val="0"/>
            <w:sz w:val="21"/>
            <w:szCs w:val="21"/>
          </w:rPr>
          <w:t>R1-1901964</w:t>
        </w:r>
      </w:hyperlink>
      <w:r w:rsidR="00753E33" w:rsidRPr="00FB64C4">
        <w:rPr>
          <w:noProof w:val="0"/>
          <w:sz w:val="21"/>
          <w:szCs w:val="21"/>
        </w:rPr>
        <w:tab/>
        <w:t>Preconfigured Grant for Uplink transmission</w:t>
      </w:r>
      <w:r w:rsidR="00753E33" w:rsidRPr="00FB64C4">
        <w:rPr>
          <w:noProof w:val="0"/>
          <w:sz w:val="21"/>
          <w:szCs w:val="21"/>
        </w:rPr>
        <w:tab/>
        <w:t>Nokia, Nokia Shanghai Bell</w:t>
      </w:r>
    </w:p>
    <w:p w14:paraId="0F641304" w14:textId="77777777" w:rsidR="00753E33" w:rsidRPr="00FB64C4" w:rsidRDefault="00E33E71" w:rsidP="00FB64C4">
      <w:pPr>
        <w:pStyle w:val="references0"/>
        <w:numPr>
          <w:ilvl w:val="0"/>
          <w:numId w:val="14"/>
        </w:numPr>
        <w:spacing w:after="0" w:line="240" w:lineRule="auto"/>
        <w:rPr>
          <w:noProof w:val="0"/>
          <w:sz w:val="21"/>
          <w:szCs w:val="21"/>
        </w:rPr>
      </w:pPr>
      <w:hyperlink r:id="rId12" w:history="1">
        <w:r w:rsidR="00753E33" w:rsidRPr="00FB64C4">
          <w:rPr>
            <w:noProof w:val="0"/>
            <w:sz w:val="21"/>
            <w:szCs w:val="21"/>
          </w:rPr>
          <w:t>R1-1902064</w:t>
        </w:r>
      </w:hyperlink>
      <w:r w:rsidR="00753E33" w:rsidRPr="00FB64C4">
        <w:rPr>
          <w:noProof w:val="0"/>
          <w:sz w:val="21"/>
          <w:szCs w:val="21"/>
        </w:rPr>
        <w:tab/>
        <w:t>Discussion on preconfigured UL resources in NB-IoT</w:t>
      </w:r>
      <w:r w:rsidR="00753E33" w:rsidRPr="00FB64C4">
        <w:rPr>
          <w:noProof w:val="0"/>
          <w:sz w:val="21"/>
          <w:szCs w:val="21"/>
        </w:rPr>
        <w:tab/>
        <w:t>LG Electronics</w:t>
      </w:r>
    </w:p>
    <w:p w14:paraId="0D3A4684" w14:textId="77777777" w:rsidR="00753E33" w:rsidRPr="00FB64C4" w:rsidRDefault="00E33E71" w:rsidP="00FB64C4">
      <w:pPr>
        <w:pStyle w:val="references0"/>
        <w:numPr>
          <w:ilvl w:val="0"/>
          <w:numId w:val="14"/>
        </w:numPr>
        <w:spacing w:after="0" w:line="240" w:lineRule="auto"/>
        <w:rPr>
          <w:noProof w:val="0"/>
          <w:sz w:val="21"/>
          <w:szCs w:val="21"/>
        </w:rPr>
      </w:pPr>
      <w:hyperlink r:id="rId13" w:history="1">
        <w:r w:rsidR="00753E33" w:rsidRPr="00FB64C4">
          <w:rPr>
            <w:noProof w:val="0"/>
            <w:sz w:val="21"/>
            <w:szCs w:val="21"/>
          </w:rPr>
          <w:t>R1-1902149</w:t>
        </w:r>
      </w:hyperlink>
      <w:r w:rsidR="00753E33" w:rsidRPr="00FB64C4">
        <w:rPr>
          <w:noProof w:val="0"/>
          <w:sz w:val="21"/>
          <w:szCs w:val="21"/>
        </w:rPr>
        <w:tab/>
        <w:t>UL transmission in preconfigured resources for NBIoT</w:t>
      </w:r>
      <w:r w:rsidR="00753E33" w:rsidRPr="00FB64C4">
        <w:rPr>
          <w:noProof w:val="0"/>
          <w:sz w:val="21"/>
          <w:szCs w:val="21"/>
        </w:rPr>
        <w:tab/>
        <w:t>Lenovo, Motorola Mobility</w:t>
      </w:r>
    </w:p>
    <w:p w14:paraId="0FAFE310" w14:textId="77777777" w:rsidR="00753E33" w:rsidRPr="00FB64C4" w:rsidRDefault="00E33E71" w:rsidP="00FB64C4">
      <w:pPr>
        <w:pStyle w:val="references0"/>
        <w:numPr>
          <w:ilvl w:val="0"/>
          <w:numId w:val="14"/>
        </w:numPr>
        <w:spacing w:after="0" w:line="240" w:lineRule="auto"/>
        <w:rPr>
          <w:noProof w:val="0"/>
          <w:sz w:val="21"/>
          <w:szCs w:val="21"/>
        </w:rPr>
      </w:pPr>
      <w:hyperlink r:id="rId14" w:history="1">
        <w:r w:rsidR="00753E33" w:rsidRPr="00FB64C4">
          <w:rPr>
            <w:noProof w:val="0"/>
            <w:sz w:val="21"/>
            <w:szCs w:val="21"/>
          </w:rPr>
          <w:t>R1-1902217</w:t>
        </w:r>
      </w:hyperlink>
      <w:r w:rsidR="00753E33" w:rsidRPr="00FB64C4">
        <w:rPr>
          <w:noProof w:val="0"/>
          <w:sz w:val="21"/>
          <w:szCs w:val="21"/>
        </w:rPr>
        <w:tab/>
        <w:t>Discussion on transmission in preconfigured UL reosurces for NB-IoT</w:t>
      </w:r>
      <w:r w:rsidR="00753E33" w:rsidRPr="00FB64C4">
        <w:rPr>
          <w:noProof w:val="0"/>
          <w:sz w:val="21"/>
          <w:szCs w:val="21"/>
        </w:rPr>
        <w:tab/>
        <w:t>Samsung</w:t>
      </w:r>
    </w:p>
    <w:p w14:paraId="69A69DA0" w14:textId="77777777" w:rsidR="00753E33" w:rsidRPr="00FB64C4" w:rsidRDefault="00E33E71" w:rsidP="00FB64C4">
      <w:pPr>
        <w:pStyle w:val="references0"/>
        <w:numPr>
          <w:ilvl w:val="0"/>
          <w:numId w:val="14"/>
        </w:numPr>
        <w:spacing w:after="0" w:line="240" w:lineRule="auto"/>
        <w:rPr>
          <w:noProof w:val="0"/>
          <w:sz w:val="21"/>
          <w:szCs w:val="21"/>
        </w:rPr>
      </w:pPr>
      <w:hyperlink r:id="rId15" w:history="1">
        <w:r w:rsidR="00753E33" w:rsidRPr="00FB64C4">
          <w:rPr>
            <w:noProof w:val="0"/>
            <w:sz w:val="21"/>
            <w:szCs w:val="21"/>
          </w:rPr>
          <w:t>R1-1902375</w:t>
        </w:r>
      </w:hyperlink>
      <w:r w:rsidR="00753E33" w:rsidRPr="00FB64C4">
        <w:rPr>
          <w:noProof w:val="0"/>
          <w:sz w:val="21"/>
          <w:szCs w:val="21"/>
        </w:rPr>
        <w:tab/>
        <w:t>Support for transmission in preconfigured UL resources</w:t>
      </w:r>
      <w:r w:rsidR="00753E33" w:rsidRPr="00FB64C4">
        <w:rPr>
          <w:noProof w:val="0"/>
          <w:sz w:val="21"/>
          <w:szCs w:val="21"/>
        </w:rPr>
        <w:tab/>
        <w:t>Qualcomm Incorporated</w:t>
      </w:r>
    </w:p>
    <w:p w14:paraId="37F9E189" w14:textId="77777777" w:rsidR="00753E33" w:rsidRPr="00FB64C4" w:rsidRDefault="00E33E71" w:rsidP="00FB64C4">
      <w:pPr>
        <w:pStyle w:val="references0"/>
        <w:numPr>
          <w:ilvl w:val="0"/>
          <w:numId w:val="14"/>
        </w:numPr>
        <w:spacing w:after="0" w:line="240" w:lineRule="auto"/>
        <w:rPr>
          <w:noProof w:val="0"/>
          <w:sz w:val="21"/>
          <w:szCs w:val="21"/>
        </w:rPr>
      </w:pPr>
      <w:hyperlink r:id="rId16" w:history="1">
        <w:r w:rsidR="00753E33" w:rsidRPr="00FB64C4">
          <w:rPr>
            <w:noProof w:val="0"/>
            <w:sz w:val="21"/>
            <w:szCs w:val="21"/>
          </w:rPr>
          <w:t>R1-1902458</w:t>
        </w:r>
      </w:hyperlink>
      <w:r w:rsidR="00753E33" w:rsidRPr="00FB64C4">
        <w:rPr>
          <w:noProof w:val="0"/>
          <w:sz w:val="21"/>
          <w:szCs w:val="21"/>
        </w:rPr>
        <w:tab/>
        <w:t>UL transmission in preconfigured resources for NB-IoT</w:t>
      </w:r>
      <w:r w:rsidR="00753E33" w:rsidRPr="00FB64C4">
        <w:rPr>
          <w:noProof w:val="0"/>
          <w:sz w:val="21"/>
          <w:szCs w:val="21"/>
        </w:rPr>
        <w:tab/>
        <w:t>Intel Corporation</w:t>
      </w:r>
    </w:p>
    <w:p w14:paraId="084E1984" w14:textId="77777777" w:rsidR="00753E33" w:rsidRPr="00FB64C4" w:rsidRDefault="00E33E71" w:rsidP="00FB64C4">
      <w:pPr>
        <w:pStyle w:val="references0"/>
        <w:numPr>
          <w:ilvl w:val="0"/>
          <w:numId w:val="14"/>
        </w:numPr>
        <w:spacing w:after="0" w:line="240" w:lineRule="auto"/>
        <w:rPr>
          <w:noProof w:val="0"/>
          <w:sz w:val="21"/>
          <w:szCs w:val="21"/>
        </w:rPr>
      </w:pPr>
      <w:hyperlink r:id="rId17" w:history="1">
        <w:r w:rsidR="00753E33" w:rsidRPr="00FB64C4">
          <w:rPr>
            <w:noProof w:val="0"/>
            <w:sz w:val="21"/>
            <w:szCs w:val="21"/>
          </w:rPr>
          <w:t>R1-1902553</w:t>
        </w:r>
      </w:hyperlink>
      <w:r w:rsidR="00753E33" w:rsidRPr="00FB64C4">
        <w:rPr>
          <w:noProof w:val="0"/>
          <w:sz w:val="21"/>
          <w:szCs w:val="21"/>
        </w:rPr>
        <w:tab/>
        <w:t>Consideration for preconfigured uplink resources (PUR)</w:t>
      </w:r>
      <w:r w:rsidR="00753E33" w:rsidRPr="00FB64C4">
        <w:rPr>
          <w:noProof w:val="0"/>
          <w:sz w:val="21"/>
          <w:szCs w:val="21"/>
        </w:rPr>
        <w:tab/>
        <w:t>Sequans Communications</w:t>
      </w:r>
    </w:p>
    <w:p w14:paraId="3735A124" w14:textId="77777777" w:rsidR="00753E33" w:rsidRPr="00FB64C4" w:rsidRDefault="00E33E71" w:rsidP="00FB64C4">
      <w:pPr>
        <w:pStyle w:val="references0"/>
        <w:numPr>
          <w:ilvl w:val="0"/>
          <w:numId w:val="14"/>
        </w:numPr>
        <w:spacing w:after="0" w:line="240" w:lineRule="auto"/>
        <w:rPr>
          <w:noProof w:val="0"/>
          <w:sz w:val="21"/>
          <w:szCs w:val="21"/>
        </w:rPr>
      </w:pPr>
      <w:hyperlink r:id="rId18" w:history="1">
        <w:r w:rsidR="00753E33" w:rsidRPr="00FB64C4">
          <w:rPr>
            <w:noProof w:val="0"/>
            <w:sz w:val="21"/>
            <w:szCs w:val="21"/>
          </w:rPr>
          <w:t>R1-1902779</w:t>
        </w:r>
      </w:hyperlink>
      <w:r w:rsidR="00753E33" w:rsidRPr="00FB64C4">
        <w:rPr>
          <w:noProof w:val="0"/>
          <w:sz w:val="21"/>
          <w:szCs w:val="21"/>
        </w:rPr>
        <w:tab/>
        <w:t>Discussion on preconfigured UL resources in NB-IoT</w:t>
      </w:r>
      <w:r w:rsidR="00753E33" w:rsidRPr="00FB64C4">
        <w:rPr>
          <w:noProof w:val="0"/>
          <w:sz w:val="21"/>
          <w:szCs w:val="21"/>
        </w:rPr>
        <w:tab/>
        <w:t>NTT DOCOMO, INC.</w:t>
      </w:r>
    </w:p>
    <w:bookmarkStart w:id="16" w:name="_Ref1641940"/>
    <w:p w14:paraId="1F73A0CC" w14:textId="77777777" w:rsidR="00753E33" w:rsidRPr="00FB64C4" w:rsidRDefault="00753E33" w:rsidP="00FB64C4">
      <w:pPr>
        <w:pStyle w:val="references0"/>
        <w:numPr>
          <w:ilvl w:val="0"/>
          <w:numId w:val="14"/>
        </w:numPr>
        <w:spacing w:after="0" w:line="240" w:lineRule="auto"/>
        <w:rPr>
          <w:noProof w:val="0"/>
          <w:sz w:val="21"/>
          <w:szCs w:val="21"/>
        </w:rPr>
      </w:pPr>
      <w:r w:rsidRPr="00FB64C4">
        <w:rPr>
          <w:noProof w:val="0"/>
          <w:sz w:val="21"/>
          <w:szCs w:val="21"/>
        </w:rPr>
        <w:fldChar w:fldCharType="begin"/>
      </w:r>
      <w:r w:rsidRPr="00FB64C4">
        <w:rPr>
          <w:noProof w:val="0"/>
          <w:sz w:val="21"/>
          <w:szCs w:val="21"/>
        </w:rPr>
        <w:instrText xml:space="preserve"> HYPERLINK "file:///C:\\Users\\wanshic\\Documents\\Standards\\3GPP%20Standards\\Meeting%20Documents\\TSGR1_96\\R1-1902933.zip" </w:instrText>
      </w:r>
      <w:r w:rsidRPr="00FB64C4">
        <w:rPr>
          <w:noProof w:val="0"/>
          <w:sz w:val="21"/>
          <w:szCs w:val="21"/>
        </w:rPr>
        <w:fldChar w:fldCharType="separate"/>
      </w:r>
      <w:r w:rsidRPr="00FB64C4">
        <w:rPr>
          <w:noProof w:val="0"/>
          <w:sz w:val="21"/>
          <w:szCs w:val="21"/>
        </w:rPr>
        <w:t>R1-1902933</w:t>
      </w:r>
      <w:r w:rsidRPr="00FB64C4">
        <w:rPr>
          <w:noProof w:val="0"/>
          <w:sz w:val="21"/>
          <w:szCs w:val="21"/>
        </w:rPr>
        <w:fldChar w:fldCharType="end"/>
      </w:r>
      <w:r w:rsidRPr="00FB64C4">
        <w:rPr>
          <w:noProof w:val="0"/>
          <w:sz w:val="21"/>
          <w:szCs w:val="21"/>
        </w:rPr>
        <w:tab/>
        <w:t>Discussion on transmission in preconfigured UL resources</w:t>
      </w:r>
      <w:r w:rsidRPr="00FB64C4">
        <w:rPr>
          <w:noProof w:val="0"/>
          <w:sz w:val="21"/>
          <w:szCs w:val="21"/>
        </w:rPr>
        <w:tab/>
        <w:t>III</w:t>
      </w:r>
      <w:bookmarkEnd w:id="16"/>
    </w:p>
    <w:sectPr w:rsidR="00753E33" w:rsidRPr="00FB64C4"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9B652" w14:textId="77777777" w:rsidR="00E33E71" w:rsidRDefault="00E33E71">
      <w:r>
        <w:separator/>
      </w:r>
    </w:p>
  </w:endnote>
  <w:endnote w:type="continuationSeparator" w:id="0">
    <w:p w14:paraId="2B18552B" w14:textId="77777777" w:rsidR="00E33E71" w:rsidRDefault="00E3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483C2" w14:textId="77777777" w:rsidR="00E33E71" w:rsidRDefault="00E33E71">
      <w:r>
        <w:separator/>
      </w:r>
    </w:p>
  </w:footnote>
  <w:footnote w:type="continuationSeparator" w:id="0">
    <w:p w14:paraId="6F90765E" w14:textId="77777777" w:rsidR="00E33E71" w:rsidRDefault="00E33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D50D82"/>
    <w:multiLevelType w:val="hybridMultilevel"/>
    <w:tmpl w:val="BE16F2E8"/>
    <w:lvl w:ilvl="0" w:tplc="64D6EA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6"/>
  </w:num>
  <w:num w:numId="3">
    <w:abstractNumId w:val="40"/>
  </w:num>
  <w:num w:numId="4">
    <w:abstractNumId w:val="1"/>
  </w:num>
  <w:num w:numId="5">
    <w:abstractNumId w:val="21"/>
  </w:num>
  <w:num w:numId="6">
    <w:abstractNumId w:val="0"/>
  </w:num>
  <w:num w:numId="7">
    <w:abstractNumId w:val="13"/>
  </w:num>
  <w:num w:numId="8">
    <w:abstractNumId w:val="17"/>
  </w:num>
  <w:num w:numId="9">
    <w:abstractNumId w:val="27"/>
  </w:num>
  <w:num w:numId="10">
    <w:abstractNumId w:val="7"/>
  </w:num>
  <w:num w:numId="11">
    <w:abstractNumId w:val="23"/>
  </w:num>
  <w:num w:numId="12">
    <w:abstractNumId w:val="29"/>
  </w:num>
  <w:num w:numId="13">
    <w:abstractNumId w:val="36"/>
  </w:num>
  <w:num w:numId="14">
    <w:abstractNumId w:val="8"/>
  </w:num>
  <w:num w:numId="15">
    <w:abstractNumId w:val="30"/>
  </w:num>
  <w:num w:numId="16">
    <w:abstractNumId w:val="20"/>
  </w:num>
  <w:num w:numId="17">
    <w:abstractNumId w:val="19"/>
  </w:num>
  <w:num w:numId="18">
    <w:abstractNumId w:val="39"/>
  </w:num>
  <w:num w:numId="19">
    <w:abstractNumId w:val="32"/>
  </w:num>
  <w:num w:numId="20">
    <w:abstractNumId w:val="22"/>
  </w:num>
  <w:num w:numId="21">
    <w:abstractNumId w:val="15"/>
  </w:num>
  <w:num w:numId="22">
    <w:abstractNumId w:val="3"/>
  </w:num>
  <w:num w:numId="23">
    <w:abstractNumId w:val="4"/>
  </w:num>
  <w:num w:numId="24">
    <w:abstractNumId w:val="37"/>
  </w:num>
  <w:num w:numId="25">
    <w:abstractNumId w:val="35"/>
  </w:num>
  <w:num w:numId="26">
    <w:abstractNumId w:val="14"/>
  </w:num>
  <w:num w:numId="27">
    <w:abstractNumId w:val="28"/>
  </w:num>
  <w:num w:numId="28">
    <w:abstractNumId w:val="26"/>
  </w:num>
  <w:num w:numId="29">
    <w:abstractNumId w:val="31"/>
  </w:num>
  <w:num w:numId="30">
    <w:abstractNumId w:val="5"/>
  </w:num>
  <w:num w:numId="31">
    <w:abstractNumId w:val="10"/>
  </w:num>
  <w:num w:numId="32">
    <w:abstractNumId w:val="34"/>
  </w:num>
  <w:num w:numId="33">
    <w:abstractNumId w:val="33"/>
  </w:num>
  <w:num w:numId="34">
    <w:abstractNumId w:val="12"/>
  </w:num>
  <w:num w:numId="35">
    <w:abstractNumId w:val="6"/>
  </w:num>
  <w:num w:numId="36">
    <w:abstractNumId w:val="11"/>
  </w:num>
  <w:num w:numId="37">
    <w:abstractNumId w:val="25"/>
  </w:num>
  <w:num w:numId="38">
    <w:abstractNumId w:val="38"/>
  </w:num>
  <w:num w:numId="39">
    <w:abstractNumId w:val="24"/>
  </w:num>
  <w:num w:numId="40">
    <w:abstractNumId w:val="9"/>
  </w:num>
  <w:num w:numId="41">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1"/>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5D2E"/>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1CBE"/>
    <w:rsid w:val="00092287"/>
    <w:rsid w:val="000924DD"/>
    <w:rsid w:val="000925E8"/>
    <w:rsid w:val="00092D23"/>
    <w:rsid w:val="00093421"/>
    <w:rsid w:val="0009364E"/>
    <w:rsid w:val="00093C85"/>
    <w:rsid w:val="0009424D"/>
    <w:rsid w:val="00095026"/>
    <w:rsid w:val="00095098"/>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2D3E"/>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8E3"/>
    <w:rsid w:val="00163C89"/>
    <w:rsid w:val="00163F65"/>
    <w:rsid w:val="00164133"/>
    <w:rsid w:val="00164AD6"/>
    <w:rsid w:val="0016525F"/>
    <w:rsid w:val="001652AA"/>
    <w:rsid w:val="001661B0"/>
    <w:rsid w:val="001669AE"/>
    <w:rsid w:val="00166CB8"/>
    <w:rsid w:val="001671A2"/>
    <w:rsid w:val="0016755E"/>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198"/>
    <w:rsid w:val="001D338C"/>
    <w:rsid w:val="001D3466"/>
    <w:rsid w:val="001D378E"/>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6FD2"/>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3C3"/>
    <w:rsid w:val="00297448"/>
    <w:rsid w:val="0029751E"/>
    <w:rsid w:val="00297ADF"/>
    <w:rsid w:val="00297D7B"/>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158"/>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0FAD"/>
    <w:rsid w:val="002D1372"/>
    <w:rsid w:val="002D13EB"/>
    <w:rsid w:val="002D153B"/>
    <w:rsid w:val="002D1D2C"/>
    <w:rsid w:val="002D27B5"/>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CD2"/>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245C"/>
    <w:rsid w:val="003036B7"/>
    <w:rsid w:val="00303D6E"/>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7F1"/>
    <w:rsid w:val="00332F91"/>
    <w:rsid w:val="00334439"/>
    <w:rsid w:val="0033459F"/>
    <w:rsid w:val="00334764"/>
    <w:rsid w:val="003354D7"/>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7CD"/>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28BF"/>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DA5"/>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8B6"/>
    <w:rsid w:val="00491ACB"/>
    <w:rsid w:val="00492948"/>
    <w:rsid w:val="00492B5F"/>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42A"/>
    <w:rsid w:val="004C68A3"/>
    <w:rsid w:val="004C69E3"/>
    <w:rsid w:val="004C71DF"/>
    <w:rsid w:val="004D097D"/>
    <w:rsid w:val="004D1952"/>
    <w:rsid w:val="004D1A71"/>
    <w:rsid w:val="004D1AD0"/>
    <w:rsid w:val="004D1B03"/>
    <w:rsid w:val="004D1F2A"/>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162"/>
    <w:rsid w:val="004E6439"/>
    <w:rsid w:val="004E6567"/>
    <w:rsid w:val="004E6B56"/>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1DF"/>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40"/>
    <w:rsid w:val="00535CFB"/>
    <w:rsid w:val="00535EAE"/>
    <w:rsid w:val="00536037"/>
    <w:rsid w:val="00536B65"/>
    <w:rsid w:val="00536E21"/>
    <w:rsid w:val="0053708A"/>
    <w:rsid w:val="005371B0"/>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2EA"/>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DA7"/>
    <w:rsid w:val="0069116D"/>
    <w:rsid w:val="006916C1"/>
    <w:rsid w:val="006919A4"/>
    <w:rsid w:val="0069329D"/>
    <w:rsid w:val="00694303"/>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15"/>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6E"/>
    <w:rsid w:val="0075510B"/>
    <w:rsid w:val="00755208"/>
    <w:rsid w:val="00755692"/>
    <w:rsid w:val="00755738"/>
    <w:rsid w:val="00755A9F"/>
    <w:rsid w:val="00755F6B"/>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4F7F"/>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DC2"/>
    <w:rsid w:val="007F2E54"/>
    <w:rsid w:val="007F2EE1"/>
    <w:rsid w:val="007F37A5"/>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3999"/>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68D"/>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213"/>
    <w:rsid w:val="00854317"/>
    <w:rsid w:val="00854B95"/>
    <w:rsid w:val="00854E09"/>
    <w:rsid w:val="00855084"/>
    <w:rsid w:val="00855327"/>
    <w:rsid w:val="0085550E"/>
    <w:rsid w:val="008559E0"/>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40D"/>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0F3A"/>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E9F"/>
    <w:rsid w:val="00966989"/>
    <w:rsid w:val="00966A92"/>
    <w:rsid w:val="00966E7B"/>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1CA1"/>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D15"/>
    <w:rsid w:val="009C30CB"/>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F5A"/>
    <w:rsid w:val="00A00433"/>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CF4"/>
    <w:rsid w:val="00A07951"/>
    <w:rsid w:val="00A07DEF"/>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6166"/>
    <w:rsid w:val="00B2632E"/>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D57"/>
    <w:rsid w:val="00BE514E"/>
    <w:rsid w:val="00BE5666"/>
    <w:rsid w:val="00BE5678"/>
    <w:rsid w:val="00BE5CF3"/>
    <w:rsid w:val="00BE5EDD"/>
    <w:rsid w:val="00BE61DE"/>
    <w:rsid w:val="00BE6371"/>
    <w:rsid w:val="00BE6CE8"/>
    <w:rsid w:val="00BE7525"/>
    <w:rsid w:val="00BE7AC4"/>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45E"/>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A24"/>
    <w:rsid w:val="00C84FF5"/>
    <w:rsid w:val="00C85029"/>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AF"/>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AAD"/>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3E71"/>
    <w:rsid w:val="00E3436C"/>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CA1"/>
    <w:rsid w:val="00E57035"/>
    <w:rsid w:val="00E57595"/>
    <w:rsid w:val="00E579BF"/>
    <w:rsid w:val="00E57C80"/>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361"/>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0F21"/>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035B"/>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6\R1-1901629.zip" TargetMode="External"/><Relationship Id="rId13" Type="http://schemas.openxmlformats.org/officeDocument/2006/relationships/hyperlink" Target="file:///C:\Users\wanshic\Documents\Standards\3GPP%20Standards\Meeting%20Documents\TSGR1_96\R1-1902149.zip" TargetMode="External"/><Relationship Id="rId18" Type="http://schemas.openxmlformats.org/officeDocument/2006/relationships/hyperlink" Target="file:///C:\Users\wanshic\Documents\Standards\3GPP%20Standards\Meeting%20Documents\TSGR1_96\R1-1902779.zip"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6\R1-1902064.zip" TargetMode="External"/><Relationship Id="rId17" Type="http://schemas.openxmlformats.org/officeDocument/2006/relationships/hyperlink" Target="file:///C:\Users\wanshic\Documents\Standards\3GPP%20Standards\Meeting%20Documents\TSGR1_96\R1-1902553.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6\R1-190245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6\R1-1901964.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6\R1-1902375.zip" TargetMode="External"/><Relationship Id="rId10" Type="http://schemas.openxmlformats.org/officeDocument/2006/relationships/hyperlink" Target="file:///C:\Users\wanshic\Documents\Standards\3GPP%20Standards\Meeting%20Documents\TSGR1_96\R1-1901747.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6\R1-1901733.zip" TargetMode="External"/><Relationship Id="rId14" Type="http://schemas.openxmlformats.org/officeDocument/2006/relationships/hyperlink" Target="file:///C:\Users\wanshic\Documents\Standards\3GPP%20Standards\Meeting%20Documents\TSGR1_96\R1-19022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051EAD5-10BA-4FEF-876C-FCE36224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 RAN1</vt:lpstr>
      <vt:lpstr>Introduction</vt:lpstr>
      <vt:lpstr>From Monday online PUR session </vt:lpstr>
      <vt:lpstr>Come back - Possible agreements</vt:lpstr>
      <vt:lpstr>References</vt:lpstr>
    </vt:vector>
  </TitlesOfParts>
  <Company>Huawei Technologies Co.,Ltd.</Company>
  <LinksUpToDate>false</LinksUpToDate>
  <CharactersWithSpaces>12146</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20</cp:revision>
  <cp:lastPrinted>2018-10-04T02:15:00Z</cp:lastPrinted>
  <dcterms:created xsi:type="dcterms:W3CDTF">2019-02-27T14:46:00Z</dcterms:created>
  <dcterms:modified xsi:type="dcterms:W3CDTF">2019-02-27T15:19:00Z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(3)U7mAHPVxIT9wZTBxCdW9W3/cJR593A4BWL0OAQAe2XVvoGqUuVTKBehW/WfucW6T4s9n8m6P
T3oFtQL1fIaEp9+Ie4i0YX1aUUNPoGFXhXGARqrM4RyjCn2fiZXktZP9Xz52a/cMmSj4H5Tp
8WLsyADXDfPPpDDhMw/xHD2kUz9d/MqfHIQxkWGVGRuZQDdBbwakvmBIz/SFmLiL+JLYD9wx
wH3TqGnSO+0NmF1Aa/</vt:lpwstr>
  </property>
  <property fmtid="{D5CDD505-2E9C-101B-9397-08002B2CF9AE}" pid="29" name="_2015_ms_pID_725343_00">
    <vt:lpwstr>_2015_ms_pID_725343</vt:lpwstr>
  </property>
  <property fmtid="{D5CDD505-2E9C-101B-9397-08002B2CF9AE}" pid="30" name="_2015_ms_pID_7253431">
    <vt:lpwstr>dFHoKAY6nJ7TmSrxwn4MSo+6086ZwqJt064LF8b2L5egGFdAx4UBxz
Bx2Hya3AxljEzRileg4nsz+FOKixV55nExuJ3biONANnk3mmJ6gXQWQFrXoYFHOsdoPDueWV
G3JZvRpqPGAXxqxxShdr92XOaSFzl8U2Q7DAUeIaxNL/CJe2cRGQkDQ7kbZ3ajUiyEE40EPV
Sx3lq19TUfDZ5/gIIBJ26IcNKWmApMtyNEAU</vt:lpwstr>
  </property>
  <property fmtid="{D5CDD505-2E9C-101B-9397-08002B2CF9AE}" pid="31" name="_2015_ms_pID_7253431_00">
    <vt:lpwstr>_2015_ms_pID_7253431</vt:lpwstr>
  </property>
  <property fmtid="{D5CDD505-2E9C-101B-9397-08002B2CF9AE}" pid="32" name="_2015_ms_pID_7253432">
    <vt:lpwstr>7akIM/clGKyhiivgG9xRYb2DV+am/7juvKVM
Ozbxm2MrO/zx1yMR9NBSZyOAAUf+F6pEP/SlnFEWjNFj4FVq4EE=</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1551271693</vt:lpwstr>
  </property>
</Properties>
</file>