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0564" w:rsidRPr="00CF195E" w:rsidRDefault="00614990" w:rsidP="00CF195E">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21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AE6563">
        <w:rPr>
          <w:b/>
          <w:kern w:val="2"/>
          <w:lang w:eastAsia="zh-CN"/>
        </w:rPr>
        <w:t>#96</w:t>
      </w:r>
      <w:r w:rsidR="00972929" w:rsidRPr="00CF195E">
        <w:rPr>
          <w:b/>
          <w:kern w:val="2"/>
          <w:lang w:eastAsia="zh-CN"/>
        </w:rPr>
        <w:tab/>
      </w:r>
      <w:r w:rsidR="001751E5" w:rsidRPr="001751E5">
        <w:rPr>
          <w:b/>
          <w:kern w:val="2"/>
          <w:lang w:eastAsia="zh-CN"/>
        </w:rPr>
        <w:t>R1-1903203</w:t>
      </w:r>
    </w:p>
    <w:p w:rsidR="009C0564" w:rsidRPr="00CF195E" w:rsidRDefault="00AE6563" w:rsidP="00CF195E">
      <w:pPr>
        <w:jc w:val="left"/>
        <w:rPr>
          <w:b/>
          <w:kern w:val="2"/>
          <w:lang w:eastAsia="zh-CN"/>
        </w:rPr>
      </w:pPr>
      <w:r>
        <w:rPr>
          <w:b/>
          <w:kern w:val="2"/>
          <w:lang w:eastAsia="zh-CN"/>
        </w:rPr>
        <w:t xml:space="preserve">Athens, Greece, </w:t>
      </w:r>
      <w:r w:rsidR="00360AF9">
        <w:rPr>
          <w:b/>
          <w:kern w:val="2"/>
          <w:lang w:eastAsia="zh-CN"/>
        </w:rPr>
        <w:t xml:space="preserve">February </w:t>
      </w:r>
      <w:r>
        <w:rPr>
          <w:b/>
          <w:kern w:val="2"/>
          <w:lang w:eastAsia="zh-CN"/>
        </w:rPr>
        <w:t>25</w:t>
      </w:r>
      <w:r>
        <w:rPr>
          <w:b/>
        </w:rPr>
        <w:t xml:space="preserve"> – March 1, </w:t>
      </w:r>
      <w:r w:rsidR="00863C5C">
        <w:rPr>
          <w:b/>
        </w:rPr>
        <w:t>2019</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E13DB2">
        <w:rPr>
          <w:rFonts w:hint="eastAsia"/>
          <w:b/>
          <w:kern w:val="2"/>
          <w:lang w:eastAsia="zh-CN"/>
        </w:rPr>
        <w:t>7</w:t>
      </w:r>
      <w:r w:rsidR="000D4C4E" w:rsidRPr="00CF195E">
        <w:rPr>
          <w:b/>
          <w:kern w:val="2"/>
          <w:lang w:eastAsia="zh-CN"/>
        </w:rPr>
        <w:t>.</w:t>
      </w:r>
      <w:r w:rsidR="00E13DB2">
        <w:rPr>
          <w:rFonts w:hint="eastAsia"/>
          <w:b/>
          <w:kern w:val="2"/>
          <w:lang w:eastAsia="zh-CN"/>
        </w:rPr>
        <w:t>2</w:t>
      </w:r>
      <w:r w:rsidR="00093AB2">
        <w:rPr>
          <w:b/>
          <w:kern w:val="2"/>
          <w:lang w:eastAsia="zh-CN"/>
        </w:rPr>
        <w:t>.</w:t>
      </w:r>
      <w:r w:rsidR="00E13DB2">
        <w:rPr>
          <w:rFonts w:hint="eastAsia"/>
          <w:b/>
          <w:kern w:val="2"/>
          <w:lang w:eastAsia="zh-CN"/>
        </w:rPr>
        <w:t>14</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093AB2">
        <w:rPr>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093AB2" w:rsidRPr="00093AB2">
        <w:rPr>
          <w:b/>
          <w:kern w:val="2"/>
          <w:lang w:eastAsia="zh-CN"/>
        </w:rPr>
        <w:t>Discussion on HARQ for NTN</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w:t>
      </w:r>
      <w:r w:rsidR="001371A5">
        <w:rPr>
          <w:b/>
          <w:kern w:val="2"/>
          <w:lang w:eastAsia="zh-CN"/>
        </w:rPr>
        <w:t>and D</w:t>
      </w:r>
      <w:r w:rsidR="006F5BDA">
        <w:rPr>
          <w:b/>
          <w:kern w:val="2"/>
          <w:lang w:eastAsia="zh-CN"/>
        </w:rPr>
        <w:t>ecision</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1"/>
      </w:pPr>
      <w:bookmarkStart w:id="0" w:name="_Ref124589705"/>
      <w:bookmarkStart w:id="1" w:name="_Ref129681862"/>
      <w:r w:rsidRPr="00CF195E">
        <w:t>Introduction</w:t>
      </w:r>
      <w:bookmarkEnd w:id="0"/>
      <w:bookmarkEnd w:id="1"/>
    </w:p>
    <w:p w:rsidR="00093AB2" w:rsidRDefault="00093AB2" w:rsidP="00093AB2">
      <w:pPr>
        <w:rPr>
          <w:color w:val="000000" w:themeColor="text1"/>
        </w:rPr>
      </w:pPr>
      <w:r>
        <w:rPr>
          <w:color w:val="000000" w:themeColor="text1"/>
        </w:rPr>
        <w:t xml:space="preserve">In </w:t>
      </w:r>
      <w:r w:rsidRPr="006C36B6">
        <w:rPr>
          <w:color w:val="000000" w:themeColor="text1"/>
        </w:rPr>
        <w:t>RAN</w:t>
      </w:r>
      <w:r>
        <w:rPr>
          <w:color w:val="000000" w:themeColor="text1"/>
        </w:rPr>
        <w:t xml:space="preserve"> </w:t>
      </w:r>
      <w:r w:rsidRPr="006C36B6">
        <w:rPr>
          <w:color w:val="000000" w:themeColor="text1"/>
        </w:rPr>
        <w:t>#80</w:t>
      </w:r>
      <w:r>
        <w:rPr>
          <w:color w:val="000000" w:themeColor="text1"/>
        </w:rPr>
        <w:t>,</w:t>
      </w:r>
      <w:r w:rsidRPr="006C36B6">
        <w:rPr>
          <w:color w:val="000000" w:themeColor="text1"/>
        </w:rPr>
        <w:t xml:space="preserve"> a new </w:t>
      </w:r>
      <w:r>
        <w:rPr>
          <w:color w:val="000000" w:themeColor="text1"/>
        </w:rPr>
        <w:t>RAN</w:t>
      </w:r>
      <w:r w:rsidR="000F04D7">
        <w:rPr>
          <w:color w:val="000000" w:themeColor="text1"/>
        </w:rPr>
        <w:t>1</w:t>
      </w:r>
      <w:r>
        <w:rPr>
          <w:color w:val="000000" w:themeColor="text1"/>
        </w:rPr>
        <w:t xml:space="preserve"> </w:t>
      </w:r>
      <w:r w:rsidRPr="006C36B6">
        <w:rPr>
          <w:color w:val="000000" w:themeColor="text1"/>
        </w:rPr>
        <w:t>SI on solutions evaluation for NR</w:t>
      </w:r>
      <w:r>
        <w:rPr>
          <w:color w:val="000000" w:themeColor="text1"/>
        </w:rPr>
        <w:t xml:space="preserve"> is approved</w:t>
      </w:r>
      <w:r w:rsidRPr="006C36B6">
        <w:rPr>
          <w:color w:val="000000" w:themeColor="text1"/>
        </w:rPr>
        <w:t xml:space="preserve"> to support non-terrestrial network (NTN) [1]. The </w:t>
      </w:r>
      <w:r>
        <w:rPr>
          <w:color w:val="000000" w:themeColor="text1"/>
        </w:rPr>
        <w:t xml:space="preserve">objectives of the </w:t>
      </w:r>
      <w:r w:rsidRPr="006C36B6">
        <w:rPr>
          <w:color w:val="000000" w:themeColor="text1"/>
        </w:rPr>
        <w:t xml:space="preserve">SI </w:t>
      </w:r>
      <w:r>
        <w:rPr>
          <w:color w:val="000000" w:themeColor="text1"/>
        </w:rPr>
        <w:t>are described as follows:</w:t>
      </w:r>
      <w:r w:rsidRPr="006C36B6">
        <w:rPr>
          <w:color w:val="000000" w:themeColor="text1"/>
        </w:rPr>
        <w:t xml:space="preserve"> </w:t>
      </w:r>
    </w:p>
    <w:p w:rsidR="009F4202" w:rsidRPr="003E3CC3" w:rsidRDefault="009F4202" w:rsidP="009F4202">
      <w:pPr>
        <w:rPr>
          <w:b/>
          <w:i/>
        </w:rPr>
      </w:pPr>
      <w:r w:rsidRPr="003E3CC3">
        <w:rPr>
          <w:b/>
          <w:i/>
        </w:rPr>
        <w:t>Physical layer</w:t>
      </w:r>
    </w:p>
    <w:p w:rsidR="009F4202" w:rsidRPr="006C36B6" w:rsidRDefault="009F4202" w:rsidP="009F4202">
      <w:pPr>
        <w:rPr>
          <w:i/>
        </w:rPr>
      </w:pPr>
      <w:r w:rsidRPr="006C36B6">
        <w:rPr>
          <w:i/>
          <w:lang w:val="nl-NL"/>
        </w:rPr>
        <w:t xml:space="preserve">Consolidation of potential impacts as initially identified in TR 38.811 and identification of related solutions if needed  [RAN1]: </w:t>
      </w:r>
    </w:p>
    <w:p w:rsidR="009F4202" w:rsidRPr="006C36B6" w:rsidRDefault="009F4202" w:rsidP="009F4202">
      <w:pPr>
        <w:widowControl w:val="0"/>
        <w:numPr>
          <w:ilvl w:val="0"/>
          <w:numId w:val="31"/>
        </w:numPr>
        <w:snapToGrid/>
        <w:spacing w:after="0" w:line="360" w:lineRule="auto"/>
        <w:jc w:val="left"/>
        <w:rPr>
          <w:i/>
        </w:rPr>
      </w:pPr>
      <w:r w:rsidRPr="006C36B6">
        <w:rPr>
          <w:i/>
        </w:rPr>
        <w:t>Physical layer control procedures (e.g. CSI feedback, power control)</w:t>
      </w:r>
    </w:p>
    <w:p w:rsidR="009F4202" w:rsidRPr="006C36B6" w:rsidRDefault="009F4202" w:rsidP="009F4202">
      <w:pPr>
        <w:widowControl w:val="0"/>
        <w:numPr>
          <w:ilvl w:val="0"/>
          <w:numId w:val="31"/>
        </w:numPr>
        <w:snapToGrid/>
        <w:spacing w:after="0" w:line="360" w:lineRule="auto"/>
        <w:jc w:val="left"/>
        <w:rPr>
          <w:i/>
        </w:rPr>
      </w:pPr>
      <w:r w:rsidRPr="006C36B6">
        <w:rPr>
          <w:i/>
        </w:rPr>
        <w:t>Uplink Timing advance/RACH procedure including PRACH sequence/format/message</w:t>
      </w:r>
    </w:p>
    <w:p w:rsidR="009F4202" w:rsidRPr="006C36B6" w:rsidRDefault="009F4202" w:rsidP="009F4202">
      <w:pPr>
        <w:widowControl w:val="0"/>
        <w:numPr>
          <w:ilvl w:val="0"/>
          <w:numId w:val="31"/>
        </w:numPr>
        <w:snapToGrid/>
        <w:spacing w:after="0" w:line="360" w:lineRule="auto"/>
        <w:jc w:val="left"/>
        <w:rPr>
          <w:i/>
        </w:rPr>
      </w:pPr>
      <w:r w:rsidRPr="006C36B6">
        <w:rPr>
          <w:i/>
        </w:rPr>
        <w:t>Making retransmission mechanisms at the physical layer more delay-tolerant as appropriate. This may also include capability to deactivate the HARQ mechanisms.</w:t>
      </w:r>
    </w:p>
    <w:p w:rsidR="009F4202" w:rsidRPr="006C36B6" w:rsidRDefault="009F4202" w:rsidP="009F4202">
      <w:pPr>
        <w:rPr>
          <w:i/>
        </w:rPr>
      </w:pPr>
      <w:r w:rsidRPr="006C36B6">
        <w:rPr>
          <w:i/>
        </w:rPr>
        <w:t>Performance assessment of NR in selected deployment scenarios (LEO based satellite access, GEO based satellite access) through link level (Radio link) and system level (cell) simulations [RAN1]</w:t>
      </w:r>
    </w:p>
    <w:p w:rsidR="009F4202" w:rsidRPr="006C36B6" w:rsidRDefault="009F4202" w:rsidP="00093AB2">
      <w:pPr>
        <w:rPr>
          <w:rFonts w:ascii="Arial" w:hAnsi="Arial" w:cs="Arial"/>
          <w:color w:val="0070C0"/>
        </w:rPr>
      </w:pPr>
    </w:p>
    <w:p w:rsidR="000F04D7" w:rsidRDefault="000F04D7" w:rsidP="00093AB2">
      <w:pPr>
        <w:rPr>
          <w:color w:val="000000" w:themeColor="text1"/>
          <w:lang w:eastAsia="zh-CN"/>
        </w:rPr>
      </w:pPr>
      <w:r>
        <w:rPr>
          <w:rFonts w:hint="eastAsia"/>
          <w:color w:val="000000" w:themeColor="text1"/>
          <w:lang w:eastAsia="zh-CN"/>
        </w:rPr>
        <w:t xml:space="preserve">In </w:t>
      </w:r>
      <w:r>
        <w:rPr>
          <w:color w:val="000000" w:themeColor="text1"/>
          <w:lang w:eastAsia="zh-CN"/>
        </w:rPr>
        <w:t>RAN #82, the agreements for RAN2 #104 are including as follows</w:t>
      </w:r>
      <w:r w:rsidR="00196A57">
        <w:rPr>
          <w:color w:val="000000" w:themeColor="text1"/>
          <w:lang w:eastAsia="zh-CN"/>
        </w:rPr>
        <w:t xml:space="preserve"> [2]</w:t>
      </w:r>
      <w:r>
        <w:rPr>
          <w:color w:val="000000" w:themeColor="text1"/>
          <w:lang w:eastAsia="zh-CN"/>
        </w:rPr>
        <w:t>:</w:t>
      </w:r>
    </w:p>
    <w:p w:rsidR="00793CDB" w:rsidRPr="005C5B87" w:rsidRDefault="00793CDB" w:rsidP="00093AB2">
      <w:pPr>
        <w:rPr>
          <w:b/>
          <w:i/>
        </w:rPr>
      </w:pPr>
      <w:r w:rsidRPr="005C5B87">
        <w:rPr>
          <w:b/>
          <w:i/>
        </w:rPr>
        <w:t>Agreements:</w:t>
      </w:r>
    </w:p>
    <w:p w:rsidR="00793CDB" w:rsidRPr="005C5B87" w:rsidRDefault="00793CDB" w:rsidP="00793CDB">
      <w:pPr>
        <w:pStyle w:val="af0"/>
        <w:numPr>
          <w:ilvl w:val="0"/>
          <w:numId w:val="34"/>
        </w:numPr>
        <w:ind w:leftChars="0"/>
        <w:rPr>
          <w:rFonts w:ascii="Times New Roman" w:eastAsia="宋体" w:hAnsi="Times New Roman"/>
          <w:i/>
          <w:kern w:val="0"/>
          <w:sz w:val="22"/>
        </w:rPr>
      </w:pPr>
      <w:r w:rsidRPr="005C5B87">
        <w:rPr>
          <w:rFonts w:ascii="Times New Roman" w:eastAsia="宋体" w:hAnsi="Times New Roman" w:hint="eastAsia"/>
          <w:i/>
          <w:kern w:val="0"/>
          <w:sz w:val="22"/>
        </w:rPr>
        <w:t>Both options (</w:t>
      </w:r>
      <w:r w:rsidRPr="005C5B87">
        <w:rPr>
          <w:rFonts w:ascii="Times New Roman" w:eastAsia="宋体" w:hAnsi="Times New Roman"/>
          <w:i/>
          <w:kern w:val="0"/>
          <w:sz w:val="22"/>
        </w:rPr>
        <w:t>enhancing HARQ and disabling HARQ) will be studied.</w:t>
      </w:r>
    </w:p>
    <w:p w:rsidR="000F04D7" w:rsidRPr="00793CDB" w:rsidRDefault="000F04D7" w:rsidP="00093AB2">
      <w:pPr>
        <w:rPr>
          <w:color w:val="000000" w:themeColor="text1"/>
          <w:lang w:val="en-GB" w:eastAsia="zh-CN"/>
        </w:rPr>
      </w:pPr>
    </w:p>
    <w:p w:rsidR="00093AB2" w:rsidRPr="00093AB2" w:rsidRDefault="00093AB2" w:rsidP="00093AB2">
      <w:pPr>
        <w:rPr>
          <w:color w:val="000000" w:themeColor="text1"/>
        </w:rPr>
      </w:pPr>
      <w:r w:rsidRPr="00093AB2">
        <w:rPr>
          <w:color w:val="000000" w:themeColor="text1"/>
        </w:rPr>
        <w:t>In this contribution, we discuss the key considerations and challenges for adapting Hybrid automatic repeat request (HARQ) procedures in NTN.</w:t>
      </w:r>
    </w:p>
    <w:p w:rsidR="008F72CC" w:rsidRPr="00093AB2" w:rsidRDefault="008F72CC" w:rsidP="00C12BC1">
      <w:pPr>
        <w:rPr>
          <w:rFonts w:eastAsia="MS Mincho"/>
          <w:lang w:eastAsia="ja-JP"/>
        </w:rPr>
      </w:pPr>
    </w:p>
    <w:p w:rsidR="009A3A86" w:rsidRPr="00CF195E" w:rsidRDefault="00093AB2" w:rsidP="00CF195E">
      <w:pPr>
        <w:pStyle w:val="1"/>
      </w:pPr>
      <w:bookmarkStart w:id="2" w:name="_Ref129681832"/>
      <w:r w:rsidRPr="00093AB2">
        <w:t>HARQ in non-terrestrial networks</w:t>
      </w:r>
      <w:r w:rsidR="006D62BC" w:rsidRPr="00CF195E">
        <w:t xml:space="preserve"> </w:t>
      </w:r>
    </w:p>
    <w:p w:rsidR="00093AB2" w:rsidRDefault="00093AB2" w:rsidP="00093AB2">
      <w:pPr>
        <w:pStyle w:val="Eqn"/>
        <w:rPr>
          <w:lang w:eastAsia="en-US"/>
        </w:rPr>
      </w:pPr>
      <w:r>
        <w:rPr>
          <w:lang w:eastAsia="en-US"/>
        </w:rPr>
        <w:t xml:space="preserve">HARQ is a combination of high-rate forward error-correcting coding and ARQ error-control. </w:t>
      </w:r>
      <w:r w:rsidR="00613E9C">
        <w:rPr>
          <w:lang w:eastAsia="en-US"/>
        </w:rPr>
        <w:t xml:space="preserve">As shown in </w:t>
      </w:r>
      <w:r w:rsidR="00FA53A0">
        <w:rPr>
          <w:lang w:eastAsia="en-US"/>
        </w:rPr>
        <w:t>F</w:t>
      </w:r>
      <w:r w:rsidR="00613E9C">
        <w:rPr>
          <w:lang w:eastAsia="en-US"/>
        </w:rPr>
        <w:t>igure 1,</w:t>
      </w:r>
      <w:r>
        <w:rPr>
          <w:lang w:eastAsia="en-US"/>
        </w:rPr>
        <w:t xml:space="preserve"> the</w:t>
      </w:r>
      <w:r w:rsidR="00FA53A0">
        <w:rPr>
          <w:lang w:eastAsia="en-US"/>
        </w:rPr>
        <w:t xml:space="preserve"> data</w:t>
      </w:r>
      <w:r>
        <w:rPr>
          <w:lang w:eastAsia="en-US"/>
        </w:rPr>
        <w:t xml:space="preserve"> </w:t>
      </w:r>
      <w:r w:rsidR="00FA53A0">
        <w:rPr>
          <w:lang w:eastAsia="en-US"/>
        </w:rPr>
        <w:t>transmission</w:t>
      </w:r>
      <w:r>
        <w:rPr>
          <w:lang w:eastAsia="en-US"/>
        </w:rPr>
        <w:t xml:space="preserve"> become</w:t>
      </w:r>
      <w:r w:rsidR="000374CD">
        <w:rPr>
          <w:lang w:eastAsia="en-US"/>
        </w:rPr>
        <w:t>s</w:t>
      </w:r>
      <w:r>
        <w:rPr>
          <w:lang w:eastAsia="en-US"/>
        </w:rPr>
        <w:t xml:space="preserve"> more reliable and efficient</w:t>
      </w:r>
      <w:r w:rsidR="00613E9C">
        <w:rPr>
          <w:lang w:eastAsia="en-US"/>
        </w:rPr>
        <w:t xml:space="preserve"> with</w:t>
      </w:r>
      <w:r w:rsidR="00FA53A0">
        <w:rPr>
          <w:lang w:eastAsia="en-US"/>
        </w:rPr>
        <w:t xml:space="preserve"> the introduction of</w:t>
      </w:r>
      <w:r w:rsidR="00613E9C">
        <w:rPr>
          <w:lang w:eastAsia="en-US"/>
        </w:rPr>
        <w:t xml:space="preserve"> HARQ</w:t>
      </w:r>
      <w:r>
        <w:rPr>
          <w:lang w:eastAsia="en-US"/>
        </w:rPr>
        <w:t xml:space="preserve">. </w:t>
      </w:r>
      <w:r w:rsidR="00B32390">
        <w:rPr>
          <w:lang w:eastAsia="en-US"/>
        </w:rPr>
        <w:t xml:space="preserve">Asynchronous </w:t>
      </w:r>
      <w:r>
        <w:rPr>
          <w:lang w:eastAsia="en-US"/>
        </w:rPr>
        <w:t xml:space="preserve">HARQ </w:t>
      </w:r>
      <w:r w:rsidR="00B32390">
        <w:rPr>
          <w:lang w:eastAsia="en-US"/>
        </w:rPr>
        <w:t>are supported for</w:t>
      </w:r>
      <w:r>
        <w:rPr>
          <w:lang w:eastAsia="en-US"/>
        </w:rPr>
        <w:t xml:space="preserve"> both DL and UL</w:t>
      </w:r>
      <w:r w:rsidR="00B32390">
        <w:rPr>
          <w:lang w:eastAsia="en-US"/>
        </w:rPr>
        <w:t xml:space="preserve"> in NR</w:t>
      </w:r>
      <w:r>
        <w:rPr>
          <w:lang w:eastAsia="en-US"/>
        </w:rPr>
        <w:t xml:space="preserve">. The </w:t>
      </w:r>
      <w:r w:rsidR="00E15D55">
        <w:rPr>
          <w:lang w:eastAsia="en-US"/>
        </w:rPr>
        <w:t>large</w:t>
      </w:r>
      <w:r>
        <w:rPr>
          <w:lang w:eastAsia="en-US"/>
        </w:rPr>
        <w:t xml:space="preserve"> propagation delay is </w:t>
      </w:r>
      <w:r w:rsidR="002D5CD4">
        <w:rPr>
          <w:lang w:eastAsia="en-US"/>
        </w:rPr>
        <w:t>one of the</w:t>
      </w:r>
      <w:r w:rsidR="000374CD">
        <w:rPr>
          <w:lang w:eastAsia="en-US"/>
        </w:rPr>
        <w:t xml:space="preserve"> </w:t>
      </w:r>
      <w:r>
        <w:rPr>
          <w:lang w:eastAsia="en-US"/>
        </w:rPr>
        <w:t>main issue</w:t>
      </w:r>
      <w:r w:rsidR="002D5CD4">
        <w:rPr>
          <w:lang w:eastAsia="en-US"/>
        </w:rPr>
        <w:t>s</w:t>
      </w:r>
      <w:r>
        <w:rPr>
          <w:lang w:eastAsia="en-US"/>
        </w:rPr>
        <w:t xml:space="preserve"> in NTN as shown in </w:t>
      </w:r>
      <w:r w:rsidR="005F107B">
        <w:rPr>
          <w:lang w:eastAsia="en-US"/>
        </w:rPr>
        <w:t xml:space="preserve">Table </w:t>
      </w:r>
      <w:r>
        <w:rPr>
          <w:lang w:eastAsia="en-US"/>
        </w:rPr>
        <w:t>1</w:t>
      </w:r>
      <w:r w:rsidR="00E15D55">
        <w:rPr>
          <w:lang w:eastAsia="en-US"/>
        </w:rPr>
        <w:t xml:space="preserve"> </w:t>
      </w:r>
      <w:r w:rsidR="005F107B">
        <w:rPr>
          <w:lang w:eastAsia="en-US"/>
        </w:rPr>
        <w:t>[</w:t>
      </w:r>
      <w:r w:rsidR="00196A57">
        <w:rPr>
          <w:lang w:eastAsia="en-US"/>
        </w:rPr>
        <w:t>3</w:t>
      </w:r>
      <w:r>
        <w:rPr>
          <w:lang w:eastAsia="en-US"/>
        </w:rPr>
        <w:t xml:space="preserve">]. From these tables, the round trip time (RTT) delay of </w:t>
      </w:r>
      <w:r w:rsidR="00164337">
        <w:rPr>
          <w:lang w:eastAsia="en-US"/>
        </w:rPr>
        <w:t xml:space="preserve">low </w:t>
      </w:r>
      <w:r>
        <w:rPr>
          <w:lang w:eastAsia="en-US"/>
        </w:rPr>
        <w:t>earth orbit (</w:t>
      </w:r>
      <w:r w:rsidR="00164337">
        <w:rPr>
          <w:lang w:eastAsia="en-US"/>
        </w:rPr>
        <w:t>LEO</w:t>
      </w:r>
      <w:r>
        <w:rPr>
          <w:lang w:eastAsia="en-US"/>
        </w:rPr>
        <w:t xml:space="preserve">) at </w:t>
      </w:r>
      <w:r w:rsidR="00164337">
        <w:rPr>
          <w:lang w:eastAsia="en-US"/>
        </w:rPr>
        <w:t>1500</w:t>
      </w:r>
      <w:r w:rsidR="005F107B">
        <w:rPr>
          <w:lang w:eastAsia="en-US"/>
        </w:rPr>
        <w:t>k</w:t>
      </w:r>
      <w:r>
        <w:rPr>
          <w:lang w:eastAsia="en-US"/>
        </w:rPr>
        <w:t xml:space="preserve">m is up to </w:t>
      </w:r>
      <w:r w:rsidR="00164337">
        <w:rPr>
          <w:lang w:eastAsia="en-US"/>
        </w:rPr>
        <w:t>24.32</w:t>
      </w:r>
      <w:r>
        <w:rPr>
          <w:lang w:eastAsia="en-US"/>
        </w:rPr>
        <w:t>ms, and the round trip delay rises to 270.572ms for geostationary earth orbit (GEO) satellite [</w:t>
      </w:r>
      <w:r w:rsidR="00196A57">
        <w:rPr>
          <w:lang w:eastAsia="en-US"/>
        </w:rPr>
        <w:t>3</w:t>
      </w:r>
      <w:r>
        <w:rPr>
          <w:lang w:eastAsia="en-US"/>
        </w:rPr>
        <w:t xml:space="preserve">]. </w:t>
      </w:r>
      <w:r w:rsidR="005E045E">
        <w:rPr>
          <w:lang w:eastAsia="en-US"/>
        </w:rPr>
        <w:t>The</w:t>
      </w:r>
      <w:r>
        <w:rPr>
          <w:lang w:eastAsia="en-US"/>
        </w:rPr>
        <w:t xml:space="preserve"> long RTT </w:t>
      </w:r>
      <w:r w:rsidR="005E045E">
        <w:rPr>
          <w:lang w:eastAsia="en-US"/>
        </w:rPr>
        <w:t>cannot be</w:t>
      </w:r>
      <w:r>
        <w:rPr>
          <w:lang w:eastAsia="en-US"/>
        </w:rPr>
        <w:t xml:space="preserve"> negligible compared to terrestrial networks. </w:t>
      </w:r>
    </w:p>
    <w:p w:rsidR="00093AB2" w:rsidRDefault="00460EC8" w:rsidP="00093AB2">
      <w:pPr>
        <w:pStyle w:val="Eqn"/>
        <w:rPr>
          <w:lang w:eastAsia="en-US"/>
        </w:rPr>
      </w:pPr>
      <w:r w:rsidRPr="00460EC8">
        <w:rPr>
          <w:lang w:eastAsia="en-US"/>
        </w:rPr>
        <w:t xml:space="preserve">According to RAN1 evaluation, the number of </w:t>
      </w:r>
      <w:r w:rsidR="002D5CD4" w:rsidRPr="00460EC8">
        <w:rPr>
          <w:lang w:eastAsia="en-US"/>
        </w:rPr>
        <w:t xml:space="preserve">required </w:t>
      </w:r>
      <w:r w:rsidRPr="00460EC8">
        <w:rPr>
          <w:lang w:eastAsia="en-US"/>
        </w:rPr>
        <w:t>HARQ processes of GEO and LEO with 1ms slot duration and 15kHz SCS are 600 and 50, respectively. Obviously, in NTN, the RTT that normally exceeds the maximum conventional HARQ process</w:t>
      </w:r>
      <w:r w:rsidR="005F107B">
        <w:rPr>
          <w:lang w:eastAsia="en-US"/>
        </w:rPr>
        <w:t xml:space="preserve"> </w:t>
      </w:r>
      <w:r w:rsidR="005F107B" w:rsidRPr="00460EC8">
        <w:rPr>
          <w:lang w:eastAsia="en-US"/>
        </w:rPr>
        <w:t>is not negligible</w:t>
      </w:r>
      <w:r w:rsidRPr="00460EC8">
        <w:rPr>
          <w:lang w:eastAsia="en-US"/>
        </w:rPr>
        <w:t xml:space="preserve">. Hence, the </w:t>
      </w:r>
      <w:r w:rsidR="00040FDE">
        <w:rPr>
          <w:lang w:eastAsia="en-US"/>
        </w:rPr>
        <w:t>current</w:t>
      </w:r>
      <w:r w:rsidR="00040FDE" w:rsidRPr="00460EC8">
        <w:rPr>
          <w:lang w:eastAsia="en-US"/>
        </w:rPr>
        <w:t xml:space="preserve"> </w:t>
      </w:r>
      <w:r w:rsidRPr="00460EC8">
        <w:rPr>
          <w:lang w:eastAsia="en-US"/>
        </w:rPr>
        <w:t xml:space="preserve">HARQ procedure may not be </w:t>
      </w:r>
      <w:r w:rsidR="00040FDE">
        <w:rPr>
          <w:lang w:eastAsia="en-US"/>
        </w:rPr>
        <w:t>suitable</w:t>
      </w:r>
      <w:r w:rsidR="00040FDE" w:rsidRPr="00460EC8">
        <w:rPr>
          <w:lang w:eastAsia="en-US"/>
        </w:rPr>
        <w:t xml:space="preserve"> </w:t>
      </w:r>
      <w:r w:rsidRPr="00460EC8">
        <w:rPr>
          <w:lang w:eastAsia="en-US"/>
        </w:rPr>
        <w:t>in NTN with the large propagation delay.</w:t>
      </w:r>
      <w:r>
        <w:rPr>
          <w:lang w:eastAsia="en-US"/>
        </w:rPr>
        <w:t xml:space="preserve"> </w:t>
      </w:r>
      <w:r w:rsidRPr="00460EC8">
        <w:rPr>
          <w:lang w:eastAsia="en-US"/>
        </w:rPr>
        <w:t>In addition, the related control channel feedback with such big HARQ process number become</w:t>
      </w:r>
      <w:r w:rsidR="000374CD">
        <w:rPr>
          <w:lang w:eastAsia="en-US"/>
        </w:rPr>
        <w:t>s</w:t>
      </w:r>
      <w:r w:rsidRPr="00460EC8">
        <w:rPr>
          <w:lang w:eastAsia="en-US"/>
        </w:rPr>
        <w:t xml:space="preserve"> more complicated and need</w:t>
      </w:r>
      <w:r w:rsidR="000374CD">
        <w:rPr>
          <w:lang w:eastAsia="en-US"/>
        </w:rPr>
        <w:t>s</w:t>
      </w:r>
      <w:r w:rsidRPr="00460EC8">
        <w:rPr>
          <w:lang w:eastAsia="en-US"/>
        </w:rPr>
        <w:t xml:space="preserve"> further study. </w:t>
      </w:r>
      <w:r w:rsidR="00093AB2">
        <w:rPr>
          <w:lang w:eastAsia="en-US"/>
        </w:rPr>
        <w:t>To handle this problem, two principles</w:t>
      </w:r>
      <w:r w:rsidR="00722C0B">
        <w:rPr>
          <w:lang w:eastAsia="en-US"/>
        </w:rPr>
        <w:t xml:space="preserve"> need to be considered:</w:t>
      </w:r>
      <w:r w:rsidR="00093AB2">
        <w:rPr>
          <w:lang w:eastAsia="en-US"/>
        </w:rPr>
        <w:t xml:space="preserve"> </w:t>
      </w:r>
      <w:r w:rsidR="00722C0B">
        <w:rPr>
          <w:lang w:eastAsia="en-US"/>
        </w:rPr>
        <w:t>o</w:t>
      </w:r>
      <w:r w:rsidR="00093AB2">
        <w:rPr>
          <w:lang w:eastAsia="en-US"/>
        </w:rPr>
        <w:t>ne is to enhance</w:t>
      </w:r>
      <w:r w:rsidR="00722C0B">
        <w:rPr>
          <w:lang w:eastAsia="en-US"/>
        </w:rPr>
        <w:t xml:space="preserve"> the</w:t>
      </w:r>
      <w:r w:rsidR="00093AB2">
        <w:rPr>
          <w:lang w:eastAsia="en-US"/>
        </w:rPr>
        <w:t xml:space="preserve"> existing HARQ operation to extend the HARQ processing accommodating low to moderate NTN RTT delays</w:t>
      </w:r>
      <w:r w:rsidR="002E1FE5">
        <w:rPr>
          <w:lang w:eastAsia="en-US"/>
        </w:rPr>
        <w:t>;</w:t>
      </w:r>
      <w:r w:rsidR="00093AB2">
        <w:rPr>
          <w:lang w:eastAsia="en-US"/>
        </w:rPr>
        <w:t xml:space="preserve"> </w:t>
      </w:r>
      <w:r w:rsidR="002E1FE5">
        <w:rPr>
          <w:lang w:eastAsia="en-US"/>
        </w:rPr>
        <w:t>t</w:t>
      </w:r>
      <w:r w:rsidR="00093AB2">
        <w:rPr>
          <w:lang w:eastAsia="en-US"/>
        </w:rPr>
        <w:t>he other one is to limit HARQ capabilities and/or disabling HARQ for long RTT delays.</w:t>
      </w:r>
    </w:p>
    <w:p w:rsidR="007776AA" w:rsidRDefault="007776AA" w:rsidP="007776AA">
      <w:pPr>
        <w:pStyle w:val="Eqn"/>
        <w:jc w:val="center"/>
        <w:rPr>
          <w:lang w:eastAsia="en-US"/>
        </w:rPr>
      </w:pPr>
      <w:r>
        <w:rPr>
          <w:noProof/>
          <w:lang w:eastAsia="zh-CN"/>
        </w:rPr>
        <w:lastRenderedPageBreak/>
        <w:drawing>
          <wp:inline distT="0" distB="0" distL="0" distR="0">
            <wp:extent cx="5718890" cy="1419225"/>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6370" cy="1428526"/>
                    </a:xfrm>
                    <a:prstGeom prst="rect">
                      <a:avLst/>
                    </a:prstGeom>
                    <a:noFill/>
                  </pic:spPr>
                </pic:pic>
              </a:graphicData>
            </a:graphic>
          </wp:inline>
        </w:drawing>
      </w:r>
    </w:p>
    <w:p w:rsidR="007776AA" w:rsidRDefault="007776AA" w:rsidP="007776AA">
      <w:pPr>
        <w:pStyle w:val="Eqn"/>
        <w:jc w:val="center"/>
        <w:rPr>
          <w:lang w:eastAsia="zh-CN"/>
        </w:rPr>
      </w:pPr>
      <w:r>
        <w:rPr>
          <w:rFonts w:hint="eastAsia"/>
          <w:lang w:eastAsia="zh-CN"/>
        </w:rPr>
        <w:t xml:space="preserve">Figure 1. </w:t>
      </w:r>
      <w:r>
        <w:rPr>
          <w:lang w:eastAsia="zh-CN"/>
        </w:rPr>
        <w:t xml:space="preserve">The </w:t>
      </w:r>
      <w:r>
        <w:rPr>
          <w:rFonts w:ascii="inherit" w:hAnsi="inherit"/>
          <w:color w:val="212121"/>
        </w:rPr>
        <w:t>schematic diagram of</w:t>
      </w:r>
      <w:r w:rsidR="00B45A11">
        <w:rPr>
          <w:rFonts w:ascii="inherit" w:hAnsi="inherit"/>
          <w:color w:val="212121"/>
        </w:rPr>
        <w:t xml:space="preserve"> traditional</w:t>
      </w:r>
      <w:r>
        <w:rPr>
          <w:rFonts w:ascii="inherit" w:hAnsi="inherit"/>
          <w:color w:val="212121"/>
        </w:rPr>
        <w:t xml:space="preserve"> HARQ procedure</w:t>
      </w:r>
    </w:p>
    <w:p w:rsidR="007776AA" w:rsidRDefault="007776AA" w:rsidP="00093AB2">
      <w:pPr>
        <w:pStyle w:val="Eqn"/>
        <w:rPr>
          <w:lang w:eastAsia="en-US"/>
        </w:rPr>
      </w:pPr>
    </w:p>
    <w:p w:rsidR="00736E3F" w:rsidRPr="00093AB2" w:rsidRDefault="00736E3F" w:rsidP="00736E3F">
      <w:pPr>
        <w:pStyle w:val="Eqn"/>
        <w:jc w:val="center"/>
        <w:rPr>
          <w:b/>
        </w:rPr>
      </w:pPr>
      <w:r w:rsidRPr="00093AB2">
        <w:rPr>
          <w:b/>
        </w:rPr>
        <w:t xml:space="preserve">Table </w:t>
      </w:r>
      <w:r w:rsidR="00C44437" w:rsidRPr="00093AB2">
        <w:rPr>
          <w:b/>
        </w:rPr>
        <w:fldChar w:fldCharType="begin"/>
      </w:r>
      <w:r w:rsidRPr="00093AB2">
        <w:rPr>
          <w:b/>
        </w:rPr>
        <w:instrText xml:space="preserve"> SEQ Table \* ARABIC </w:instrText>
      </w:r>
      <w:r w:rsidR="00C44437" w:rsidRPr="00093AB2">
        <w:rPr>
          <w:b/>
        </w:rPr>
        <w:fldChar w:fldCharType="separate"/>
      </w:r>
      <w:r w:rsidRPr="00093AB2">
        <w:rPr>
          <w:b/>
        </w:rPr>
        <w:t>1</w:t>
      </w:r>
      <w:r w:rsidR="00C44437" w:rsidRPr="00093AB2">
        <w:fldChar w:fldCharType="end"/>
      </w:r>
      <w:r w:rsidRPr="00093AB2">
        <w:rPr>
          <w:b/>
        </w:rPr>
        <w:t xml:space="preserve"> Propagation delays for </w:t>
      </w:r>
      <w:r w:rsidR="000F1357">
        <w:rPr>
          <w:b/>
        </w:rPr>
        <w:t>NTN scenarios</w:t>
      </w:r>
    </w:p>
    <w:tbl>
      <w:tblPr>
        <w:tblW w:w="5000" w:type="pct"/>
        <w:tblLayout w:type="fixed"/>
        <w:tblCellMar>
          <w:left w:w="70" w:type="dxa"/>
          <w:right w:w="70" w:type="dxa"/>
        </w:tblCellMar>
        <w:tblLook w:val="04A0" w:firstRow="1" w:lastRow="0" w:firstColumn="1" w:lastColumn="0" w:noHBand="0" w:noVBand="1"/>
      </w:tblPr>
      <w:tblGrid>
        <w:gridCol w:w="1667"/>
        <w:gridCol w:w="1363"/>
        <w:gridCol w:w="1074"/>
        <w:gridCol w:w="1072"/>
        <w:gridCol w:w="1072"/>
        <w:gridCol w:w="1072"/>
        <w:gridCol w:w="1072"/>
        <w:gridCol w:w="1065"/>
      </w:tblGrid>
      <w:tr w:rsidR="00736E3F" w:rsidRPr="00093AB2" w:rsidTr="009802EF">
        <w:trPr>
          <w:cantSplit/>
        </w:trPr>
        <w:tc>
          <w:tcPr>
            <w:tcW w:w="88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6E3F" w:rsidRPr="00093AB2" w:rsidRDefault="00736E3F" w:rsidP="009802EF">
            <w:pPr>
              <w:pStyle w:val="Eqn"/>
              <w:rPr>
                <w:b/>
                <w:lang w:val="en-GB"/>
              </w:rPr>
            </w:pPr>
            <w:r w:rsidRPr="00093AB2">
              <w:rPr>
                <w:b/>
                <w:lang w:val="en-GB"/>
              </w:rPr>
              <w:t> </w:t>
            </w:r>
          </w:p>
        </w:tc>
        <w:tc>
          <w:tcPr>
            <w:tcW w:w="720" w:type="pct"/>
            <w:tcBorders>
              <w:top w:val="single" w:sz="4" w:space="0" w:color="auto"/>
              <w:left w:val="nil"/>
              <w:bottom w:val="single" w:sz="4" w:space="0" w:color="auto"/>
              <w:right w:val="single" w:sz="4" w:space="0" w:color="auto"/>
            </w:tcBorders>
            <w:shd w:val="clear" w:color="auto" w:fill="auto"/>
            <w:noWrap/>
            <w:vAlign w:val="bottom"/>
            <w:hideMark/>
          </w:tcPr>
          <w:p w:rsidR="00736E3F" w:rsidRPr="00093AB2" w:rsidRDefault="00736E3F" w:rsidP="009802EF">
            <w:pPr>
              <w:pStyle w:val="Eqn"/>
              <w:rPr>
                <w:b/>
                <w:lang w:val="en-GB"/>
              </w:rPr>
            </w:pPr>
            <w:r w:rsidRPr="00093AB2">
              <w:rPr>
                <w:b/>
                <w:lang w:val="en-GB"/>
              </w:rPr>
              <w:t> </w:t>
            </w:r>
          </w:p>
        </w:tc>
        <w:tc>
          <w:tcPr>
            <w:tcW w:w="1135" w:type="pct"/>
            <w:gridSpan w:val="2"/>
            <w:tcBorders>
              <w:top w:val="single" w:sz="4" w:space="0" w:color="auto"/>
              <w:left w:val="nil"/>
              <w:bottom w:val="single" w:sz="4" w:space="0" w:color="auto"/>
              <w:right w:val="single" w:sz="4" w:space="0" w:color="auto"/>
            </w:tcBorders>
            <w:shd w:val="clear" w:color="auto" w:fill="auto"/>
            <w:noWrap/>
            <w:vAlign w:val="bottom"/>
            <w:hideMark/>
          </w:tcPr>
          <w:p w:rsidR="00736E3F" w:rsidRPr="00093AB2" w:rsidRDefault="00736E3F" w:rsidP="009802EF">
            <w:pPr>
              <w:pStyle w:val="Eqn"/>
              <w:rPr>
                <w:b/>
                <w:lang w:val="fr-FR"/>
              </w:rPr>
            </w:pPr>
            <w:r w:rsidRPr="00093AB2">
              <w:rPr>
                <w:b/>
                <w:lang w:val="fr-FR"/>
              </w:rPr>
              <w:t>LEO at 600 km</w:t>
            </w:r>
          </w:p>
        </w:tc>
        <w:tc>
          <w:tcPr>
            <w:tcW w:w="1134" w:type="pct"/>
            <w:gridSpan w:val="2"/>
            <w:tcBorders>
              <w:top w:val="single" w:sz="4" w:space="0" w:color="auto"/>
              <w:left w:val="nil"/>
              <w:bottom w:val="single" w:sz="4" w:space="0" w:color="auto"/>
              <w:right w:val="single" w:sz="4" w:space="0" w:color="auto"/>
            </w:tcBorders>
            <w:shd w:val="clear" w:color="auto" w:fill="auto"/>
            <w:noWrap/>
            <w:vAlign w:val="bottom"/>
            <w:hideMark/>
          </w:tcPr>
          <w:p w:rsidR="00736E3F" w:rsidRPr="00093AB2" w:rsidRDefault="00736E3F" w:rsidP="009802EF">
            <w:pPr>
              <w:pStyle w:val="Eqn"/>
              <w:rPr>
                <w:b/>
                <w:lang w:val="fr-FR"/>
              </w:rPr>
            </w:pPr>
            <w:r w:rsidRPr="00093AB2">
              <w:rPr>
                <w:b/>
                <w:lang w:val="fr-FR"/>
              </w:rPr>
              <w:t>LEO at 1500 km</w:t>
            </w:r>
          </w:p>
        </w:tc>
        <w:tc>
          <w:tcPr>
            <w:tcW w:w="1130" w:type="pct"/>
            <w:gridSpan w:val="2"/>
            <w:tcBorders>
              <w:top w:val="single" w:sz="4" w:space="0" w:color="auto"/>
              <w:left w:val="nil"/>
              <w:bottom w:val="single" w:sz="4" w:space="0" w:color="auto"/>
              <w:right w:val="single" w:sz="4" w:space="0" w:color="auto"/>
            </w:tcBorders>
            <w:shd w:val="clear" w:color="auto" w:fill="auto"/>
            <w:noWrap/>
            <w:vAlign w:val="bottom"/>
            <w:hideMark/>
          </w:tcPr>
          <w:p w:rsidR="00736E3F" w:rsidRPr="00093AB2" w:rsidRDefault="000F1357" w:rsidP="00A22316">
            <w:pPr>
              <w:pStyle w:val="Eqn"/>
              <w:rPr>
                <w:b/>
                <w:lang w:val="fr-FR"/>
              </w:rPr>
            </w:pPr>
            <w:r w:rsidRPr="00093AB2">
              <w:rPr>
                <w:b/>
                <w:lang w:val="fr-FR"/>
              </w:rPr>
              <w:t>GEO at 35786 km</w:t>
            </w:r>
            <w:r w:rsidR="00736E3F" w:rsidRPr="00F332BC">
              <w:rPr>
                <w:b/>
                <w:highlight w:val="yellow"/>
                <w:lang w:val="fr-FR"/>
              </w:rPr>
              <w:t xml:space="preserve"> </w:t>
            </w:r>
          </w:p>
        </w:tc>
      </w:tr>
      <w:tr w:rsidR="00736E3F" w:rsidRPr="00093AB2" w:rsidTr="009802EF">
        <w:trPr>
          <w:cantSplit/>
        </w:trPr>
        <w:tc>
          <w:tcPr>
            <w:tcW w:w="881" w:type="pct"/>
            <w:tcBorders>
              <w:top w:val="nil"/>
              <w:left w:val="single" w:sz="4" w:space="0" w:color="auto"/>
              <w:bottom w:val="single" w:sz="4" w:space="0" w:color="auto"/>
              <w:right w:val="single" w:sz="4" w:space="0" w:color="auto"/>
            </w:tcBorders>
            <w:shd w:val="clear" w:color="auto" w:fill="auto"/>
            <w:noWrap/>
            <w:vAlign w:val="bottom"/>
            <w:hideMark/>
          </w:tcPr>
          <w:p w:rsidR="00736E3F" w:rsidRPr="00093AB2" w:rsidRDefault="00736E3F" w:rsidP="009802EF">
            <w:pPr>
              <w:pStyle w:val="Eqn"/>
              <w:rPr>
                <w:b/>
                <w:lang w:val="en-GB"/>
              </w:rPr>
            </w:pPr>
            <w:r w:rsidRPr="00093AB2">
              <w:rPr>
                <w:b/>
                <w:lang w:val="en-GB"/>
              </w:rPr>
              <w:t>Elevation angle</w:t>
            </w:r>
          </w:p>
        </w:tc>
        <w:tc>
          <w:tcPr>
            <w:tcW w:w="720" w:type="pct"/>
            <w:tcBorders>
              <w:top w:val="nil"/>
              <w:left w:val="nil"/>
              <w:bottom w:val="single" w:sz="4" w:space="0" w:color="auto"/>
              <w:right w:val="single" w:sz="4" w:space="0" w:color="auto"/>
            </w:tcBorders>
            <w:shd w:val="clear" w:color="auto" w:fill="auto"/>
            <w:noWrap/>
            <w:vAlign w:val="bottom"/>
            <w:hideMark/>
          </w:tcPr>
          <w:p w:rsidR="00736E3F" w:rsidRPr="00093AB2" w:rsidRDefault="00736E3F" w:rsidP="009802EF">
            <w:pPr>
              <w:pStyle w:val="Eqn"/>
              <w:rPr>
                <w:b/>
                <w:lang w:val="en-GB"/>
              </w:rPr>
            </w:pPr>
            <w:r w:rsidRPr="00093AB2">
              <w:rPr>
                <w:b/>
                <w:lang w:val="en-GB"/>
              </w:rPr>
              <w:t>Path</w:t>
            </w:r>
          </w:p>
        </w:tc>
        <w:tc>
          <w:tcPr>
            <w:tcW w:w="568" w:type="pct"/>
            <w:tcBorders>
              <w:top w:val="nil"/>
              <w:left w:val="nil"/>
              <w:bottom w:val="single" w:sz="4" w:space="0" w:color="auto"/>
              <w:right w:val="single" w:sz="4" w:space="0" w:color="auto"/>
            </w:tcBorders>
            <w:shd w:val="clear" w:color="auto" w:fill="auto"/>
            <w:noWrap/>
            <w:vAlign w:val="bottom"/>
            <w:hideMark/>
          </w:tcPr>
          <w:p w:rsidR="00736E3F" w:rsidRPr="00093AB2" w:rsidRDefault="00736E3F" w:rsidP="009802EF">
            <w:pPr>
              <w:pStyle w:val="Eqn"/>
              <w:rPr>
                <w:b/>
                <w:lang w:val="fr-FR"/>
              </w:rPr>
            </w:pPr>
            <w:r w:rsidRPr="00093AB2">
              <w:rPr>
                <w:b/>
                <w:lang w:val="fr-FR"/>
              </w:rPr>
              <w:t>Distance D (km)</w:t>
            </w:r>
          </w:p>
        </w:tc>
        <w:tc>
          <w:tcPr>
            <w:tcW w:w="567" w:type="pct"/>
            <w:tcBorders>
              <w:top w:val="nil"/>
              <w:left w:val="nil"/>
              <w:bottom w:val="single" w:sz="4" w:space="0" w:color="auto"/>
              <w:right w:val="single" w:sz="4" w:space="0" w:color="auto"/>
            </w:tcBorders>
            <w:shd w:val="clear" w:color="auto" w:fill="auto"/>
            <w:noWrap/>
            <w:vAlign w:val="bottom"/>
            <w:hideMark/>
          </w:tcPr>
          <w:p w:rsidR="00736E3F" w:rsidRPr="00093AB2" w:rsidRDefault="00736E3F" w:rsidP="009802EF">
            <w:pPr>
              <w:pStyle w:val="Eqn"/>
              <w:rPr>
                <w:b/>
                <w:lang w:val="fr-FR"/>
              </w:rPr>
            </w:pPr>
            <w:r w:rsidRPr="00093AB2">
              <w:rPr>
                <w:b/>
                <w:lang w:val="fr-FR"/>
              </w:rPr>
              <w:t>Delay (ms)</w:t>
            </w:r>
          </w:p>
        </w:tc>
        <w:tc>
          <w:tcPr>
            <w:tcW w:w="567" w:type="pct"/>
            <w:tcBorders>
              <w:top w:val="nil"/>
              <w:left w:val="nil"/>
              <w:bottom w:val="single" w:sz="4" w:space="0" w:color="auto"/>
              <w:right w:val="single" w:sz="4" w:space="0" w:color="auto"/>
            </w:tcBorders>
            <w:shd w:val="clear" w:color="auto" w:fill="auto"/>
            <w:noWrap/>
            <w:vAlign w:val="bottom"/>
            <w:hideMark/>
          </w:tcPr>
          <w:p w:rsidR="00736E3F" w:rsidRPr="00093AB2" w:rsidRDefault="00736E3F" w:rsidP="009802EF">
            <w:pPr>
              <w:pStyle w:val="Eqn"/>
              <w:rPr>
                <w:b/>
                <w:lang w:val="fr-FR"/>
              </w:rPr>
            </w:pPr>
            <w:r w:rsidRPr="00093AB2">
              <w:rPr>
                <w:b/>
                <w:lang w:val="fr-FR"/>
              </w:rPr>
              <w:t>Distance D (km)</w:t>
            </w:r>
          </w:p>
        </w:tc>
        <w:tc>
          <w:tcPr>
            <w:tcW w:w="567" w:type="pct"/>
            <w:tcBorders>
              <w:top w:val="nil"/>
              <w:left w:val="nil"/>
              <w:bottom w:val="single" w:sz="4" w:space="0" w:color="auto"/>
              <w:right w:val="single" w:sz="4" w:space="0" w:color="auto"/>
            </w:tcBorders>
            <w:shd w:val="clear" w:color="auto" w:fill="auto"/>
            <w:noWrap/>
            <w:vAlign w:val="bottom"/>
            <w:hideMark/>
          </w:tcPr>
          <w:p w:rsidR="00736E3F" w:rsidRPr="00093AB2" w:rsidRDefault="00736E3F" w:rsidP="009802EF">
            <w:pPr>
              <w:pStyle w:val="Eqn"/>
              <w:rPr>
                <w:b/>
                <w:lang w:val="fr-FR"/>
              </w:rPr>
            </w:pPr>
            <w:r w:rsidRPr="00093AB2">
              <w:rPr>
                <w:b/>
                <w:lang w:val="fr-FR"/>
              </w:rPr>
              <w:t>Delay (ms)</w:t>
            </w:r>
          </w:p>
        </w:tc>
        <w:tc>
          <w:tcPr>
            <w:tcW w:w="567" w:type="pct"/>
            <w:tcBorders>
              <w:top w:val="nil"/>
              <w:left w:val="nil"/>
              <w:bottom w:val="single" w:sz="4" w:space="0" w:color="auto"/>
              <w:right w:val="single" w:sz="4" w:space="0" w:color="auto"/>
            </w:tcBorders>
            <w:shd w:val="clear" w:color="auto" w:fill="auto"/>
            <w:noWrap/>
            <w:vAlign w:val="bottom"/>
            <w:hideMark/>
          </w:tcPr>
          <w:p w:rsidR="00736E3F" w:rsidRPr="00093AB2" w:rsidRDefault="00736E3F" w:rsidP="009802EF">
            <w:pPr>
              <w:pStyle w:val="Eqn"/>
              <w:rPr>
                <w:b/>
                <w:lang w:val="fr-FR"/>
              </w:rPr>
            </w:pPr>
            <w:r w:rsidRPr="00093AB2">
              <w:rPr>
                <w:b/>
                <w:lang w:val="fr-FR"/>
              </w:rPr>
              <w:t>Distance D (km)</w:t>
            </w:r>
          </w:p>
        </w:tc>
        <w:tc>
          <w:tcPr>
            <w:tcW w:w="563" w:type="pct"/>
            <w:tcBorders>
              <w:top w:val="nil"/>
              <w:left w:val="nil"/>
              <w:bottom w:val="single" w:sz="4" w:space="0" w:color="auto"/>
              <w:right w:val="single" w:sz="4" w:space="0" w:color="auto"/>
            </w:tcBorders>
            <w:shd w:val="clear" w:color="auto" w:fill="auto"/>
            <w:noWrap/>
            <w:vAlign w:val="bottom"/>
            <w:hideMark/>
          </w:tcPr>
          <w:p w:rsidR="00736E3F" w:rsidRPr="00093AB2" w:rsidRDefault="00736E3F" w:rsidP="009802EF">
            <w:pPr>
              <w:pStyle w:val="Eqn"/>
              <w:rPr>
                <w:b/>
                <w:lang w:val="fr-FR"/>
              </w:rPr>
            </w:pPr>
            <w:r w:rsidRPr="00093AB2">
              <w:rPr>
                <w:b/>
                <w:lang w:val="fr-FR"/>
              </w:rPr>
              <w:t>Delay (ms)</w:t>
            </w:r>
          </w:p>
        </w:tc>
      </w:tr>
      <w:tr w:rsidR="00736E3F" w:rsidRPr="00093AB2" w:rsidTr="009802EF">
        <w:trPr>
          <w:cantSplit/>
        </w:trPr>
        <w:tc>
          <w:tcPr>
            <w:tcW w:w="881" w:type="pct"/>
            <w:tcBorders>
              <w:top w:val="nil"/>
              <w:left w:val="single" w:sz="4" w:space="0" w:color="auto"/>
              <w:bottom w:val="single" w:sz="4" w:space="0" w:color="auto"/>
              <w:right w:val="single" w:sz="4" w:space="0" w:color="auto"/>
            </w:tcBorders>
            <w:shd w:val="clear" w:color="auto" w:fill="auto"/>
            <w:noWrap/>
            <w:vAlign w:val="center"/>
            <w:hideMark/>
          </w:tcPr>
          <w:p w:rsidR="00736E3F" w:rsidRPr="00093AB2" w:rsidRDefault="00736E3F" w:rsidP="009802EF">
            <w:pPr>
              <w:pStyle w:val="Eqn"/>
            </w:pPr>
            <w:r w:rsidRPr="00093AB2">
              <w:t>UE: 10°</w:t>
            </w:r>
          </w:p>
        </w:tc>
        <w:tc>
          <w:tcPr>
            <w:tcW w:w="720" w:type="pct"/>
            <w:tcBorders>
              <w:top w:val="nil"/>
              <w:left w:val="nil"/>
              <w:bottom w:val="single" w:sz="4" w:space="0" w:color="auto"/>
              <w:right w:val="single" w:sz="4" w:space="0" w:color="auto"/>
            </w:tcBorders>
            <w:shd w:val="clear" w:color="auto" w:fill="auto"/>
            <w:vAlign w:val="center"/>
            <w:hideMark/>
          </w:tcPr>
          <w:p w:rsidR="00736E3F" w:rsidRPr="00093AB2" w:rsidRDefault="00736E3F" w:rsidP="009802EF">
            <w:pPr>
              <w:pStyle w:val="Eqn"/>
            </w:pPr>
            <w:r w:rsidRPr="00093AB2">
              <w:t>satellite - UE</w:t>
            </w:r>
          </w:p>
        </w:tc>
        <w:tc>
          <w:tcPr>
            <w:tcW w:w="568" w:type="pct"/>
            <w:tcBorders>
              <w:top w:val="nil"/>
              <w:left w:val="nil"/>
              <w:bottom w:val="single" w:sz="4" w:space="0" w:color="auto"/>
              <w:right w:val="single" w:sz="4" w:space="0" w:color="auto"/>
            </w:tcBorders>
            <w:shd w:val="clear" w:color="auto" w:fill="auto"/>
            <w:noWrap/>
            <w:vAlign w:val="center"/>
            <w:hideMark/>
          </w:tcPr>
          <w:p w:rsidR="00736E3F" w:rsidRPr="00093AB2" w:rsidRDefault="00736E3F" w:rsidP="009802EF">
            <w:pPr>
              <w:pStyle w:val="Eqn"/>
              <w:rPr>
                <w:lang w:val="fr-FR"/>
              </w:rPr>
            </w:pPr>
            <w:r w:rsidRPr="00093AB2">
              <w:rPr>
                <w:lang w:val="fr-FR"/>
              </w:rPr>
              <w:t>1932.24</w:t>
            </w:r>
          </w:p>
        </w:tc>
        <w:tc>
          <w:tcPr>
            <w:tcW w:w="567" w:type="pct"/>
            <w:tcBorders>
              <w:top w:val="nil"/>
              <w:left w:val="nil"/>
              <w:bottom w:val="single" w:sz="4" w:space="0" w:color="auto"/>
              <w:right w:val="single" w:sz="4" w:space="0" w:color="auto"/>
            </w:tcBorders>
            <w:shd w:val="clear" w:color="auto" w:fill="auto"/>
            <w:noWrap/>
            <w:vAlign w:val="center"/>
            <w:hideMark/>
          </w:tcPr>
          <w:p w:rsidR="00736E3F" w:rsidRPr="00093AB2" w:rsidRDefault="00736E3F" w:rsidP="009802EF">
            <w:pPr>
              <w:pStyle w:val="Eqn"/>
              <w:rPr>
                <w:lang w:val="fr-FR"/>
              </w:rPr>
            </w:pPr>
            <w:r w:rsidRPr="00093AB2">
              <w:rPr>
                <w:lang w:val="fr-FR"/>
              </w:rPr>
              <w:t>6,440</w:t>
            </w:r>
          </w:p>
        </w:tc>
        <w:tc>
          <w:tcPr>
            <w:tcW w:w="567" w:type="pct"/>
            <w:tcBorders>
              <w:top w:val="nil"/>
              <w:left w:val="nil"/>
              <w:bottom w:val="single" w:sz="4" w:space="0" w:color="auto"/>
              <w:right w:val="single" w:sz="4" w:space="0" w:color="auto"/>
            </w:tcBorders>
            <w:shd w:val="clear" w:color="auto" w:fill="auto"/>
            <w:noWrap/>
            <w:vAlign w:val="center"/>
            <w:hideMark/>
          </w:tcPr>
          <w:p w:rsidR="00736E3F" w:rsidRPr="00093AB2" w:rsidRDefault="00736E3F" w:rsidP="009802EF">
            <w:pPr>
              <w:pStyle w:val="Eqn"/>
              <w:rPr>
                <w:lang w:val="fr-FR"/>
              </w:rPr>
            </w:pPr>
            <w:r w:rsidRPr="00093AB2">
              <w:rPr>
                <w:lang w:val="fr-FR"/>
              </w:rPr>
              <w:t>3647.5</w:t>
            </w:r>
          </w:p>
        </w:tc>
        <w:tc>
          <w:tcPr>
            <w:tcW w:w="567" w:type="pct"/>
            <w:tcBorders>
              <w:top w:val="nil"/>
              <w:left w:val="nil"/>
              <w:bottom w:val="single" w:sz="4" w:space="0" w:color="auto"/>
              <w:right w:val="single" w:sz="4" w:space="0" w:color="auto"/>
            </w:tcBorders>
            <w:shd w:val="clear" w:color="auto" w:fill="auto"/>
            <w:noWrap/>
            <w:vAlign w:val="center"/>
            <w:hideMark/>
          </w:tcPr>
          <w:p w:rsidR="00736E3F" w:rsidRPr="00093AB2" w:rsidRDefault="00736E3F" w:rsidP="009802EF">
            <w:pPr>
              <w:pStyle w:val="Eqn"/>
              <w:rPr>
                <w:lang w:val="fr-FR"/>
              </w:rPr>
            </w:pPr>
            <w:r w:rsidRPr="00093AB2">
              <w:rPr>
                <w:lang w:val="fr-FR"/>
              </w:rPr>
              <w:t>12,158</w:t>
            </w:r>
          </w:p>
        </w:tc>
        <w:tc>
          <w:tcPr>
            <w:tcW w:w="567" w:type="pct"/>
            <w:tcBorders>
              <w:top w:val="nil"/>
              <w:left w:val="nil"/>
              <w:bottom w:val="single" w:sz="4" w:space="0" w:color="auto"/>
              <w:right w:val="single" w:sz="4" w:space="0" w:color="auto"/>
            </w:tcBorders>
            <w:shd w:val="clear" w:color="auto" w:fill="auto"/>
            <w:noWrap/>
            <w:vAlign w:val="center"/>
            <w:hideMark/>
          </w:tcPr>
          <w:p w:rsidR="00736E3F" w:rsidRPr="00093AB2" w:rsidRDefault="000F1357" w:rsidP="009802EF">
            <w:pPr>
              <w:pStyle w:val="Eqn"/>
              <w:rPr>
                <w:lang w:val="fr-FR"/>
              </w:rPr>
            </w:pPr>
            <w:r w:rsidRPr="00093AB2">
              <w:t>40586</w:t>
            </w:r>
          </w:p>
        </w:tc>
        <w:tc>
          <w:tcPr>
            <w:tcW w:w="563" w:type="pct"/>
            <w:tcBorders>
              <w:top w:val="nil"/>
              <w:left w:val="nil"/>
              <w:bottom w:val="single" w:sz="4" w:space="0" w:color="auto"/>
              <w:right w:val="single" w:sz="4" w:space="0" w:color="auto"/>
            </w:tcBorders>
            <w:shd w:val="clear" w:color="auto" w:fill="auto"/>
            <w:noWrap/>
            <w:vAlign w:val="center"/>
            <w:hideMark/>
          </w:tcPr>
          <w:p w:rsidR="00736E3F" w:rsidRPr="00093AB2" w:rsidRDefault="000F1357" w:rsidP="009802EF">
            <w:pPr>
              <w:pStyle w:val="Eqn"/>
              <w:rPr>
                <w:lang w:val="fr-FR"/>
              </w:rPr>
            </w:pPr>
            <w:r w:rsidRPr="00093AB2">
              <w:t>135.286</w:t>
            </w:r>
          </w:p>
        </w:tc>
      </w:tr>
      <w:tr w:rsidR="00736E3F" w:rsidRPr="00093AB2" w:rsidTr="009802EF">
        <w:trPr>
          <w:cantSplit/>
        </w:trPr>
        <w:tc>
          <w:tcPr>
            <w:tcW w:w="881" w:type="pct"/>
            <w:tcBorders>
              <w:top w:val="nil"/>
              <w:left w:val="single" w:sz="4" w:space="0" w:color="auto"/>
              <w:bottom w:val="single" w:sz="4" w:space="0" w:color="auto"/>
              <w:right w:val="single" w:sz="4" w:space="0" w:color="auto"/>
            </w:tcBorders>
            <w:shd w:val="clear" w:color="auto" w:fill="auto"/>
            <w:noWrap/>
            <w:vAlign w:val="center"/>
            <w:hideMark/>
          </w:tcPr>
          <w:p w:rsidR="00736E3F" w:rsidRPr="00093AB2" w:rsidRDefault="00736E3F" w:rsidP="009802EF">
            <w:pPr>
              <w:pStyle w:val="Eqn"/>
            </w:pPr>
            <w:r w:rsidRPr="00093AB2">
              <w:t>GW: 5°</w:t>
            </w:r>
          </w:p>
        </w:tc>
        <w:tc>
          <w:tcPr>
            <w:tcW w:w="720" w:type="pct"/>
            <w:tcBorders>
              <w:top w:val="nil"/>
              <w:left w:val="nil"/>
              <w:bottom w:val="single" w:sz="4" w:space="0" w:color="auto"/>
              <w:right w:val="single" w:sz="4" w:space="0" w:color="auto"/>
            </w:tcBorders>
            <w:shd w:val="clear" w:color="auto" w:fill="auto"/>
            <w:vAlign w:val="center"/>
            <w:hideMark/>
          </w:tcPr>
          <w:p w:rsidR="00736E3F" w:rsidRPr="00093AB2" w:rsidRDefault="00736E3F" w:rsidP="009802EF">
            <w:pPr>
              <w:pStyle w:val="Eqn"/>
            </w:pPr>
            <w:r w:rsidRPr="00093AB2">
              <w:t>satellite - gateway</w:t>
            </w:r>
          </w:p>
        </w:tc>
        <w:tc>
          <w:tcPr>
            <w:tcW w:w="568" w:type="pct"/>
            <w:tcBorders>
              <w:top w:val="nil"/>
              <w:left w:val="nil"/>
              <w:bottom w:val="single" w:sz="4" w:space="0" w:color="auto"/>
              <w:right w:val="single" w:sz="4" w:space="0" w:color="auto"/>
            </w:tcBorders>
            <w:shd w:val="clear" w:color="auto" w:fill="auto"/>
            <w:noWrap/>
            <w:vAlign w:val="center"/>
            <w:hideMark/>
          </w:tcPr>
          <w:p w:rsidR="00736E3F" w:rsidRPr="00093AB2" w:rsidRDefault="00736E3F" w:rsidP="009802EF">
            <w:pPr>
              <w:pStyle w:val="Eqn"/>
              <w:rPr>
                <w:lang w:val="fr-FR"/>
              </w:rPr>
            </w:pPr>
            <w:r w:rsidRPr="00093AB2">
              <w:rPr>
                <w:lang w:val="fr-FR"/>
              </w:rPr>
              <w:t>2329.01</w:t>
            </w:r>
          </w:p>
        </w:tc>
        <w:tc>
          <w:tcPr>
            <w:tcW w:w="567" w:type="pct"/>
            <w:tcBorders>
              <w:top w:val="nil"/>
              <w:left w:val="nil"/>
              <w:bottom w:val="single" w:sz="4" w:space="0" w:color="auto"/>
              <w:right w:val="single" w:sz="4" w:space="0" w:color="auto"/>
            </w:tcBorders>
            <w:shd w:val="clear" w:color="auto" w:fill="auto"/>
            <w:noWrap/>
            <w:vAlign w:val="center"/>
            <w:hideMark/>
          </w:tcPr>
          <w:p w:rsidR="00736E3F" w:rsidRPr="00093AB2" w:rsidRDefault="00736E3F" w:rsidP="009802EF">
            <w:pPr>
              <w:pStyle w:val="Eqn"/>
              <w:rPr>
                <w:lang w:val="fr-FR"/>
              </w:rPr>
            </w:pPr>
            <w:r w:rsidRPr="00093AB2">
              <w:rPr>
                <w:lang w:val="fr-FR"/>
              </w:rPr>
              <w:t>7.763</w:t>
            </w:r>
          </w:p>
        </w:tc>
        <w:tc>
          <w:tcPr>
            <w:tcW w:w="567" w:type="pct"/>
            <w:tcBorders>
              <w:top w:val="nil"/>
              <w:left w:val="nil"/>
              <w:bottom w:val="single" w:sz="4" w:space="0" w:color="auto"/>
              <w:right w:val="single" w:sz="4" w:space="0" w:color="auto"/>
            </w:tcBorders>
            <w:shd w:val="clear" w:color="auto" w:fill="auto"/>
            <w:noWrap/>
            <w:vAlign w:val="center"/>
            <w:hideMark/>
          </w:tcPr>
          <w:p w:rsidR="00736E3F" w:rsidRPr="00093AB2" w:rsidRDefault="00736E3F" w:rsidP="009802EF">
            <w:pPr>
              <w:pStyle w:val="Eqn"/>
              <w:rPr>
                <w:lang w:val="fr-FR"/>
              </w:rPr>
            </w:pPr>
            <w:r w:rsidRPr="00093AB2">
              <w:rPr>
                <w:lang w:val="fr-FR"/>
              </w:rPr>
              <w:t>4101.6</w:t>
            </w:r>
          </w:p>
        </w:tc>
        <w:tc>
          <w:tcPr>
            <w:tcW w:w="567" w:type="pct"/>
            <w:tcBorders>
              <w:top w:val="nil"/>
              <w:left w:val="nil"/>
              <w:bottom w:val="single" w:sz="4" w:space="0" w:color="auto"/>
              <w:right w:val="single" w:sz="4" w:space="0" w:color="auto"/>
            </w:tcBorders>
            <w:shd w:val="clear" w:color="auto" w:fill="auto"/>
            <w:noWrap/>
            <w:vAlign w:val="center"/>
            <w:hideMark/>
          </w:tcPr>
          <w:p w:rsidR="00736E3F" w:rsidRPr="00093AB2" w:rsidRDefault="00736E3F" w:rsidP="009802EF">
            <w:pPr>
              <w:pStyle w:val="Eqn"/>
              <w:rPr>
                <w:lang w:val="fr-FR"/>
              </w:rPr>
            </w:pPr>
            <w:r w:rsidRPr="00093AB2">
              <w:rPr>
                <w:lang w:val="fr-FR"/>
              </w:rPr>
              <w:t>13.672</w:t>
            </w:r>
          </w:p>
        </w:tc>
        <w:tc>
          <w:tcPr>
            <w:tcW w:w="567" w:type="pct"/>
            <w:tcBorders>
              <w:top w:val="nil"/>
              <w:left w:val="nil"/>
              <w:bottom w:val="single" w:sz="4" w:space="0" w:color="auto"/>
              <w:right w:val="single" w:sz="4" w:space="0" w:color="auto"/>
            </w:tcBorders>
            <w:shd w:val="clear" w:color="auto" w:fill="auto"/>
            <w:noWrap/>
            <w:vAlign w:val="center"/>
            <w:hideMark/>
          </w:tcPr>
          <w:p w:rsidR="00736E3F" w:rsidRPr="00093AB2" w:rsidRDefault="000F1357" w:rsidP="009802EF">
            <w:pPr>
              <w:pStyle w:val="Eqn"/>
              <w:rPr>
                <w:lang w:val="fr-FR"/>
              </w:rPr>
            </w:pPr>
            <w:r w:rsidRPr="00093AB2">
              <w:t>41126.6</w:t>
            </w:r>
          </w:p>
        </w:tc>
        <w:tc>
          <w:tcPr>
            <w:tcW w:w="563" w:type="pct"/>
            <w:tcBorders>
              <w:top w:val="nil"/>
              <w:left w:val="nil"/>
              <w:bottom w:val="single" w:sz="4" w:space="0" w:color="auto"/>
              <w:right w:val="single" w:sz="4" w:space="0" w:color="auto"/>
            </w:tcBorders>
            <w:shd w:val="clear" w:color="auto" w:fill="auto"/>
            <w:noWrap/>
            <w:vAlign w:val="center"/>
            <w:hideMark/>
          </w:tcPr>
          <w:p w:rsidR="00736E3F" w:rsidRPr="00093AB2" w:rsidRDefault="000F1357" w:rsidP="009802EF">
            <w:pPr>
              <w:pStyle w:val="Eqn"/>
              <w:rPr>
                <w:lang w:val="fr-FR"/>
              </w:rPr>
            </w:pPr>
            <w:r w:rsidRPr="00093AB2">
              <w:t>137.088</w:t>
            </w:r>
          </w:p>
        </w:tc>
      </w:tr>
      <w:tr w:rsidR="00736E3F" w:rsidRPr="00093AB2" w:rsidTr="009802EF">
        <w:trPr>
          <w:cantSplit/>
        </w:trPr>
        <w:tc>
          <w:tcPr>
            <w:tcW w:w="881" w:type="pct"/>
            <w:tcBorders>
              <w:top w:val="nil"/>
              <w:left w:val="single" w:sz="4" w:space="0" w:color="auto"/>
              <w:bottom w:val="single" w:sz="4" w:space="0" w:color="auto"/>
              <w:right w:val="single" w:sz="4" w:space="0" w:color="auto"/>
            </w:tcBorders>
            <w:shd w:val="clear" w:color="auto" w:fill="auto"/>
            <w:noWrap/>
            <w:vAlign w:val="bottom"/>
            <w:hideMark/>
          </w:tcPr>
          <w:p w:rsidR="00736E3F" w:rsidRPr="00093AB2" w:rsidRDefault="00736E3F" w:rsidP="009802EF">
            <w:pPr>
              <w:pStyle w:val="Eqn"/>
            </w:pPr>
            <w:r w:rsidRPr="00093AB2">
              <w:t>90°</w:t>
            </w:r>
          </w:p>
        </w:tc>
        <w:tc>
          <w:tcPr>
            <w:tcW w:w="720" w:type="pct"/>
            <w:tcBorders>
              <w:top w:val="nil"/>
              <w:left w:val="nil"/>
              <w:bottom w:val="single" w:sz="4" w:space="0" w:color="auto"/>
              <w:right w:val="single" w:sz="4" w:space="0" w:color="auto"/>
            </w:tcBorders>
            <w:shd w:val="clear" w:color="auto" w:fill="auto"/>
            <w:noWrap/>
            <w:vAlign w:val="bottom"/>
            <w:hideMark/>
          </w:tcPr>
          <w:p w:rsidR="00736E3F" w:rsidRPr="00093AB2" w:rsidRDefault="00736E3F" w:rsidP="009802EF">
            <w:pPr>
              <w:pStyle w:val="Eqn"/>
            </w:pPr>
            <w:r w:rsidRPr="00093AB2">
              <w:t>satellite - UE</w:t>
            </w:r>
          </w:p>
        </w:tc>
        <w:tc>
          <w:tcPr>
            <w:tcW w:w="568" w:type="pct"/>
            <w:tcBorders>
              <w:top w:val="nil"/>
              <w:left w:val="nil"/>
              <w:bottom w:val="single" w:sz="4" w:space="0" w:color="auto"/>
              <w:right w:val="single" w:sz="4" w:space="0" w:color="auto"/>
            </w:tcBorders>
            <w:shd w:val="clear" w:color="auto" w:fill="auto"/>
            <w:noWrap/>
            <w:vAlign w:val="bottom"/>
            <w:hideMark/>
          </w:tcPr>
          <w:p w:rsidR="00736E3F" w:rsidRPr="00093AB2" w:rsidRDefault="00736E3F" w:rsidP="009802EF">
            <w:pPr>
              <w:pStyle w:val="Eqn"/>
              <w:rPr>
                <w:lang w:val="fr-FR"/>
              </w:rPr>
            </w:pPr>
            <w:r w:rsidRPr="00093AB2">
              <w:rPr>
                <w:lang w:val="fr-FR"/>
              </w:rPr>
              <w:t>600</w:t>
            </w:r>
          </w:p>
        </w:tc>
        <w:tc>
          <w:tcPr>
            <w:tcW w:w="567" w:type="pct"/>
            <w:tcBorders>
              <w:top w:val="nil"/>
              <w:left w:val="nil"/>
              <w:bottom w:val="single" w:sz="4" w:space="0" w:color="auto"/>
              <w:right w:val="single" w:sz="4" w:space="0" w:color="auto"/>
            </w:tcBorders>
            <w:shd w:val="clear" w:color="auto" w:fill="auto"/>
            <w:noWrap/>
            <w:vAlign w:val="bottom"/>
            <w:hideMark/>
          </w:tcPr>
          <w:p w:rsidR="00736E3F" w:rsidRPr="00093AB2" w:rsidRDefault="00736E3F" w:rsidP="009802EF">
            <w:pPr>
              <w:pStyle w:val="Eqn"/>
              <w:rPr>
                <w:lang w:val="fr-FR"/>
              </w:rPr>
            </w:pPr>
            <w:r w:rsidRPr="00093AB2">
              <w:rPr>
                <w:lang w:val="fr-FR"/>
              </w:rPr>
              <w:t>2</w:t>
            </w:r>
          </w:p>
        </w:tc>
        <w:tc>
          <w:tcPr>
            <w:tcW w:w="567" w:type="pct"/>
            <w:tcBorders>
              <w:top w:val="nil"/>
              <w:left w:val="nil"/>
              <w:bottom w:val="single" w:sz="4" w:space="0" w:color="auto"/>
              <w:right w:val="single" w:sz="4" w:space="0" w:color="auto"/>
            </w:tcBorders>
            <w:shd w:val="clear" w:color="auto" w:fill="auto"/>
            <w:noWrap/>
            <w:vAlign w:val="bottom"/>
            <w:hideMark/>
          </w:tcPr>
          <w:p w:rsidR="00736E3F" w:rsidRPr="00093AB2" w:rsidRDefault="00736E3F" w:rsidP="009802EF">
            <w:pPr>
              <w:pStyle w:val="Eqn"/>
              <w:rPr>
                <w:lang w:val="fr-FR"/>
              </w:rPr>
            </w:pPr>
            <w:r w:rsidRPr="00093AB2">
              <w:rPr>
                <w:lang w:val="fr-FR"/>
              </w:rPr>
              <w:t>1500</w:t>
            </w:r>
          </w:p>
        </w:tc>
        <w:tc>
          <w:tcPr>
            <w:tcW w:w="567" w:type="pct"/>
            <w:tcBorders>
              <w:top w:val="nil"/>
              <w:left w:val="nil"/>
              <w:bottom w:val="single" w:sz="4" w:space="0" w:color="auto"/>
              <w:right w:val="single" w:sz="4" w:space="0" w:color="auto"/>
            </w:tcBorders>
            <w:shd w:val="clear" w:color="auto" w:fill="auto"/>
            <w:noWrap/>
            <w:vAlign w:val="bottom"/>
            <w:hideMark/>
          </w:tcPr>
          <w:p w:rsidR="00736E3F" w:rsidRPr="00093AB2" w:rsidRDefault="00736E3F" w:rsidP="009802EF">
            <w:pPr>
              <w:pStyle w:val="Eqn"/>
              <w:rPr>
                <w:lang w:val="fr-FR"/>
              </w:rPr>
            </w:pPr>
            <w:r w:rsidRPr="00093AB2">
              <w:rPr>
                <w:lang w:val="fr-FR"/>
              </w:rPr>
              <w:t>5</w:t>
            </w:r>
          </w:p>
        </w:tc>
        <w:tc>
          <w:tcPr>
            <w:tcW w:w="567" w:type="pct"/>
            <w:tcBorders>
              <w:top w:val="nil"/>
              <w:left w:val="nil"/>
              <w:bottom w:val="single" w:sz="4" w:space="0" w:color="auto"/>
              <w:right w:val="single" w:sz="4" w:space="0" w:color="auto"/>
            </w:tcBorders>
            <w:shd w:val="clear" w:color="auto" w:fill="auto"/>
            <w:noWrap/>
            <w:vAlign w:val="bottom"/>
            <w:hideMark/>
          </w:tcPr>
          <w:p w:rsidR="00736E3F" w:rsidRPr="00093AB2" w:rsidRDefault="000F1357" w:rsidP="009802EF">
            <w:pPr>
              <w:pStyle w:val="Eqn"/>
              <w:rPr>
                <w:lang w:val="fr-FR"/>
              </w:rPr>
            </w:pPr>
            <w:r w:rsidRPr="00093AB2">
              <w:t>35786</w:t>
            </w:r>
          </w:p>
        </w:tc>
        <w:tc>
          <w:tcPr>
            <w:tcW w:w="563" w:type="pct"/>
            <w:tcBorders>
              <w:top w:val="nil"/>
              <w:left w:val="nil"/>
              <w:bottom w:val="single" w:sz="4" w:space="0" w:color="auto"/>
              <w:right w:val="single" w:sz="4" w:space="0" w:color="auto"/>
            </w:tcBorders>
            <w:shd w:val="clear" w:color="auto" w:fill="auto"/>
            <w:noWrap/>
            <w:vAlign w:val="bottom"/>
            <w:hideMark/>
          </w:tcPr>
          <w:p w:rsidR="00736E3F" w:rsidRPr="00093AB2" w:rsidRDefault="000F1357" w:rsidP="009802EF">
            <w:pPr>
              <w:pStyle w:val="Eqn"/>
              <w:rPr>
                <w:lang w:val="fr-FR"/>
              </w:rPr>
            </w:pPr>
            <w:r w:rsidRPr="00093AB2">
              <w:t>119.286</w:t>
            </w:r>
          </w:p>
        </w:tc>
      </w:tr>
      <w:tr w:rsidR="00736E3F" w:rsidRPr="00093AB2" w:rsidTr="009802EF">
        <w:trPr>
          <w:cantSplit/>
        </w:trPr>
        <w:tc>
          <w:tcPr>
            <w:tcW w:w="5000" w:type="pct"/>
            <w:gridSpan w:val="8"/>
            <w:tcBorders>
              <w:top w:val="nil"/>
              <w:left w:val="single" w:sz="4" w:space="0" w:color="auto"/>
              <w:bottom w:val="single" w:sz="4" w:space="0" w:color="auto"/>
              <w:right w:val="single" w:sz="4" w:space="0" w:color="auto"/>
            </w:tcBorders>
            <w:shd w:val="clear" w:color="auto" w:fill="auto"/>
            <w:noWrap/>
            <w:vAlign w:val="bottom"/>
          </w:tcPr>
          <w:p w:rsidR="00736E3F" w:rsidRPr="003E3CC3" w:rsidRDefault="00736E3F" w:rsidP="003E3CC3">
            <w:pPr>
              <w:pStyle w:val="Eqn"/>
              <w:jc w:val="center"/>
              <w:rPr>
                <w:b/>
                <w:lang w:val="fr-FR"/>
              </w:rPr>
            </w:pPr>
            <w:r w:rsidRPr="003E3CC3">
              <w:rPr>
                <w:b/>
              </w:rPr>
              <w:t>Bent pipe satellite</w:t>
            </w:r>
          </w:p>
        </w:tc>
      </w:tr>
      <w:tr w:rsidR="00736E3F" w:rsidRPr="00093AB2" w:rsidTr="009802EF">
        <w:trPr>
          <w:cantSplit/>
        </w:trPr>
        <w:tc>
          <w:tcPr>
            <w:tcW w:w="88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736E3F" w:rsidRPr="00093AB2" w:rsidRDefault="00736E3F" w:rsidP="009802EF">
            <w:pPr>
              <w:pStyle w:val="Eqn"/>
            </w:pPr>
            <w:r w:rsidRPr="00093AB2">
              <w:t>One way delay</w:t>
            </w:r>
          </w:p>
        </w:tc>
        <w:tc>
          <w:tcPr>
            <w:tcW w:w="720" w:type="pct"/>
            <w:tcBorders>
              <w:top w:val="single" w:sz="4" w:space="0" w:color="auto"/>
              <w:left w:val="nil"/>
              <w:bottom w:val="single" w:sz="4" w:space="0" w:color="auto"/>
              <w:right w:val="single" w:sz="4" w:space="0" w:color="auto"/>
            </w:tcBorders>
            <w:shd w:val="clear" w:color="auto" w:fill="auto"/>
            <w:noWrap/>
            <w:vAlign w:val="bottom"/>
            <w:hideMark/>
          </w:tcPr>
          <w:p w:rsidR="00736E3F" w:rsidRPr="00093AB2" w:rsidRDefault="00736E3F" w:rsidP="009802EF">
            <w:pPr>
              <w:pStyle w:val="Eqn"/>
            </w:pPr>
            <w:r w:rsidRPr="00093AB2">
              <w:t>Gateway-satellite_UE</w:t>
            </w:r>
          </w:p>
        </w:tc>
        <w:tc>
          <w:tcPr>
            <w:tcW w:w="568" w:type="pct"/>
            <w:tcBorders>
              <w:top w:val="single" w:sz="4" w:space="0" w:color="auto"/>
              <w:left w:val="nil"/>
              <w:bottom w:val="single" w:sz="4" w:space="0" w:color="auto"/>
              <w:right w:val="single" w:sz="4" w:space="0" w:color="auto"/>
            </w:tcBorders>
            <w:shd w:val="clear" w:color="auto" w:fill="auto"/>
            <w:noWrap/>
            <w:vAlign w:val="center"/>
            <w:hideMark/>
          </w:tcPr>
          <w:p w:rsidR="00736E3F" w:rsidRPr="00093AB2" w:rsidRDefault="00736E3F" w:rsidP="009802EF">
            <w:pPr>
              <w:pStyle w:val="Eqn"/>
              <w:rPr>
                <w:lang w:val="fr-FR"/>
              </w:rPr>
            </w:pPr>
            <w:r w:rsidRPr="00093AB2">
              <w:rPr>
                <w:lang w:val="fr-FR"/>
              </w:rPr>
              <w:t>4261.2</w:t>
            </w:r>
          </w:p>
        </w:tc>
        <w:tc>
          <w:tcPr>
            <w:tcW w:w="567" w:type="pct"/>
            <w:tcBorders>
              <w:top w:val="single" w:sz="4" w:space="0" w:color="auto"/>
              <w:left w:val="nil"/>
              <w:bottom w:val="single" w:sz="4" w:space="0" w:color="auto"/>
              <w:right w:val="single" w:sz="4" w:space="0" w:color="auto"/>
            </w:tcBorders>
            <w:shd w:val="clear" w:color="auto" w:fill="auto"/>
            <w:noWrap/>
            <w:vAlign w:val="center"/>
            <w:hideMark/>
          </w:tcPr>
          <w:p w:rsidR="00736E3F" w:rsidRPr="00093AB2" w:rsidRDefault="00736E3F" w:rsidP="009802EF">
            <w:pPr>
              <w:pStyle w:val="Eqn"/>
              <w:rPr>
                <w:lang w:val="fr-FR"/>
              </w:rPr>
            </w:pPr>
            <w:r w:rsidRPr="00093AB2">
              <w:rPr>
                <w:lang w:val="fr-FR"/>
              </w:rPr>
              <w:t>14.204</w:t>
            </w:r>
          </w:p>
        </w:tc>
        <w:tc>
          <w:tcPr>
            <w:tcW w:w="567" w:type="pct"/>
            <w:tcBorders>
              <w:top w:val="single" w:sz="4" w:space="0" w:color="auto"/>
              <w:left w:val="nil"/>
              <w:bottom w:val="single" w:sz="4" w:space="0" w:color="auto"/>
              <w:right w:val="single" w:sz="4" w:space="0" w:color="auto"/>
            </w:tcBorders>
            <w:shd w:val="clear" w:color="auto" w:fill="auto"/>
            <w:noWrap/>
            <w:vAlign w:val="center"/>
            <w:hideMark/>
          </w:tcPr>
          <w:p w:rsidR="00736E3F" w:rsidRPr="00093AB2" w:rsidRDefault="00736E3F" w:rsidP="009802EF">
            <w:pPr>
              <w:pStyle w:val="Eqn"/>
              <w:rPr>
                <w:lang w:val="fr-FR"/>
              </w:rPr>
            </w:pPr>
            <w:r w:rsidRPr="00093AB2">
              <w:rPr>
                <w:lang w:val="fr-FR"/>
              </w:rPr>
              <w:t>7749.2</w:t>
            </w:r>
          </w:p>
        </w:tc>
        <w:tc>
          <w:tcPr>
            <w:tcW w:w="567" w:type="pct"/>
            <w:tcBorders>
              <w:top w:val="single" w:sz="4" w:space="0" w:color="auto"/>
              <w:left w:val="nil"/>
              <w:bottom w:val="single" w:sz="4" w:space="0" w:color="auto"/>
              <w:right w:val="single" w:sz="4" w:space="0" w:color="auto"/>
            </w:tcBorders>
            <w:shd w:val="clear" w:color="auto" w:fill="auto"/>
            <w:noWrap/>
            <w:vAlign w:val="center"/>
            <w:hideMark/>
          </w:tcPr>
          <w:p w:rsidR="00736E3F" w:rsidRPr="00093AB2" w:rsidRDefault="00736E3F" w:rsidP="009802EF">
            <w:pPr>
              <w:pStyle w:val="Eqn"/>
              <w:rPr>
                <w:lang w:val="fr-FR"/>
              </w:rPr>
            </w:pPr>
            <w:r w:rsidRPr="00093AB2">
              <w:rPr>
                <w:lang w:val="fr-FR"/>
              </w:rPr>
              <w:t>25.83</w:t>
            </w:r>
          </w:p>
        </w:tc>
        <w:tc>
          <w:tcPr>
            <w:tcW w:w="567" w:type="pct"/>
            <w:tcBorders>
              <w:top w:val="single" w:sz="4" w:space="0" w:color="auto"/>
              <w:left w:val="nil"/>
              <w:bottom w:val="single" w:sz="4" w:space="0" w:color="auto"/>
              <w:right w:val="single" w:sz="4" w:space="0" w:color="auto"/>
            </w:tcBorders>
            <w:shd w:val="clear" w:color="auto" w:fill="auto"/>
            <w:noWrap/>
            <w:vAlign w:val="center"/>
            <w:hideMark/>
          </w:tcPr>
          <w:p w:rsidR="00736E3F" w:rsidRPr="00093AB2" w:rsidRDefault="000F1357" w:rsidP="009802EF">
            <w:pPr>
              <w:pStyle w:val="Eqn"/>
              <w:rPr>
                <w:lang w:val="fr-FR"/>
              </w:rPr>
            </w:pPr>
            <w:r w:rsidRPr="00093AB2">
              <w:t>81712.6</w:t>
            </w:r>
          </w:p>
        </w:tc>
        <w:tc>
          <w:tcPr>
            <w:tcW w:w="563" w:type="pct"/>
            <w:tcBorders>
              <w:top w:val="single" w:sz="4" w:space="0" w:color="auto"/>
              <w:left w:val="nil"/>
              <w:bottom w:val="single" w:sz="4" w:space="0" w:color="auto"/>
              <w:right w:val="single" w:sz="4" w:space="0" w:color="auto"/>
            </w:tcBorders>
            <w:shd w:val="clear" w:color="auto" w:fill="auto"/>
            <w:noWrap/>
            <w:vAlign w:val="center"/>
            <w:hideMark/>
          </w:tcPr>
          <w:p w:rsidR="00736E3F" w:rsidRPr="00093AB2" w:rsidRDefault="000F1357" w:rsidP="009802EF">
            <w:pPr>
              <w:pStyle w:val="Eqn"/>
              <w:rPr>
                <w:lang w:val="fr-FR"/>
              </w:rPr>
            </w:pPr>
            <w:r w:rsidRPr="00093AB2">
              <w:t>272.375</w:t>
            </w:r>
          </w:p>
        </w:tc>
      </w:tr>
      <w:tr w:rsidR="00736E3F" w:rsidRPr="00093AB2" w:rsidTr="009802EF">
        <w:trPr>
          <w:cantSplit/>
        </w:trPr>
        <w:tc>
          <w:tcPr>
            <w:tcW w:w="881" w:type="pct"/>
            <w:tcBorders>
              <w:top w:val="nil"/>
              <w:left w:val="single" w:sz="4" w:space="0" w:color="auto"/>
              <w:bottom w:val="single" w:sz="4" w:space="0" w:color="auto"/>
              <w:right w:val="single" w:sz="4" w:space="0" w:color="auto"/>
            </w:tcBorders>
            <w:shd w:val="clear" w:color="auto" w:fill="auto"/>
            <w:noWrap/>
            <w:vAlign w:val="bottom"/>
            <w:hideMark/>
          </w:tcPr>
          <w:p w:rsidR="00736E3F" w:rsidRPr="00093AB2" w:rsidRDefault="00736E3F" w:rsidP="009802EF">
            <w:pPr>
              <w:pStyle w:val="Eqn"/>
            </w:pPr>
            <w:r w:rsidRPr="00093AB2">
              <w:t>Round Trip Delay</w:t>
            </w:r>
          </w:p>
        </w:tc>
        <w:tc>
          <w:tcPr>
            <w:tcW w:w="720" w:type="pct"/>
            <w:tcBorders>
              <w:top w:val="nil"/>
              <w:left w:val="nil"/>
              <w:bottom w:val="single" w:sz="4" w:space="0" w:color="auto"/>
              <w:right w:val="single" w:sz="4" w:space="0" w:color="auto"/>
            </w:tcBorders>
            <w:shd w:val="clear" w:color="auto" w:fill="auto"/>
            <w:noWrap/>
            <w:vAlign w:val="bottom"/>
            <w:hideMark/>
          </w:tcPr>
          <w:p w:rsidR="00736E3F" w:rsidRPr="00093AB2" w:rsidRDefault="00736E3F" w:rsidP="009802EF">
            <w:pPr>
              <w:pStyle w:val="Eqn"/>
            </w:pPr>
            <w:r w:rsidRPr="00093AB2">
              <w:t xml:space="preserve">Twice </w:t>
            </w:r>
          </w:p>
        </w:tc>
        <w:tc>
          <w:tcPr>
            <w:tcW w:w="568" w:type="pct"/>
            <w:tcBorders>
              <w:top w:val="nil"/>
              <w:left w:val="nil"/>
              <w:bottom w:val="single" w:sz="4" w:space="0" w:color="auto"/>
              <w:right w:val="single" w:sz="4" w:space="0" w:color="auto"/>
            </w:tcBorders>
            <w:shd w:val="clear" w:color="auto" w:fill="auto"/>
            <w:noWrap/>
            <w:vAlign w:val="center"/>
            <w:hideMark/>
          </w:tcPr>
          <w:p w:rsidR="00736E3F" w:rsidRPr="00E1651B" w:rsidRDefault="00BB0B3C" w:rsidP="009802EF">
            <w:pPr>
              <w:pStyle w:val="Eqn"/>
              <w:rPr>
                <w:lang w:val="fr-FR"/>
              </w:rPr>
            </w:pPr>
            <w:r>
              <w:rPr>
                <w:lang w:val="fr-FR"/>
              </w:rPr>
              <w:t>8522.5</w:t>
            </w:r>
          </w:p>
        </w:tc>
        <w:tc>
          <w:tcPr>
            <w:tcW w:w="567" w:type="pct"/>
            <w:tcBorders>
              <w:top w:val="nil"/>
              <w:left w:val="nil"/>
              <w:bottom w:val="single" w:sz="4" w:space="0" w:color="auto"/>
              <w:right w:val="single" w:sz="4" w:space="0" w:color="auto"/>
            </w:tcBorders>
            <w:shd w:val="clear" w:color="auto" w:fill="auto"/>
            <w:noWrap/>
            <w:vAlign w:val="center"/>
            <w:hideMark/>
          </w:tcPr>
          <w:p w:rsidR="00736E3F" w:rsidRPr="00835A57" w:rsidRDefault="00C44437" w:rsidP="009802EF">
            <w:pPr>
              <w:pStyle w:val="Eqn"/>
              <w:jc w:val="center"/>
              <w:rPr>
                <w:lang w:val="fr-FR"/>
              </w:rPr>
            </w:pPr>
            <w:r w:rsidRPr="00835A57">
              <w:rPr>
                <w:lang w:val="fr-FR"/>
              </w:rPr>
              <w:t>28.408</w:t>
            </w:r>
          </w:p>
        </w:tc>
        <w:tc>
          <w:tcPr>
            <w:tcW w:w="567" w:type="pct"/>
            <w:tcBorders>
              <w:top w:val="nil"/>
              <w:left w:val="nil"/>
              <w:bottom w:val="single" w:sz="4" w:space="0" w:color="auto"/>
              <w:right w:val="single" w:sz="4" w:space="0" w:color="auto"/>
            </w:tcBorders>
            <w:shd w:val="clear" w:color="auto" w:fill="auto"/>
            <w:noWrap/>
            <w:vAlign w:val="center"/>
            <w:hideMark/>
          </w:tcPr>
          <w:p w:rsidR="00736E3F" w:rsidRPr="00835A57" w:rsidRDefault="00BB0B3C" w:rsidP="009802EF">
            <w:pPr>
              <w:pStyle w:val="Eqn"/>
              <w:jc w:val="center"/>
              <w:rPr>
                <w:lang w:val="fr-FR"/>
              </w:rPr>
            </w:pPr>
            <w:r>
              <w:rPr>
                <w:lang w:val="fr-FR"/>
              </w:rPr>
              <w:t>15498.4</w:t>
            </w:r>
          </w:p>
        </w:tc>
        <w:tc>
          <w:tcPr>
            <w:tcW w:w="567" w:type="pct"/>
            <w:tcBorders>
              <w:top w:val="nil"/>
              <w:left w:val="nil"/>
              <w:bottom w:val="single" w:sz="4" w:space="0" w:color="auto"/>
              <w:right w:val="single" w:sz="4" w:space="0" w:color="auto"/>
            </w:tcBorders>
            <w:shd w:val="clear" w:color="auto" w:fill="auto"/>
            <w:noWrap/>
            <w:vAlign w:val="center"/>
            <w:hideMark/>
          </w:tcPr>
          <w:p w:rsidR="00736E3F" w:rsidRPr="00835A57" w:rsidRDefault="00C44437" w:rsidP="009802EF">
            <w:pPr>
              <w:pStyle w:val="Eqn"/>
              <w:jc w:val="center"/>
              <w:rPr>
                <w:lang w:val="fr-FR"/>
              </w:rPr>
            </w:pPr>
            <w:r w:rsidRPr="00835A57">
              <w:rPr>
                <w:lang w:val="fr-FR"/>
              </w:rPr>
              <w:t>51.661</w:t>
            </w:r>
          </w:p>
        </w:tc>
        <w:tc>
          <w:tcPr>
            <w:tcW w:w="567" w:type="pct"/>
            <w:tcBorders>
              <w:top w:val="nil"/>
              <w:left w:val="nil"/>
              <w:bottom w:val="single" w:sz="4" w:space="0" w:color="auto"/>
              <w:right w:val="single" w:sz="4" w:space="0" w:color="auto"/>
            </w:tcBorders>
            <w:shd w:val="clear" w:color="auto" w:fill="auto"/>
            <w:noWrap/>
            <w:vAlign w:val="center"/>
            <w:hideMark/>
          </w:tcPr>
          <w:p w:rsidR="00736E3F" w:rsidRPr="00835A57" w:rsidRDefault="00BB0B3C" w:rsidP="009802EF">
            <w:pPr>
              <w:pStyle w:val="Eqn"/>
              <w:jc w:val="center"/>
              <w:rPr>
                <w:lang w:val="fr-FR"/>
              </w:rPr>
            </w:pPr>
            <w:r>
              <w:t>163425.3</w:t>
            </w:r>
          </w:p>
        </w:tc>
        <w:tc>
          <w:tcPr>
            <w:tcW w:w="563" w:type="pct"/>
            <w:tcBorders>
              <w:top w:val="nil"/>
              <w:left w:val="nil"/>
              <w:bottom w:val="single" w:sz="4" w:space="0" w:color="auto"/>
              <w:right w:val="single" w:sz="4" w:space="0" w:color="auto"/>
            </w:tcBorders>
            <w:shd w:val="clear" w:color="auto" w:fill="auto"/>
            <w:noWrap/>
            <w:vAlign w:val="center"/>
            <w:hideMark/>
          </w:tcPr>
          <w:p w:rsidR="00736E3F" w:rsidRPr="00835A57" w:rsidRDefault="00C44437" w:rsidP="009802EF">
            <w:pPr>
              <w:pStyle w:val="Eqn"/>
              <w:jc w:val="center"/>
              <w:rPr>
                <w:lang w:val="fr-FR"/>
              </w:rPr>
            </w:pPr>
            <w:r w:rsidRPr="00835A57">
              <w:t>544.751</w:t>
            </w:r>
          </w:p>
        </w:tc>
      </w:tr>
      <w:tr w:rsidR="00736E3F" w:rsidRPr="00093AB2" w:rsidTr="009802EF">
        <w:trPr>
          <w:cantSplit/>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bottom"/>
          </w:tcPr>
          <w:p w:rsidR="00736E3F" w:rsidRPr="00E1651B" w:rsidRDefault="00BB0B3C" w:rsidP="003E3CC3">
            <w:pPr>
              <w:pStyle w:val="Eqn"/>
              <w:jc w:val="center"/>
              <w:rPr>
                <w:b/>
                <w:lang w:val="fr-FR"/>
              </w:rPr>
            </w:pPr>
            <w:r>
              <w:rPr>
                <w:b/>
              </w:rPr>
              <w:t>Regenerative satellite</w:t>
            </w:r>
          </w:p>
        </w:tc>
      </w:tr>
      <w:tr w:rsidR="00736E3F" w:rsidRPr="00093AB2" w:rsidTr="009802EF">
        <w:trPr>
          <w:cantSplit/>
        </w:trPr>
        <w:tc>
          <w:tcPr>
            <w:tcW w:w="881" w:type="pct"/>
            <w:tcBorders>
              <w:top w:val="single" w:sz="4" w:space="0" w:color="auto"/>
              <w:left w:val="single" w:sz="4" w:space="0" w:color="auto"/>
              <w:bottom w:val="single" w:sz="4" w:space="0" w:color="auto"/>
              <w:right w:val="single" w:sz="4" w:space="0" w:color="auto"/>
            </w:tcBorders>
            <w:shd w:val="clear" w:color="auto" w:fill="auto"/>
            <w:noWrap/>
            <w:vAlign w:val="bottom"/>
          </w:tcPr>
          <w:p w:rsidR="00736E3F" w:rsidRPr="00093AB2" w:rsidRDefault="00736E3F" w:rsidP="009802EF">
            <w:pPr>
              <w:pStyle w:val="Eqn"/>
            </w:pPr>
            <w:r w:rsidRPr="00093AB2">
              <w:t>One way delay</w:t>
            </w:r>
          </w:p>
        </w:tc>
        <w:tc>
          <w:tcPr>
            <w:tcW w:w="720" w:type="pct"/>
            <w:tcBorders>
              <w:top w:val="single" w:sz="4" w:space="0" w:color="auto"/>
              <w:left w:val="nil"/>
              <w:bottom w:val="single" w:sz="4" w:space="0" w:color="auto"/>
              <w:right w:val="single" w:sz="4" w:space="0" w:color="auto"/>
            </w:tcBorders>
            <w:shd w:val="clear" w:color="auto" w:fill="auto"/>
            <w:noWrap/>
            <w:vAlign w:val="bottom"/>
          </w:tcPr>
          <w:p w:rsidR="00736E3F" w:rsidRPr="00093AB2" w:rsidRDefault="00736E3F" w:rsidP="009802EF">
            <w:pPr>
              <w:pStyle w:val="Eqn"/>
            </w:pPr>
            <w:r w:rsidRPr="00093AB2">
              <w:t>Satellite -UE</w:t>
            </w:r>
          </w:p>
        </w:tc>
        <w:tc>
          <w:tcPr>
            <w:tcW w:w="568" w:type="pct"/>
            <w:tcBorders>
              <w:top w:val="single" w:sz="4" w:space="0" w:color="auto"/>
              <w:left w:val="nil"/>
              <w:bottom w:val="single" w:sz="4" w:space="0" w:color="auto"/>
              <w:right w:val="single" w:sz="4" w:space="0" w:color="auto"/>
            </w:tcBorders>
            <w:shd w:val="clear" w:color="auto" w:fill="auto"/>
            <w:noWrap/>
            <w:vAlign w:val="center"/>
          </w:tcPr>
          <w:p w:rsidR="00736E3F" w:rsidRPr="00835A57" w:rsidRDefault="00BB0B3C" w:rsidP="009802EF">
            <w:pPr>
              <w:pStyle w:val="Eqn"/>
              <w:jc w:val="center"/>
              <w:rPr>
                <w:lang w:val="fr-FR"/>
              </w:rPr>
            </w:pPr>
            <w:r>
              <w:rPr>
                <w:lang w:val="fr-FR"/>
              </w:rPr>
              <w:t>1932.24</w:t>
            </w:r>
          </w:p>
        </w:tc>
        <w:tc>
          <w:tcPr>
            <w:tcW w:w="567" w:type="pct"/>
            <w:tcBorders>
              <w:top w:val="single" w:sz="4" w:space="0" w:color="auto"/>
              <w:left w:val="nil"/>
              <w:bottom w:val="single" w:sz="4" w:space="0" w:color="auto"/>
              <w:right w:val="single" w:sz="4" w:space="0" w:color="auto"/>
            </w:tcBorders>
            <w:shd w:val="clear" w:color="auto" w:fill="auto"/>
            <w:noWrap/>
            <w:vAlign w:val="center"/>
          </w:tcPr>
          <w:p w:rsidR="00736E3F" w:rsidRPr="00835A57" w:rsidRDefault="00BB0B3C" w:rsidP="009802EF">
            <w:pPr>
              <w:pStyle w:val="Eqn"/>
              <w:jc w:val="center"/>
              <w:rPr>
                <w:lang w:val="fr-FR"/>
              </w:rPr>
            </w:pPr>
            <w:r>
              <w:rPr>
                <w:lang w:val="fr-FR"/>
              </w:rPr>
              <w:t>6.44</w:t>
            </w:r>
          </w:p>
        </w:tc>
        <w:tc>
          <w:tcPr>
            <w:tcW w:w="567" w:type="pct"/>
            <w:tcBorders>
              <w:top w:val="single" w:sz="4" w:space="0" w:color="auto"/>
              <w:left w:val="nil"/>
              <w:bottom w:val="single" w:sz="4" w:space="0" w:color="auto"/>
              <w:right w:val="single" w:sz="4" w:space="0" w:color="auto"/>
            </w:tcBorders>
            <w:shd w:val="clear" w:color="auto" w:fill="auto"/>
            <w:noWrap/>
            <w:vAlign w:val="center"/>
          </w:tcPr>
          <w:p w:rsidR="00736E3F" w:rsidRPr="00835A57" w:rsidRDefault="00BB0B3C" w:rsidP="009802EF">
            <w:pPr>
              <w:pStyle w:val="Eqn"/>
              <w:jc w:val="center"/>
              <w:rPr>
                <w:lang w:val="fr-FR"/>
              </w:rPr>
            </w:pPr>
            <w:r>
              <w:rPr>
                <w:lang w:val="fr-FR"/>
              </w:rPr>
              <w:t>3647.5</w:t>
            </w:r>
          </w:p>
        </w:tc>
        <w:tc>
          <w:tcPr>
            <w:tcW w:w="567" w:type="pct"/>
            <w:tcBorders>
              <w:top w:val="single" w:sz="4" w:space="0" w:color="auto"/>
              <w:left w:val="nil"/>
              <w:bottom w:val="single" w:sz="4" w:space="0" w:color="auto"/>
              <w:right w:val="single" w:sz="4" w:space="0" w:color="auto"/>
            </w:tcBorders>
            <w:shd w:val="clear" w:color="auto" w:fill="auto"/>
            <w:noWrap/>
            <w:vAlign w:val="center"/>
          </w:tcPr>
          <w:p w:rsidR="00736E3F" w:rsidRPr="00835A57" w:rsidRDefault="00BB0B3C" w:rsidP="009802EF">
            <w:pPr>
              <w:pStyle w:val="Eqn"/>
              <w:jc w:val="center"/>
              <w:rPr>
                <w:lang w:val="fr-FR"/>
              </w:rPr>
            </w:pPr>
            <w:r>
              <w:rPr>
                <w:lang w:val="fr-FR"/>
              </w:rPr>
              <w:t>12.16</w:t>
            </w:r>
          </w:p>
        </w:tc>
        <w:tc>
          <w:tcPr>
            <w:tcW w:w="567" w:type="pct"/>
            <w:tcBorders>
              <w:top w:val="single" w:sz="4" w:space="0" w:color="auto"/>
              <w:left w:val="nil"/>
              <w:bottom w:val="single" w:sz="4" w:space="0" w:color="auto"/>
              <w:right w:val="single" w:sz="4" w:space="0" w:color="auto"/>
            </w:tcBorders>
            <w:shd w:val="clear" w:color="auto" w:fill="auto"/>
            <w:noWrap/>
            <w:vAlign w:val="center"/>
          </w:tcPr>
          <w:p w:rsidR="00736E3F" w:rsidRPr="00835A57" w:rsidRDefault="00BB0B3C" w:rsidP="009802EF">
            <w:pPr>
              <w:pStyle w:val="Eqn"/>
              <w:jc w:val="center"/>
              <w:rPr>
                <w:lang w:val="fr-FR"/>
              </w:rPr>
            </w:pPr>
            <w:r>
              <w:t>40586</w:t>
            </w:r>
          </w:p>
        </w:tc>
        <w:tc>
          <w:tcPr>
            <w:tcW w:w="563" w:type="pct"/>
            <w:tcBorders>
              <w:top w:val="single" w:sz="4" w:space="0" w:color="auto"/>
              <w:left w:val="nil"/>
              <w:bottom w:val="single" w:sz="4" w:space="0" w:color="auto"/>
              <w:right w:val="single" w:sz="4" w:space="0" w:color="auto"/>
            </w:tcBorders>
            <w:shd w:val="clear" w:color="auto" w:fill="auto"/>
            <w:noWrap/>
            <w:vAlign w:val="center"/>
          </w:tcPr>
          <w:p w:rsidR="00736E3F" w:rsidRPr="00835A57" w:rsidRDefault="00BB0B3C" w:rsidP="009802EF">
            <w:pPr>
              <w:pStyle w:val="Eqn"/>
              <w:jc w:val="center"/>
              <w:rPr>
                <w:lang w:val="fr-FR"/>
              </w:rPr>
            </w:pPr>
            <w:r>
              <w:t>135.286</w:t>
            </w:r>
          </w:p>
        </w:tc>
      </w:tr>
      <w:tr w:rsidR="00736E3F" w:rsidRPr="00093AB2" w:rsidTr="009802EF">
        <w:trPr>
          <w:cantSplit/>
        </w:trPr>
        <w:tc>
          <w:tcPr>
            <w:tcW w:w="881" w:type="pct"/>
            <w:tcBorders>
              <w:top w:val="single" w:sz="4" w:space="0" w:color="auto"/>
              <w:left w:val="single" w:sz="4" w:space="0" w:color="auto"/>
              <w:bottom w:val="single" w:sz="4" w:space="0" w:color="auto"/>
              <w:right w:val="single" w:sz="4" w:space="0" w:color="auto"/>
            </w:tcBorders>
            <w:shd w:val="clear" w:color="auto" w:fill="auto"/>
            <w:noWrap/>
            <w:vAlign w:val="bottom"/>
          </w:tcPr>
          <w:p w:rsidR="00736E3F" w:rsidRPr="00093AB2" w:rsidRDefault="00736E3F" w:rsidP="009802EF">
            <w:pPr>
              <w:pStyle w:val="Eqn"/>
            </w:pPr>
            <w:r w:rsidRPr="00093AB2">
              <w:t>Round Trip Delay</w:t>
            </w:r>
          </w:p>
        </w:tc>
        <w:tc>
          <w:tcPr>
            <w:tcW w:w="720" w:type="pct"/>
            <w:tcBorders>
              <w:top w:val="single" w:sz="4" w:space="0" w:color="auto"/>
              <w:left w:val="nil"/>
              <w:bottom w:val="single" w:sz="4" w:space="0" w:color="auto"/>
              <w:right w:val="single" w:sz="4" w:space="0" w:color="auto"/>
            </w:tcBorders>
            <w:shd w:val="clear" w:color="auto" w:fill="auto"/>
            <w:noWrap/>
            <w:vAlign w:val="bottom"/>
          </w:tcPr>
          <w:p w:rsidR="00736E3F" w:rsidRPr="00093AB2" w:rsidRDefault="00736E3F" w:rsidP="009802EF">
            <w:pPr>
              <w:pStyle w:val="Eqn"/>
            </w:pPr>
            <w:r w:rsidRPr="00093AB2">
              <w:t>Satellite-UE-Satellite</w:t>
            </w:r>
          </w:p>
        </w:tc>
        <w:tc>
          <w:tcPr>
            <w:tcW w:w="568" w:type="pct"/>
            <w:tcBorders>
              <w:top w:val="single" w:sz="4" w:space="0" w:color="auto"/>
              <w:left w:val="nil"/>
              <w:bottom w:val="single" w:sz="4" w:space="0" w:color="auto"/>
              <w:right w:val="single" w:sz="4" w:space="0" w:color="auto"/>
            </w:tcBorders>
            <w:shd w:val="clear" w:color="auto" w:fill="auto"/>
            <w:noWrap/>
            <w:vAlign w:val="center"/>
          </w:tcPr>
          <w:p w:rsidR="00736E3F" w:rsidRPr="00835A57" w:rsidRDefault="00BB0B3C" w:rsidP="009802EF">
            <w:pPr>
              <w:pStyle w:val="Eqn"/>
              <w:jc w:val="center"/>
              <w:rPr>
                <w:lang w:val="fr-FR"/>
              </w:rPr>
            </w:pPr>
            <w:r>
              <w:t>3864.48</w:t>
            </w:r>
          </w:p>
        </w:tc>
        <w:tc>
          <w:tcPr>
            <w:tcW w:w="567" w:type="pct"/>
            <w:tcBorders>
              <w:top w:val="single" w:sz="4" w:space="0" w:color="auto"/>
              <w:left w:val="nil"/>
              <w:bottom w:val="single" w:sz="4" w:space="0" w:color="auto"/>
              <w:right w:val="single" w:sz="4" w:space="0" w:color="auto"/>
            </w:tcBorders>
            <w:shd w:val="clear" w:color="auto" w:fill="auto"/>
            <w:noWrap/>
            <w:vAlign w:val="center"/>
          </w:tcPr>
          <w:p w:rsidR="00736E3F" w:rsidRPr="00835A57" w:rsidRDefault="00C44437" w:rsidP="009802EF">
            <w:pPr>
              <w:pStyle w:val="Eqn"/>
              <w:jc w:val="center"/>
              <w:rPr>
                <w:lang w:val="fr-FR"/>
              </w:rPr>
            </w:pPr>
            <w:r w:rsidRPr="00835A57">
              <w:t>12.88</w:t>
            </w:r>
          </w:p>
        </w:tc>
        <w:tc>
          <w:tcPr>
            <w:tcW w:w="567" w:type="pct"/>
            <w:tcBorders>
              <w:top w:val="single" w:sz="4" w:space="0" w:color="auto"/>
              <w:left w:val="nil"/>
              <w:bottom w:val="single" w:sz="4" w:space="0" w:color="auto"/>
              <w:right w:val="single" w:sz="4" w:space="0" w:color="auto"/>
            </w:tcBorders>
            <w:shd w:val="clear" w:color="auto" w:fill="auto"/>
            <w:noWrap/>
            <w:vAlign w:val="center"/>
          </w:tcPr>
          <w:p w:rsidR="00736E3F" w:rsidRPr="00835A57" w:rsidRDefault="00BB0B3C" w:rsidP="009802EF">
            <w:pPr>
              <w:pStyle w:val="Eqn"/>
              <w:jc w:val="center"/>
              <w:rPr>
                <w:lang w:val="fr-FR"/>
              </w:rPr>
            </w:pPr>
            <w:r>
              <w:t>7295</w:t>
            </w:r>
          </w:p>
        </w:tc>
        <w:tc>
          <w:tcPr>
            <w:tcW w:w="567" w:type="pct"/>
            <w:tcBorders>
              <w:top w:val="single" w:sz="4" w:space="0" w:color="auto"/>
              <w:left w:val="nil"/>
              <w:bottom w:val="single" w:sz="4" w:space="0" w:color="auto"/>
              <w:right w:val="single" w:sz="4" w:space="0" w:color="auto"/>
            </w:tcBorders>
            <w:shd w:val="clear" w:color="auto" w:fill="auto"/>
            <w:noWrap/>
            <w:vAlign w:val="center"/>
          </w:tcPr>
          <w:p w:rsidR="00736E3F" w:rsidRPr="00835A57" w:rsidRDefault="00C44437" w:rsidP="009802EF">
            <w:pPr>
              <w:pStyle w:val="Eqn"/>
              <w:jc w:val="center"/>
              <w:rPr>
                <w:lang w:val="fr-FR"/>
              </w:rPr>
            </w:pPr>
            <w:r w:rsidRPr="00835A57">
              <w:t>24.32</w:t>
            </w:r>
          </w:p>
        </w:tc>
        <w:tc>
          <w:tcPr>
            <w:tcW w:w="567" w:type="pct"/>
            <w:tcBorders>
              <w:top w:val="single" w:sz="4" w:space="0" w:color="auto"/>
              <w:left w:val="nil"/>
              <w:bottom w:val="single" w:sz="4" w:space="0" w:color="auto"/>
              <w:right w:val="single" w:sz="4" w:space="0" w:color="auto"/>
            </w:tcBorders>
            <w:shd w:val="clear" w:color="auto" w:fill="auto"/>
            <w:noWrap/>
            <w:vAlign w:val="center"/>
          </w:tcPr>
          <w:p w:rsidR="00736E3F" w:rsidRPr="00835A57" w:rsidRDefault="00BB0B3C" w:rsidP="009802EF">
            <w:pPr>
              <w:pStyle w:val="Eqn"/>
              <w:jc w:val="center"/>
              <w:rPr>
                <w:lang w:val="fr-FR"/>
              </w:rPr>
            </w:pPr>
            <w:r>
              <w:t>81172</w:t>
            </w:r>
          </w:p>
        </w:tc>
        <w:tc>
          <w:tcPr>
            <w:tcW w:w="563" w:type="pct"/>
            <w:tcBorders>
              <w:top w:val="single" w:sz="4" w:space="0" w:color="auto"/>
              <w:left w:val="nil"/>
              <w:bottom w:val="single" w:sz="4" w:space="0" w:color="auto"/>
              <w:right w:val="single" w:sz="4" w:space="0" w:color="auto"/>
            </w:tcBorders>
            <w:shd w:val="clear" w:color="auto" w:fill="auto"/>
            <w:noWrap/>
            <w:vAlign w:val="center"/>
          </w:tcPr>
          <w:p w:rsidR="00736E3F" w:rsidRPr="00835A57" w:rsidRDefault="00C44437" w:rsidP="009802EF">
            <w:pPr>
              <w:pStyle w:val="Eqn"/>
              <w:jc w:val="center"/>
              <w:rPr>
                <w:lang w:val="fr-FR"/>
              </w:rPr>
            </w:pPr>
            <w:r w:rsidRPr="00835A57">
              <w:t>270.572</w:t>
            </w:r>
          </w:p>
        </w:tc>
      </w:tr>
    </w:tbl>
    <w:p w:rsidR="00736E3F" w:rsidRDefault="00736E3F" w:rsidP="00736E3F">
      <w:pPr>
        <w:pStyle w:val="Eqn"/>
        <w:jc w:val="center"/>
        <w:rPr>
          <w:b/>
        </w:rPr>
      </w:pPr>
    </w:p>
    <w:p w:rsidR="00C07453" w:rsidRDefault="002E1FE5" w:rsidP="00093AB2">
      <w:pPr>
        <w:pStyle w:val="Eqn"/>
        <w:rPr>
          <w:lang w:eastAsia="en-US"/>
        </w:rPr>
      </w:pPr>
      <w:r>
        <w:rPr>
          <w:kern w:val="2"/>
          <w:lang w:eastAsia="zh-CN"/>
        </w:rPr>
        <w:t>A</w:t>
      </w:r>
      <w:r w:rsidRPr="002E1FE5">
        <w:rPr>
          <w:rFonts w:hint="eastAsia"/>
          <w:kern w:val="2"/>
          <w:lang w:eastAsia="zh-CN"/>
        </w:rPr>
        <w:t xml:space="preserve"> </w:t>
      </w:r>
      <w:r w:rsidRPr="00057B30">
        <w:rPr>
          <w:rFonts w:hint="eastAsia"/>
          <w:kern w:val="2"/>
          <w:lang w:eastAsia="zh-CN"/>
        </w:rPr>
        <w:t>linear</w:t>
      </w:r>
      <w:r w:rsidR="00627C95" w:rsidRPr="00057B30">
        <w:rPr>
          <w:rFonts w:hint="eastAsia"/>
          <w:kern w:val="2"/>
          <w:lang w:eastAsia="zh-CN"/>
        </w:rPr>
        <w:t xml:space="preserve"> increas</w:t>
      </w:r>
      <w:r>
        <w:rPr>
          <w:kern w:val="2"/>
          <w:lang w:eastAsia="zh-CN"/>
        </w:rPr>
        <w:t>e</w:t>
      </w:r>
      <w:r w:rsidR="00627C95" w:rsidRPr="00057B30">
        <w:rPr>
          <w:rFonts w:hint="eastAsia"/>
          <w:kern w:val="2"/>
          <w:lang w:eastAsia="zh-CN"/>
        </w:rPr>
        <w:t xml:space="preserve"> </w:t>
      </w:r>
      <w:r>
        <w:rPr>
          <w:kern w:val="2"/>
          <w:lang w:eastAsia="zh-CN"/>
        </w:rPr>
        <w:t xml:space="preserve">of </w:t>
      </w:r>
      <w:r w:rsidR="00627C95" w:rsidRPr="00057B30">
        <w:rPr>
          <w:rFonts w:hint="eastAsia"/>
          <w:kern w:val="2"/>
          <w:lang w:eastAsia="zh-CN"/>
        </w:rPr>
        <w:t>the number of HARQ processes may</w:t>
      </w:r>
      <w:r>
        <w:rPr>
          <w:kern w:val="2"/>
          <w:lang w:eastAsia="zh-CN"/>
        </w:rPr>
        <w:t xml:space="preserve"> not </w:t>
      </w:r>
      <w:r w:rsidR="00627C95" w:rsidRPr="00057B30">
        <w:rPr>
          <w:rFonts w:hint="eastAsia"/>
          <w:kern w:val="2"/>
          <w:lang w:eastAsia="zh-CN"/>
        </w:rPr>
        <w:t xml:space="preserve">be </w:t>
      </w:r>
      <w:r w:rsidR="00627C95" w:rsidRPr="00057B30">
        <w:rPr>
          <w:kern w:val="2"/>
          <w:lang w:eastAsia="zh-CN"/>
        </w:rPr>
        <w:t>feasible</w:t>
      </w:r>
      <w:r w:rsidR="00627C95" w:rsidRPr="00057B30">
        <w:rPr>
          <w:rFonts w:hint="eastAsia"/>
          <w:kern w:val="2"/>
          <w:lang w:eastAsia="zh-CN"/>
        </w:rPr>
        <w:t xml:space="preserve"> </w:t>
      </w:r>
      <w:r w:rsidR="00627C95" w:rsidRPr="00057B30">
        <w:rPr>
          <w:kern w:val="2"/>
          <w:lang w:eastAsia="zh-CN"/>
        </w:rPr>
        <w:t>due to the restriction of UE memory and processing capabilities.</w:t>
      </w:r>
      <w:r w:rsidR="00627C95">
        <w:rPr>
          <w:kern w:val="2"/>
          <w:lang w:eastAsia="zh-CN"/>
        </w:rPr>
        <w:t xml:space="preserve"> </w:t>
      </w:r>
      <w:r>
        <w:rPr>
          <w:kern w:val="2"/>
          <w:lang w:eastAsia="zh-CN"/>
        </w:rPr>
        <w:t>Several</w:t>
      </w:r>
      <w:r w:rsidR="00093AB2">
        <w:rPr>
          <w:lang w:eastAsia="en-US"/>
        </w:rPr>
        <w:t xml:space="preserve"> new HARQ procedures for NTN </w:t>
      </w:r>
      <w:r w:rsidR="00D26E0A">
        <w:rPr>
          <w:lang w:eastAsia="en-US"/>
        </w:rPr>
        <w:t xml:space="preserve">were proposed </w:t>
      </w:r>
      <w:r w:rsidR="000374CD">
        <w:rPr>
          <w:lang w:eastAsia="en-US"/>
        </w:rPr>
        <w:t xml:space="preserve">in </w:t>
      </w:r>
      <w:r w:rsidR="00A22316">
        <w:rPr>
          <w:lang w:eastAsia="en-US"/>
        </w:rPr>
        <w:t>[4]</w:t>
      </w:r>
      <w:r w:rsidR="00A71BD5">
        <w:rPr>
          <w:lang w:eastAsia="en-US"/>
        </w:rPr>
        <w:t>:</w:t>
      </w:r>
    </w:p>
    <w:p w:rsidR="00C07453" w:rsidRDefault="00A71BD5" w:rsidP="00A71BD5">
      <w:pPr>
        <w:pStyle w:val="Eqn"/>
        <w:ind w:leftChars="100" w:left="220"/>
        <w:rPr>
          <w:kern w:val="2"/>
          <w:lang w:eastAsia="zh-CN"/>
        </w:rPr>
      </w:pPr>
      <w:r>
        <w:rPr>
          <w:lang w:eastAsia="en-US"/>
        </w:rPr>
        <w:t>-</w:t>
      </w:r>
      <w:r w:rsidR="00562BD6">
        <w:rPr>
          <w:lang w:eastAsia="en-US"/>
        </w:rPr>
        <w:t xml:space="preserve"> </w:t>
      </w:r>
      <w:r w:rsidR="00B6030A">
        <w:rPr>
          <w:lang w:eastAsia="en-US"/>
        </w:rPr>
        <w:t>C</w:t>
      </w:r>
      <w:r w:rsidR="00D83662" w:rsidRPr="00D83662">
        <w:rPr>
          <w:kern w:val="2"/>
          <w:lang w:eastAsia="zh-CN"/>
        </w:rPr>
        <w:t>ombining the aggregation of slots with K-repetitions in frequency can be considered, to reduce the long repetition time of the whole aggregated slot</w:t>
      </w:r>
      <w:r w:rsidR="00D83662" w:rsidRPr="00A22316">
        <w:rPr>
          <w:kern w:val="2"/>
          <w:lang w:eastAsia="zh-CN"/>
        </w:rPr>
        <w:t xml:space="preserve">s. </w:t>
      </w:r>
      <w:r w:rsidR="004B2C3C" w:rsidRPr="00A22316">
        <w:rPr>
          <w:kern w:val="2"/>
          <w:lang w:eastAsia="zh-CN"/>
        </w:rPr>
        <w:t>With aggregation scheme</w:t>
      </w:r>
      <w:r w:rsidR="005F107B">
        <w:rPr>
          <w:kern w:val="2"/>
          <w:lang w:eastAsia="zh-CN"/>
        </w:rPr>
        <w:t>, it</w:t>
      </w:r>
      <w:r w:rsidR="004B2C3C" w:rsidRPr="00A22316">
        <w:rPr>
          <w:kern w:val="2"/>
          <w:lang w:eastAsia="zh-CN"/>
        </w:rPr>
        <w:t xml:space="preserve"> can reduce HARQ acknowledgements and the number of HARQ process significantly.</w:t>
      </w:r>
    </w:p>
    <w:p w:rsidR="00C07453" w:rsidRDefault="00A71BD5" w:rsidP="00A71BD5">
      <w:pPr>
        <w:pStyle w:val="Eqn"/>
        <w:ind w:leftChars="100" w:left="220"/>
        <w:rPr>
          <w:kern w:val="2"/>
          <w:lang w:eastAsia="zh-CN"/>
        </w:rPr>
      </w:pPr>
      <w:r>
        <w:rPr>
          <w:kern w:val="2"/>
          <w:lang w:eastAsia="zh-CN"/>
        </w:rPr>
        <w:t>-</w:t>
      </w:r>
      <w:r w:rsidR="00562BD6">
        <w:rPr>
          <w:kern w:val="2"/>
          <w:lang w:eastAsia="zh-CN"/>
        </w:rPr>
        <w:t xml:space="preserve"> </w:t>
      </w:r>
      <w:r>
        <w:rPr>
          <w:kern w:val="2"/>
          <w:lang w:eastAsia="zh-CN"/>
        </w:rPr>
        <w:t>S</w:t>
      </w:r>
      <w:r w:rsidR="00D83662" w:rsidRPr="00D83662">
        <w:rPr>
          <w:kern w:val="2"/>
          <w:lang w:eastAsia="zh-CN"/>
        </w:rPr>
        <w:t xml:space="preserve">imilar as TTI bundling in LTE, reducing the retransmission probability as </w:t>
      </w:r>
      <w:r w:rsidR="005F107B">
        <w:rPr>
          <w:kern w:val="2"/>
          <w:lang w:eastAsia="zh-CN"/>
        </w:rPr>
        <w:t>an</w:t>
      </w:r>
      <w:r w:rsidR="00D83662" w:rsidRPr="00D83662">
        <w:rPr>
          <w:kern w:val="2"/>
          <w:lang w:eastAsia="zh-CN"/>
        </w:rPr>
        <w:t xml:space="preserve"> alternative method to </w:t>
      </w:r>
      <w:r w:rsidR="00B6030A">
        <w:rPr>
          <w:kern w:val="2"/>
          <w:lang w:eastAsia="zh-CN"/>
        </w:rPr>
        <w:t>decrease</w:t>
      </w:r>
      <w:r w:rsidR="00D83662" w:rsidRPr="00D83662">
        <w:rPr>
          <w:kern w:val="2"/>
          <w:lang w:eastAsia="zh-CN"/>
        </w:rPr>
        <w:t xml:space="preserve"> the large number of required HARQ processes. </w:t>
      </w:r>
    </w:p>
    <w:p w:rsidR="002F38C0" w:rsidRDefault="00A71BD5" w:rsidP="00A71BD5">
      <w:pPr>
        <w:pStyle w:val="Eqn"/>
        <w:ind w:leftChars="100" w:left="220"/>
        <w:rPr>
          <w:kern w:val="2"/>
          <w:lang w:eastAsia="zh-CN"/>
        </w:rPr>
      </w:pPr>
      <w:r>
        <w:rPr>
          <w:kern w:val="2"/>
          <w:lang w:eastAsia="zh-CN"/>
        </w:rPr>
        <w:t>-</w:t>
      </w:r>
      <w:r w:rsidR="00562BD6">
        <w:rPr>
          <w:kern w:val="2"/>
          <w:lang w:eastAsia="zh-CN"/>
        </w:rPr>
        <w:t xml:space="preserve"> </w:t>
      </w:r>
      <w:r w:rsidR="002F38C0" w:rsidRPr="00057B30">
        <w:rPr>
          <w:kern w:val="2"/>
          <w:lang w:eastAsia="zh-CN"/>
        </w:rPr>
        <w:t xml:space="preserve">Utilizing terrestrial dual-connectivity (DC) or multi-connectivity (MC), </w:t>
      </w:r>
      <w:r w:rsidR="00D55082">
        <w:rPr>
          <w:kern w:val="2"/>
          <w:lang w:eastAsia="zh-CN"/>
        </w:rPr>
        <w:t>t</w:t>
      </w:r>
      <w:r w:rsidR="002F38C0" w:rsidRPr="00057B30">
        <w:rPr>
          <w:kern w:val="2"/>
          <w:lang w:eastAsia="zh-CN"/>
        </w:rPr>
        <w:t xml:space="preserve">he retransmission procedure is </w:t>
      </w:r>
      <w:r w:rsidR="005F107B">
        <w:rPr>
          <w:kern w:val="2"/>
          <w:lang w:eastAsia="zh-CN"/>
        </w:rPr>
        <w:t>aide</w:t>
      </w:r>
      <w:r w:rsidR="005F107B" w:rsidRPr="00057B30">
        <w:rPr>
          <w:kern w:val="2"/>
          <w:lang w:eastAsia="zh-CN"/>
        </w:rPr>
        <w:t xml:space="preserve">d </w:t>
      </w:r>
      <w:r w:rsidR="002F38C0" w:rsidRPr="00057B30">
        <w:rPr>
          <w:kern w:val="2"/>
          <w:lang w:eastAsia="zh-CN"/>
        </w:rPr>
        <w:t>by terrestrial links rather than the longer delay NTN links.</w:t>
      </w:r>
    </w:p>
    <w:p w:rsidR="00D55082" w:rsidRDefault="00D55082" w:rsidP="00D55082">
      <w:pPr>
        <w:pStyle w:val="Eqn"/>
        <w:rPr>
          <w:kern w:val="2"/>
          <w:lang w:eastAsia="zh-CN"/>
        </w:rPr>
      </w:pPr>
      <w:r w:rsidRPr="00D83662">
        <w:rPr>
          <w:kern w:val="2"/>
          <w:lang w:eastAsia="zh-CN"/>
        </w:rPr>
        <w:t>Note that both bundling and repetition only worked in time domain, cau</w:t>
      </w:r>
      <w:r>
        <w:rPr>
          <w:kern w:val="2"/>
          <w:lang w:eastAsia="zh-CN"/>
        </w:rPr>
        <w:t xml:space="preserve">sing additional delay over NTN. </w:t>
      </w:r>
      <w:r w:rsidR="0045221F">
        <w:rPr>
          <w:kern w:val="2"/>
          <w:lang w:eastAsia="zh-CN"/>
        </w:rPr>
        <w:t>As mentioned</w:t>
      </w:r>
      <w:r w:rsidR="005F107B">
        <w:rPr>
          <w:kern w:val="2"/>
          <w:lang w:eastAsia="zh-CN"/>
        </w:rPr>
        <w:t xml:space="preserve"> in [4]</w:t>
      </w:r>
      <w:r w:rsidR="0045221F">
        <w:rPr>
          <w:kern w:val="2"/>
          <w:lang w:eastAsia="zh-CN"/>
        </w:rPr>
        <w:t xml:space="preserve">, </w:t>
      </w:r>
      <w:r w:rsidRPr="00057B30">
        <w:rPr>
          <w:kern w:val="2"/>
          <w:lang w:eastAsia="zh-CN"/>
        </w:rPr>
        <w:t>it need</w:t>
      </w:r>
      <w:r w:rsidR="002E3672">
        <w:rPr>
          <w:kern w:val="2"/>
          <w:lang w:eastAsia="zh-CN"/>
        </w:rPr>
        <w:t>s</w:t>
      </w:r>
      <w:r w:rsidRPr="00057B30">
        <w:rPr>
          <w:kern w:val="2"/>
          <w:lang w:eastAsia="zh-CN"/>
        </w:rPr>
        <w:t xml:space="preserve"> to further study the impact on NR HARQ operation when a DC/MC with terrestrial gNB and relay-node gNB exists</w:t>
      </w:r>
      <w:r>
        <w:rPr>
          <w:kern w:val="2"/>
          <w:lang w:eastAsia="zh-CN"/>
        </w:rPr>
        <w:t>.</w:t>
      </w:r>
      <w:r w:rsidR="0045221F">
        <w:rPr>
          <w:kern w:val="2"/>
          <w:lang w:eastAsia="zh-CN"/>
        </w:rPr>
        <w:t xml:space="preserve"> </w:t>
      </w:r>
    </w:p>
    <w:p w:rsidR="00D83662" w:rsidRDefault="00DB1A4C" w:rsidP="00093AB2">
      <w:pPr>
        <w:pStyle w:val="Eqn"/>
        <w:rPr>
          <w:i/>
          <w:lang w:eastAsia="zh-CN"/>
        </w:rPr>
      </w:pPr>
      <w:r w:rsidRPr="00DB1A4C">
        <w:rPr>
          <w:rFonts w:hint="eastAsia"/>
          <w:b/>
          <w:i/>
          <w:lang w:eastAsia="zh-CN"/>
        </w:rPr>
        <w:t>Observation 1:</w:t>
      </w:r>
      <w:r w:rsidRPr="00801094">
        <w:rPr>
          <w:rFonts w:hint="eastAsia"/>
          <w:i/>
          <w:lang w:eastAsia="zh-CN"/>
        </w:rPr>
        <w:t xml:space="preserve"> </w:t>
      </w:r>
      <w:r w:rsidR="00F213A9">
        <w:rPr>
          <w:i/>
          <w:lang w:eastAsia="zh-CN"/>
        </w:rPr>
        <w:t xml:space="preserve">How to enhance HARQ </w:t>
      </w:r>
      <w:r w:rsidR="0022057A">
        <w:rPr>
          <w:i/>
          <w:lang w:eastAsia="zh-CN"/>
        </w:rPr>
        <w:t>need</w:t>
      </w:r>
      <w:r w:rsidR="000374CD">
        <w:rPr>
          <w:i/>
          <w:lang w:eastAsia="zh-CN"/>
        </w:rPr>
        <w:t>s</w:t>
      </w:r>
      <w:r w:rsidR="0022057A">
        <w:rPr>
          <w:i/>
          <w:lang w:eastAsia="zh-CN"/>
        </w:rPr>
        <w:t xml:space="preserve"> to be further studied for NTN.</w:t>
      </w:r>
    </w:p>
    <w:p w:rsidR="00B6030A" w:rsidRDefault="00B6030A" w:rsidP="00093AB2">
      <w:pPr>
        <w:pStyle w:val="Eqn"/>
        <w:rPr>
          <w:i/>
          <w:lang w:eastAsia="zh-CN"/>
        </w:rPr>
      </w:pPr>
    </w:p>
    <w:p w:rsidR="00A71BD5" w:rsidRDefault="00F053CA" w:rsidP="00093AB2">
      <w:pPr>
        <w:pStyle w:val="Eqn"/>
        <w:rPr>
          <w:lang w:eastAsia="en-US"/>
        </w:rPr>
      </w:pPr>
      <w:r>
        <w:rPr>
          <w:lang w:eastAsia="en-US"/>
        </w:rPr>
        <w:lastRenderedPageBreak/>
        <w:t>Besides</w:t>
      </w:r>
      <w:r w:rsidR="002F38C0">
        <w:rPr>
          <w:lang w:eastAsia="en-US"/>
        </w:rPr>
        <w:t xml:space="preserve">, there </w:t>
      </w:r>
      <w:r w:rsidR="004275B3">
        <w:rPr>
          <w:lang w:eastAsia="en-US"/>
        </w:rPr>
        <w:t>we</w:t>
      </w:r>
      <w:r w:rsidR="002F38C0">
        <w:rPr>
          <w:lang w:eastAsia="en-US"/>
        </w:rPr>
        <w:t>re some disabl</w:t>
      </w:r>
      <w:r w:rsidR="002F38C0" w:rsidRPr="00A22316">
        <w:rPr>
          <w:lang w:eastAsia="en-US"/>
        </w:rPr>
        <w:t>ing HARQ scheme</w:t>
      </w:r>
      <w:r w:rsidR="00A22316" w:rsidRPr="00A22316">
        <w:rPr>
          <w:lang w:eastAsia="en-US"/>
        </w:rPr>
        <w:t>s</w:t>
      </w:r>
      <w:r w:rsidR="00A71BD5" w:rsidRPr="00A22316">
        <w:rPr>
          <w:lang w:eastAsia="en-US"/>
        </w:rPr>
        <w:t xml:space="preserve"> </w:t>
      </w:r>
      <w:r w:rsidR="00A71BD5" w:rsidRPr="003E3CC3">
        <w:rPr>
          <w:lang w:eastAsia="en-US"/>
        </w:rPr>
        <w:t>designed</w:t>
      </w:r>
      <w:r w:rsidR="00A71BD5">
        <w:rPr>
          <w:lang w:eastAsia="en-US"/>
        </w:rPr>
        <w:t xml:space="preserve"> up to now:</w:t>
      </w:r>
      <w:r w:rsidR="002F38C0">
        <w:rPr>
          <w:lang w:eastAsia="en-US"/>
        </w:rPr>
        <w:t xml:space="preserve"> </w:t>
      </w:r>
    </w:p>
    <w:p w:rsidR="00A71BD5" w:rsidRDefault="00A71BD5" w:rsidP="00A71BD5">
      <w:pPr>
        <w:pStyle w:val="Eqn"/>
        <w:ind w:leftChars="100" w:left="220"/>
        <w:rPr>
          <w:lang w:eastAsia="en-US"/>
        </w:rPr>
      </w:pPr>
      <w:r>
        <w:rPr>
          <w:lang w:eastAsia="en-US"/>
        </w:rPr>
        <w:t>-</w:t>
      </w:r>
      <w:r w:rsidR="00A80B46">
        <w:rPr>
          <w:lang w:eastAsia="en-US"/>
        </w:rPr>
        <w:t xml:space="preserve"> </w:t>
      </w:r>
      <w:r w:rsidR="002F38C0">
        <w:rPr>
          <w:lang w:eastAsia="en-US"/>
        </w:rPr>
        <w:t>Tw</w:t>
      </w:r>
      <w:r w:rsidR="002F38C0" w:rsidRPr="00A22316">
        <w:rPr>
          <w:lang w:eastAsia="en-US"/>
        </w:rPr>
        <w:t xml:space="preserve">o </w:t>
      </w:r>
      <w:r w:rsidR="002F38C0" w:rsidRPr="003E3CC3">
        <w:rPr>
          <w:lang w:eastAsia="en-US"/>
        </w:rPr>
        <w:t>kind</w:t>
      </w:r>
      <w:r w:rsidR="00A22316">
        <w:rPr>
          <w:lang w:eastAsia="en-US"/>
        </w:rPr>
        <w:t>s</w:t>
      </w:r>
      <w:r w:rsidR="002F38C0" w:rsidRPr="00A22316">
        <w:rPr>
          <w:lang w:eastAsia="en-US"/>
        </w:rPr>
        <w:t xml:space="preserve"> of disa</w:t>
      </w:r>
      <w:r w:rsidR="002F38C0">
        <w:rPr>
          <w:lang w:eastAsia="en-US"/>
        </w:rPr>
        <w:t>bling schemes were proposed in NTN, which includ</w:t>
      </w:r>
      <w:r w:rsidR="002F38C0" w:rsidRPr="00A22316">
        <w:rPr>
          <w:lang w:eastAsia="en-US"/>
        </w:rPr>
        <w:t xml:space="preserve">e </w:t>
      </w:r>
      <w:r w:rsidR="00A22316" w:rsidRPr="003E3CC3">
        <w:rPr>
          <w:lang w:eastAsia="en-US"/>
        </w:rPr>
        <w:t>s</w:t>
      </w:r>
      <w:r w:rsidR="00A22316" w:rsidRPr="00A22316">
        <w:rPr>
          <w:lang w:eastAsia="en-US"/>
        </w:rPr>
        <w:t>emi</w:t>
      </w:r>
      <w:r w:rsidR="002F38C0" w:rsidRPr="00A22316">
        <w:rPr>
          <w:lang w:eastAsia="en-US"/>
        </w:rPr>
        <w:t>-static HARQ</w:t>
      </w:r>
      <w:r w:rsidR="002F38C0">
        <w:rPr>
          <w:lang w:eastAsia="en-US"/>
        </w:rPr>
        <w:t xml:space="preserve"> disabling and dynamic HARQ disabling [</w:t>
      </w:r>
      <w:r w:rsidR="00196A57">
        <w:rPr>
          <w:lang w:eastAsia="en-US"/>
        </w:rPr>
        <w:t>5</w:t>
      </w:r>
      <w:r w:rsidR="002F38C0">
        <w:rPr>
          <w:lang w:eastAsia="en-US"/>
        </w:rPr>
        <w:t xml:space="preserve">]. </w:t>
      </w:r>
    </w:p>
    <w:p w:rsidR="00A71BD5" w:rsidRDefault="00A71BD5" w:rsidP="00A71BD5">
      <w:pPr>
        <w:pStyle w:val="Eqn"/>
        <w:ind w:leftChars="100" w:left="220"/>
        <w:rPr>
          <w:lang w:eastAsia="en-US"/>
        </w:rPr>
      </w:pPr>
      <w:r>
        <w:rPr>
          <w:lang w:eastAsia="en-US"/>
        </w:rPr>
        <w:t>-</w:t>
      </w:r>
      <w:r w:rsidR="00A80B46">
        <w:rPr>
          <w:lang w:eastAsia="en-US"/>
        </w:rPr>
        <w:t xml:space="preserve"> </w:t>
      </w:r>
      <w:r w:rsidR="002F38C0">
        <w:rPr>
          <w:lang w:eastAsia="en-US"/>
        </w:rPr>
        <w:t xml:space="preserve">Another “turn off” HARQ method </w:t>
      </w:r>
      <w:r w:rsidR="000D5F91">
        <w:rPr>
          <w:lang w:eastAsia="en-US"/>
        </w:rPr>
        <w:t>was</w:t>
      </w:r>
      <w:r w:rsidR="002F38C0">
        <w:rPr>
          <w:lang w:eastAsia="en-US"/>
        </w:rPr>
        <w:t xml:space="preserve"> to </w:t>
      </w:r>
      <w:r w:rsidR="00A80B46">
        <w:rPr>
          <w:lang w:eastAsia="en-US"/>
        </w:rPr>
        <w:t xml:space="preserve">always </w:t>
      </w:r>
      <w:r w:rsidR="002F38C0">
        <w:rPr>
          <w:lang w:eastAsia="en-US"/>
        </w:rPr>
        <w:t>schedule a new transmission on a HARQ process by toggling the New Data Indicator, NDI [</w:t>
      </w:r>
      <w:r w:rsidR="00196A57">
        <w:rPr>
          <w:lang w:eastAsia="en-US"/>
        </w:rPr>
        <w:t>6</w:t>
      </w:r>
      <w:r w:rsidR="002F38C0">
        <w:rPr>
          <w:lang w:eastAsia="en-US"/>
        </w:rPr>
        <w:t>].</w:t>
      </w:r>
    </w:p>
    <w:p w:rsidR="00DB1A4C" w:rsidRPr="00F213A9" w:rsidRDefault="00093AB2" w:rsidP="00A71BD5">
      <w:pPr>
        <w:pStyle w:val="Eqn"/>
        <w:rPr>
          <w:color w:val="000000" w:themeColor="text1"/>
        </w:rPr>
      </w:pPr>
      <w:r w:rsidRPr="00F213A9">
        <w:rPr>
          <w:color w:val="000000" w:themeColor="text1"/>
        </w:rPr>
        <w:t>But many details needed to be studied, s</w:t>
      </w:r>
      <w:r w:rsidRPr="00093AB2">
        <w:t>uch as how to indica</w:t>
      </w:r>
      <w:r w:rsidRPr="00A22316">
        <w:t>te the</w:t>
      </w:r>
      <w:r w:rsidRPr="00093AB2">
        <w:t xml:space="preserve"> UE that ACK/NACK should not be sent</w:t>
      </w:r>
      <w:r w:rsidR="00740CCD" w:rsidRPr="00740CCD">
        <w:t xml:space="preserve"> </w:t>
      </w:r>
      <w:r w:rsidR="00740CCD" w:rsidRPr="00093AB2">
        <w:t>for scheme proposed in</w:t>
      </w:r>
      <w:r w:rsidR="00D83662">
        <w:t xml:space="preserve"> [</w:t>
      </w:r>
      <w:r w:rsidR="00196A57">
        <w:t>6</w:t>
      </w:r>
      <w:r w:rsidR="00D83662">
        <w:t>]</w:t>
      </w:r>
      <w:r w:rsidR="0022057A" w:rsidRPr="00F213A9">
        <w:rPr>
          <w:color w:val="000000" w:themeColor="text1"/>
        </w:rPr>
        <w:t xml:space="preserve">. </w:t>
      </w:r>
      <w:r w:rsidR="00C066AA">
        <w:rPr>
          <w:color w:val="000000" w:themeColor="text1"/>
        </w:rPr>
        <w:t>Although the design mentioned in [6] is a simple scheme</w:t>
      </w:r>
      <w:r w:rsidR="00F936CD">
        <w:rPr>
          <w:color w:val="000000" w:themeColor="text1"/>
        </w:rPr>
        <w:t xml:space="preserve"> that just toggling the NDI</w:t>
      </w:r>
      <w:r w:rsidR="00C066AA">
        <w:rPr>
          <w:color w:val="000000" w:themeColor="text1"/>
        </w:rPr>
        <w:t xml:space="preserve">, </w:t>
      </w:r>
      <w:r w:rsidR="001D7B1C">
        <w:rPr>
          <w:color w:val="000000" w:themeColor="text1"/>
        </w:rPr>
        <w:t>the</w:t>
      </w:r>
      <w:r w:rsidR="0075678A">
        <w:rPr>
          <w:color w:val="000000" w:themeColor="text1"/>
        </w:rPr>
        <w:t xml:space="preserve"> part of</w:t>
      </w:r>
      <w:r w:rsidR="001D7B1C">
        <w:rPr>
          <w:color w:val="000000" w:themeColor="text1"/>
        </w:rPr>
        <w:t xml:space="preserve"> remaining bits in DCI seems useless. Hence</w:t>
      </w:r>
      <w:r w:rsidR="000374CD">
        <w:rPr>
          <w:color w:val="000000" w:themeColor="text1"/>
        </w:rPr>
        <w:t>,</w:t>
      </w:r>
      <w:r w:rsidR="001D7B1C">
        <w:rPr>
          <w:color w:val="000000" w:themeColor="text1"/>
        </w:rPr>
        <w:t xml:space="preserve"> </w:t>
      </w:r>
      <w:r w:rsidR="00C066AA">
        <w:rPr>
          <w:color w:val="000000" w:themeColor="text1"/>
        </w:rPr>
        <w:t>how to save signaling overhead</w:t>
      </w:r>
      <w:r w:rsidR="00F936CD">
        <w:rPr>
          <w:color w:val="000000" w:themeColor="text1"/>
        </w:rPr>
        <w:t xml:space="preserve"> should</w:t>
      </w:r>
      <w:r w:rsidR="00C066AA">
        <w:rPr>
          <w:color w:val="000000" w:themeColor="text1"/>
        </w:rPr>
        <w:t xml:space="preserve"> be studied.</w:t>
      </w:r>
      <w:r w:rsidR="00740CCD" w:rsidRPr="00D227F9">
        <w:rPr>
          <w:color w:val="000000" w:themeColor="text1"/>
        </w:rPr>
        <w:t xml:space="preserve"> </w:t>
      </w:r>
      <w:r w:rsidR="00C066AA" w:rsidRPr="00D227F9">
        <w:rPr>
          <w:color w:val="000000" w:themeColor="text1"/>
        </w:rPr>
        <w:t xml:space="preserve">In addition, </w:t>
      </w:r>
      <w:r w:rsidR="00322C89">
        <w:rPr>
          <w:color w:val="000000" w:themeColor="text1"/>
        </w:rPr>
        <w:t xml:space="preserve">this kind indication design could consider </w:t>
      </w:r>
      <w:r w:rsidR="00740CCD" w:rsidRPr="00D227F9">
        <w:rPr>
          <w:color w:val="000000" w:themeColor="text1"/>
        </w:rPr>
        <w:t>efficien</w:t>
      </w:r>
      <w:r w:rsidR="00322C89">
        <w:rPr>
          <w:color w:val="000000" w:themeColor="text1"/>
        </w:rPr>
        <w:t>cy of</w:t>
      </w:r>
      <w:r w:rsidR="00985C0B" w:rsidRPr="00D227F9">
        <w:rPr>
          <w:color w:val="000000" w:themeColor="text1"/>
        </w:rPr>
        <w:t xml:space="preserve"> the channel quality, </w:t>
      </w:r>
      <w:r w:rsidR="00D227F9" w:rsidRPr="00D227F9">
        <w:rPr>
          <w:color w:val="000000" w:themeColor="text1"/>
        </w:rPr>
        <w:t xml:space="preserve">the </w:t>
      </w:r>
      <w:r w:rsidR="00740CCD" w:rsidRPr="00D227F9">
        <w:rPr>
          <w:color w:val="000000" w:themeColor="text1"/>
        </w:rPr>
        <w:t>power control</w:t>
      </w:r>
      <w:r w:rsidR="00322C89">
        <w:rPr>
          <w:color w:val="000000" w:themeColor="text1"/>
        </w:rPr>
        <w:t xml:space="preserve"> enhancement</w:t>
      </w:r>
      <w:r w:rsidR="00740CCD" w:rsidRPr="00D227F9">
        <w:rPr>
          <w:color w:val="000000" w:themeColor="text1"/>
        </w:rPr>
        <w:t xml:space="preserve"> in NTN</w:t>
      </w:r>
      <w:r w:rsidR="00F936CD">
        <w:rPr>
          <w:color w:val="000000" w:themeColor="text1"/>
        </w:rPr>
        <w:t xml:space="preserve">, </w:t>
      </w:r>
      <w:r w:rsidR="00F057BB">
        <w:rPr>
          <w:color w:val="000000" w:themeColor="text1"/>
        </w:rPr>
        <w:t xml:space="preserve">and </w:t>
      </w:r>
      <w:r w:rsidR="00F936CD">
        <w:rPr>
          <w:color w:val="000000" w:themeColor="text1"/>
        </w:rPr>
        <w:t>the scheduling flexibility bring to</w:t>
      </w:r>
      <w:r w:rsidR="005F107B">
        <w:rPr>
          <w:color w:val="000000" w:themeColor="text1"/>
        </w:rPr>
        <w:t xml:space="preserve"> the</w:t>
      </w:r>
      <w:r w:rsidR="00F936CD">
        <w:rPr>
          <w:color w:val="000000" w:themeColor="text1"/>
        </w:rPr>
        <w:t xml:space="preserve"> whole system</w:t>
      </w:r>
      <w:r w:rsidR="00740CCD" w:rsidRPr="00D227F9">
        <w:rPr>
          <w:color w:val="000000" w:themeColor="text1"/>
        </w:rPr>
        <w:t xml:space="preserve">. </w:t>
      </w:r>
      <w:r w:rsidR="00F936CD">
        <w:rPr>
          <w:color w:val="000000" w:themeColor="text1"/>
        </w:rPr>
        <w:t>In general, t</w:t>
      </w:r>
      <w:r w:rsidR="0022057A" w:rsidRPr="00F213A9">
        <w:rPr>
          <w:color w:val="000000" w:themeColor="text1"/>
        </w:rPr>
        <w:t>he main problem is that</w:t>
      </w:r>
      <w:r w:rsidR="00D83662" w:rsidRPr="00F213A9">
        <w:rPr>
          <w:color w:val="000000" w:themeColor="text1"/>
        </w:rPr>
        <w:t xml:space="preserve"> how to support the current implementation for disabling HARQ at the PHY/MAC layers. </w:t>
      </w:r>
    </w:p>
    <w:p w:rsidR="00DB1A4C" w:rsidRDefault="00DB1A4C" w:rsidP="00093AB2">
      <w:pPr>
        <w:pStyle w:val="Eqn"/>
        <w:rPr>
          <w:i/>
          <w:lang w:eastAsia="zh-CN"/>
        </w:rPr>
      </w:pPr>
      <w:r w:rsidRPr="00DB1A4C">
        <w:rPr>
          <w:b/>
          <w:i/>
        </w:rPr>
        <w:t>Observation 2:</w:t>
      </w:r>
      <w:r w:rsidRPr="0022057A">
        <w:rPr>
          <w:i/>
        </w:rPr>
        <w:t xml:space="preserve"> </w:t>
      </w:r>
      <w:r w:rsidR="00F213A9">
        <w:rPr>
          <w:i/>
        </w:rPr>
        <w:t>H</w:t>
      </w:r>
      <w:r w:rsidR="00F213A9">
        <w:rPr>
          <w:rFonts w:hint="eastAsia"/>
          <w:i/>
          <w:lang w:eastAsia="zh-CN"/>
        </w:rPr>
        <w:t>ow to disable HARQ need</w:t>
      </w:r>
      <w:r w:rsidR="000374CD">
        <w:rPr>
          <w:i/>
          <w:lang w:eastAsia="zh-CN"/>
        </w:rPr>
        <w:t>s</w:t>
      </w:r>
      <w:r w:rsidR="00F213A9">
        <w:rPr>
          <w:rFonts w:hint="eastAsia"/>
          <w:i/>
          <w:lang w:eastAsia="zh-CN"/>
        </w:rPr>
        <w:t xml:space="preserve"> to be further studied</w:t>
      </w:r>
      <w:r w:rsidR="001F6233">
        <w:rPr>
          <w:i/>
          <w:lang w:eastAsia="zh-CN"/>
        </w:rPr>
        <w:t xml:space="preserve"> for NTN</w:t>
      </w:r>
      <w:r w:rsidR="00F213A9">
        <w:rPr>
          <w:rFonts w:hint="eastAsia"/>
          <w:i/>
          <w:lang w:eastAsia="zh-CN"/>
        </w:rPr>
        <w:t>.</w:t>
      </w:r>
    </w:p>
    <w:p w:rsidR="00093AB2" w:rsidRDefault="00093AB2" w:rsidP="00093AB2">
      <w:pPr>
        <w:pStyle w:val="Eqn"/>
      </w:pPr>
      <w:r w:rsidRPr="00093AB2">
        <w:t>Besides the</w:t>
      </w:r>
      <w:r w:rsidR="005F107B">
        <w:t xml:space="preserve"> aforementioned</w:t>
      </w:r>
      <w:r w:rsidRPr="00093AB2">
        <w:t xml:space="preserve"> problem</w:t>
      </w:r>
      <w:r w:rsidR="00CE3F6E">
        <w:t>s</w:t>
      </w:r>
      <w:r w:rsidRPr="00093AB2">
        <w:t>, the challenge</w:t>
      </w:r>
      <w:r w:rsidR="0053161F">
        <w:t>s</w:t>
      </w:r>
      <w:r w:rsidRPr="00093AB2">
        <w:t xml:space="preserve"> to the RLC</w:t>
      </w:r>
      <w:r w:rsidR="00696368">
        <w:t xml:space="preserve"> should be considered</w:t>
      </w:r>
      <w:r w:rsidRPr="00093AB2">
        <w:t xml:space="preserve"> if HARQ </w:t>
      </w:r>
      <w:r w:rsidR="00696368">
        <w:t xml:space="preserve">is disabled </w:t>
      </w:r>
      <w:r w:rsidRPr="00093AB2">
        <w:t xml:space="preserve">in MAC. </w:t>
      </w:r>
      <w:r w:rsidRPr="00093AB2">
        <w:rPr>
          <w:rFonts w:hint="eastAsia"/>
        </w:rPr>
        <w:t>If the retransmission only rel</w:t>
      </w:r>
      <w:r w:rsidR="00874F29">
        <w:t>ies</w:t>
      </w:r>
      <w:r w:rsidRPr="00093AB2">
        <w:rPr>
          <w:rFonts w:hint="eastAsia"/>
        </w:rPr>
        <w:t xml:space="preserve"> on the RLC retransmission, whether the induced transmission delay can be neglected</w:t>
      </w:r>
      <w:r w:rsidR="00874F29">
        <w:t xml:space="preserve"> should be studied</w:t>
      </w:r>
      <w:r w:rsidRPr="00093AB2">
        <w:t>.</w:t>
      </w:r>
      <w:r w:rsidR="00974C8C" w:rsidRPr="00974C8C">
        <w:rPr>
          <w:rFonts w:ascii="inherit" w:hAnsi="inherit"/>
          <w:color w:val="212121"/>
        </w:rPr>
        <w:t xml:space="preserve"> </w:t>
      </w:r>
      <w:r w:rsidR="00974C8C">
        <w:rPr>
          <w:rFonts w:ascii="inherit" w:hAnsi="inherit"/>
          <w:color w:val="212121"/>
        </w:rPr>
        <w:t>The ARQ process of the RLC layer needs to buffer the packets that have been sent until a packet acknowledgment is received or the timer expires to initiate a retransmission. In the satellite system, a larger buffer is needed to cope with the long transmission delay, and it is possible to limit the allowed retransmission number of times for each transmission packet. In addition, in the scheduling process of the MAC layer and the RLC layer, the long delay of the satellite system also affects the scheduling</w:t>
      </w:r>
      <w:r w:rsidR="002E3672">
        <w:rPr>
          <w:rFonts w:ascii="inherit" w:hAnsi="inherit"/>
          <w:color w:val="212121"/>
        </w:rPr>
        <w:t xml:space="preserve"> scheme</w:t>
      </w:r>
      <w:r w:rsidR="00974C8C">
        <w:rPr>
          <w:rFonts w:ascii="inherit" w:hAnsi="inherit"/>
          <w:color w:val="212121"/>
        </w:rPr>
        <w:t>, and the scheduling delay parameters need to be adjusted.</w:t>
      </w:r>
      <w:r w:rsidRPr="00093AB2">
        <w:rPr>
          <w:rFonts w:hint="eastAsia"/>
        </w:rPr>
        <w:t xml:space="preserve"> </w:t>
      </w:r>
      <w:r w:rsidR="00974C8C">
        <w:t>Hence, s</w:t>
      </w:r>
      <w:r w:rsidRPr="00093AB2">
        <w:rPr>
          <w:rFonts w:hint="eastAsia"/>
        </w:rPr>
        <w:t>ome parameters related to the RLC should be FFS,</w:t>
      </w:r>
      <w:r w:rsidRPr="00093AB2">
        <w:t xml:space="preserve"> </w:t>
      </w:r>
      <w:r w:rsidRPr="00093AB2">
        <w:rPr>
          <w:rFonts w:hint="eastAsia"/>
        </w:rPr>
        <w:t>such as the size of Rx/Tx window and the sequence number, the number of retransmission, retransmission timer and so on.</w:t>
      </w:r>
      <w:r w:rsidR="00D83662">
        <w:t xml:space="preserve"> </w:t>
      </w:r>
      <w:r w:rsidR="00D83662" w:rsidRPr="00D83662">
        <w:t>Hence, the</w:t>
      </w:r>
      <w:r w:rsidR="002F1538">
        <w:t xml:space="preserve"> design of</w:t>
      </w:r>
      <w:r w:rsidR="00D83662" w:rsidRPr="00D83662">
        <w:t xml:space="preserve"> disabled HARQ mechanism</w:t>
      </w:r>
      <w:r w:rsidR="002F1538">
        <w:t xml:space="preserve"> should consider the impact on the RLC</w:t>
      </w:r>
      <w:r w:rsidR="00D83662" w:rsidRPr="00D83662">
        <w:t>.</w:t>
      </w:r>
    </w:p>
    <w:p w:rsidR="00DB1A4C" w:rsidRDefault="00DB1A4C" w:rsidP="00DB1A4C">
      <w:pPr>
        <w:pStyle w:val="Eqn"/>
        <w:rPr>
          <w:i/>
        </w:rPr>
      </w:pPr>
      <w:r w:rsidRPr="00DB1A4C">
        <w:rPr>
          <w:b/>
          <w:i/>
        </w:rPr>
        <w:t xml:space="preserve">Observation 3: </w:t>
      </w:r>
      <w:r w:rsidR="0022057A" w:rsidRPr="0022057A">
        <w:rPr>
          <w:i/>
        </w:rPr>
        <w:t xml:space="preserve">The </w:t>
      </w:r>
      <w:r w:rsidR="0022057A">
        <w:rPr>
          <w:i/>
        </w:rPr>
        <w:t>challenge</w:t>
      </w:r>
      <w:r w:rsidR="0053161F">
        <w:rPr>
          <w:i/>
        </w:rPr>
        <w:t>s</w:t>
      </w:r>
      <w:r w:rsidR="0022057A">
        <w:rPr>
          <w:i/>
        </w:rPr>
        <w:t xml:space="preserve"> </w:t>
      </w:r>
      <w:r w:rsidR="0022057A" w:rsidRPr="0022057A">
        <w:rPr>
          <w:i/>
        </w:rPr>
        <w:t xml:space="preserve">to </w:t>
      </w:r>
      <w:r w:rsidR="0022057A">
        <w:rPr>
          <w:i/>
        </w:rPr>
        <w:t xml:space="preserve">the </w:t>
      </w:r>
      <w:r w:rsidR="0022057A" w:rsidRPr="0022057A">
        <w:rPr>
          <w:i/>
        </w:rPr>
        <w:t xml:space="preserve">RLC should not be neglected </w:t>
      </w:r>
      <w:r w:rsidR="00590114">
        <w:rPr>
          <w:i/>
        </w:rPr>
        <w:t>if disabling</w:t>
      </w:r>
      <w:r w:rsidR="0022057A">
        <w:rPr>
          <w:i/>
        </w:rPr>
        <w:t xml:space="preserve"> HARQ</w:t>
      </w:r>
      <w:r w:rsidR="00590114">
        <w:rPr>
          <w:i/>
        </w:rPr>
        <w:t xml:space="preserve"> applied </w:t>
      </w:r>
      <w:r w:rsidR="0022057A">
        <w:rPr>
          <w:i/>
        </w:rPr>
        <w:t>in NTN</w:t>
      </w:r>
      <w:r w:rsidR="0022057A" w:rsidRPr="0022057A">
        <w:rPr>
          <w:i/>
        </w:rPr>
        <w:t>.</w:t>
      </w:r>
    </w:p>
    <w:p w:rsidR="00093AB2" w:rsidRPr="00093AB2" w:rsidRDefault="00093AB2" w:rsidP="00093AB2">
      <w:pPr>
        <w:pStyle w:val="Eqn"/>
      </w:pPr>
      <w:r w:rsidRPr="00093AB2">
        <w:t xml:space="preserve">In summary, there are many challenges to employ the existing HARQ protocol </w:t>
      </w:r>
      <w:r w:rsidR="00196A57">
        <w:t>or disabling HARQ in</w:t>
      </w:r>
      <w:r w:rsidRPr="00093AB2">
        <w:t xml:space="preserve"> NTN. Therefore, we need to study and develop new procedures for adapting HARQ to </w:t>
      </w:r>
      <w:r w:rsidR="00CD594F">
        <w:t>NTN</w:t>
      </w:r>
      <w:r w:rsidRPr="00093AB2">
        <w:t>.</w:t>
      </w:r>
    </w:p>
    <w:p w:rsidR="00157FC3" w:rsidRPr="00CF195E" w:rsidRDefault="00747F48" w:rsidP="00CF195E">
      <w:pPr>
        <w:pStyle w:val="1"/>
      </w:pPr>
      <w:r w:rsidRPr="00CF195E">
        <w:t>Conclusion</w:t>
      </w:r>
      <w:r w:rsidR="006B1FD5" w:rsidRPr="00CF195E">
        <w:t>s</w:t>
      </w:r>
    </w:p>
    <w:p w:rsidR="00093AB2" w:rsidRPr="00093AB2" w:rsidRDefault="00093AB2" w:rsidP="00093AB2">
      <w:pPr>
        <w:rPr>
          <w:lang w:eastAsia="ja-JP"/>
        </w:rPr>
      </w:pPr>
      <w:bookmarkStart w:id="3" w:name="_Ref124589665"/>
      <w:bookmarkStart w:id="4" w:name="_Ref71620620"/>
      <w:bookmarkStart w:id="5" w:name="_Ref124671424"/>
      <w:r w:rsidRPr="00093AB2">
        <w:rPr>
          <w:lang w:eastAsia="ja-JP"/>
        </w:rPr>
        <w:t xml:space="preserve">In this contribution, we discuss the key considerations and challenges for adapting HARQ procedures in NTN. Then we get the following </w:t>
      </w:r>
      <w:r w:rsidR="00DB1A4C">
        <w:rPr>
          <w:lang w:eastAsia="ja-JP"/>
        </w:rPr>
        <w:t>observations</w:t>
      </w:r>
      <w:r w:rsidRPr="00093AB2">
        <w:rPr>
          <w:lang w:eastAsia="ja-JP"/>
        </w:rPr>
        <w:t>:</w:t>
      </w:r>
    </w:p>
    <w:p w:rsidR="009700A7" w:rsidRDefault="009700A7" w:rsidP="009700A7">
      <w:pPr>
        <w:pStyle w:val="Eqn"/>
        <w:rPr>
          <w:i/>
          <w:lang w:eastAsia="zh-CN"/>
        </w:rPr>
      </w:pPr>
      <w:r w:rsidRPr="00DB1A4C">
        <w:rPr>
          <w:rFonts w:hint="eastAsia"/>
          <w:b/>
          <w:i/>
          <w:lang w:eastAsia="zh-CN"/>
        </w:rPr>
        <w:t>Observation 1:</w:t>
      </w:r>
      <w:r w:rsidRPr="00801094">
        <w:rPr>
          <w:rFonts w:hint="eastAsia"/>
          <w:i/>
          <w:lang w:eastAsia="zh-CN"/>
        </w:rPr>
        <w:t xml:space="preserve"> </w:t>
      </w:r>
      <w:r w:rsidR="00F213A9">
        <w:rPr>
          <w:i/>
          <w:lang w:eastAsia="zh-CN"/>
        </w:rPr>
        <w:t>How to enhance HARQ need</w:t>
      </w:r>
      <w:r w:rsidR="00E0420C">
        <w:rPr>
          <w:i/>
          <w:lang w:eastAsia="zh-CN"/>
        </w:rPr>
        <w:t>s</w:t>
      </w:r>
      <w:r w:rsidR="00F213A9">
        <w:rPr>
          <w:i/>
          <w:lang w:eastAsia="zh-CN"/>
        </w:rPr>
        <w:t xml:space="preserve"> to be further studied for NTN.</w:t>
      </w:r>
    </w:p>
    <w:p w:rsidR="009700A7" w:rsidRPr="00DB1A4C" w:rsidRDefault="009700A7" w:rsidP="009700A7">
      <w:pPr>
        <w:pStyle w:val="Eqn"/>
        <w:rPr>
          <w:b/>
          <w:i/>
        </w:rPr>
      </w:pPr>
      <w:r w:rsidRPr="00DB1A4C">
        <w:rPr>
          <w:b/>
          <w:i/>
        </w:rPr>
        <w:t>Observation 2:</w:t>
      </w:r>
      <w:r w:rsidRPr="0022057A">
        <w:rPr>
          <w:i/>
        </w:rPr>
        <w:t xml:space="preserve"> </w:t>
      </w:r>
      <w:r w:rsidR="00881A4C">
        <w:rPr>
          <w:i/>
        </w:rPr>
        <w:t>H</w:t>
      </w:r>
      <w:r w:rsidR="00881A4C">
        <w:rPr>
          <w:rFonts w:hint="eastAsia"/>
          <w:i/>
          <w:lang w:eastAsia="zh-CN"/>
        </w:rPr>
        <w:t>ow to disable HARQ need</w:t>
      </w:r>
      <w:r w:rsidR="00E0420C">
        <w:rPr>
          <w:i/>
          <w:lang w:eastAsia="zh-CN"/>
        </w:rPr>
        <w:t>s</w:t>
      </w:r>
      <w:r w:rsidR="00881A4C">
        <w:rPr>
          <w:rFonts w:hint="eastAsia"/>
          <w:i/>
          <w:lang w:eastAsia="zh-CN"/>
        </w:rPr>
        <w:t xml:space="preserve"> to be further studied</w:t>
      </w:r>
      <w:r w:rsidR="00881A4C">
        <w:rPr>
          <w:i/>
          <w:lang w:eastAsia="zh-CN"/>
        </w:rPr>
        <w:t xml:space="preserve"> for NTN</w:t>
      </w:r>
      <w:r w:rsidR="00881A4C">
        <w:rPr>
          <w:rFonts w:hint="eastAsia"/>
          <w:i/>
          <w:lang w:eastAsia="zh-CN"/>
        </w:rPr>
        <w:t>.</w:t>
      </w:r>
    </w:p>
    <w:p w:rsidR="00E0420C" w:rsidRDefault="00E0420C" w:rsidP="00E0420C">
      <w:pPr>
        <w:pStyle w:val="Eqn"/>
        <w:rPr>
          <w:i/>
        </w:rPr>
      </w:pPr>
      <w:r w:rsidRPr="00DB1A4C">
        <w:rPr>
          <w:b/>
          <w:i/>
        </w:rPr>
        <w:t xml:space="preserve">Observation 3: </w:t>
      </w:r>
      <w:r w:rsidRPr="0022057A">
        <w:rPr>
          <w:i/>
        </w:rPr>
        <w:t xml:space="preserve">The </w:t>
      </w:r>
      <w:r>
        <w:rPr>
          <w:i/>
        </w:rPr>
        <w:t xml:space="preserve">challenges </w:t>
      </w:r>
      <w:r w:rsidRPr="0022057A">
        <w:rPr>
          <w:i/>
        </w:rPr>
        <w:t xml:space="preserve">to </w:t>
      </w:r>
      <w:r>
        <w:rPr>
          <w:i/>
        </w:rPr>
        <w:t xml:space="preserve">the </w:t>
      </w:r>
      <w:r w:rsidRPr="0022057A">
        <w:rPr>
          <w:i/>
        </w:rPr>
        <w:t xml:space="preserve">RLC should not be neglected </w:t>
      </w:r>
      <w:r>
        <w:rPr>
          <w:i/>
        </w:rPr>
        <w:t>if disabling HARQ applied in NTN</w:t>
      </w:r>
      <w:r w:rsidRPr="0022057A">
        <w:rPr>
          <w:i/>
        </w:rPr>
        <w:t>.</w:t>
      </w:r>
    </w:p>
    <w:p w:rsidR="00851B3E" w:rsidRPr="00093AB2" w:rsidRDefault="00851B3E" w:rsidP="00093AB2">
      <w:pPr>
        <w:pStyle w:val="Eqn"/>
        <w:rPr>
          <w:b/>
          <w:lang w:eastAsia="en-US"/>
        </w:rPr>
      </w:pPr>
      <w:bookmarkStart w:id="6" w:name="_GoBack"/>
      <w:bookmarkEnd w:id="6"/>
    </w:p>
    <w:p w:rsidR="001D780E" w:rsidRPr="00CF195E" w:rsidRDefault="001D780E" w:rsidP="00CF195E">
      <w:pPr>
        <w:pStyle w:val="1"/>
        <w:numPr>
          <w:ilvl w:val="0"/>
          <w:numId w:val="0"/>
        </w:numPr>
        <w:ind w:left="432" w:hanging="432"/>
      </w:pPr>
      <w:r w:rsidRPr="00CF195E">
        <w:t>References</w:t>
      </w:r>
    </w:p>
    <w:p w:rsidR="00093AB2" w:rsidRPr="00460EC8" w:rsidRDefault="00093AB2" w:rsidP="00093AB2">
      <w:bookmarkStart w:id="7" w:name="_Ref510504022"/>
      <w:bookmarkStart w:id="8" w:name="_Ref510814820"/>
      <w:bookmarkStart w:id="9" w:name="_Ref174151459"/>
      <w:bookmarkStart w:id="10" w:name="_Ref189809556"/>
      <w:bookmarkEnd w:id="3"/>
      <w:bookmarkEnd w:id="4"/>
      <w:bookmarkEnd w:id="5"/>
      <w:r w:rsidRPr="00460EC8">
        <w:t xml:space="preserve">[1] </w:t>
      </w:r>
      <w:r w:rsidR="00C07453" w:rsidRPr="00460EC8">
        <w:t>RP-181370</w:t>
      </w:r>
      <w:r w:rsidR="002D0E2D" w:rsidRPr="00460EC8">
        <w:t xml:space="preserve">, </w:t>
      </w:r>
      <w:r w:rsidR="009921E8" w:rsidRPr="00460EC8">
        <w:t>“</w:t>
      </w:r>
      <w:r w:rsidRPr="00460EC8">
        <w:t>Study on solutions evaluation for NR to support Non-Terrestrial Network</w:t>
      </w:r>
      <w:r w:rsidR="009921E8" w:rsidRPr="00460EC8">
        <w:t>”</w:t>
      </w:r>
      <w:r w:rsidRPr="00460EC8">
        <w:t xml:space="preserve">, </w:t>
      </w:r>
      <w:r w:rsidR="00C07453" w:rsidRPr="00460EC8">
        <w:t>Thales</w:t>
      </w:r>
      <w:r w:rsidR="002D0E2D" w:rsidRPr="00460EC8">
        <w:t xml:space="preserve">, </w:t>
      </w:r>
      <w:r w:rsidRPr="00460EC8">
        <w:t xml:space="preserve">RAN#80, </w:t>
      </w:r>
      <w:r w:rsidR="00155D20" w:rsidRPr="00460EC8">
        <w:t>La Jolla, USA, 11-14</w:t>
      </w:r>
      <w:r w:rsidR="00155D20" w:rsidRPr="00460EC8">
        <w:rPr>
          <w:vertAlign w:val="superscript"/>
        </w:rPr>
        <w:t>th</w:t>
      </w:r>
      <w:r w:rsidR="00155D20" w:rsidRPr="00460EC8">
        <w:t xml:space="preserve"> June, 2018</w:t>
      </w:r>
      <w:r w:rsidRPr="00460EC8">
        <w:t>.</w:t>
      </w:r>
    </w:p>
    <w:p w:rsidR="000F04D7" w:rsidRPr="00460EC8" w:rsidRDefault="000F04D7" w:rsidP="00093AB2">
      <w:r w:rsidRPr="00460EC8">
        <w:t>[</w:t>
      </w:r>
      <w:r w:rsidR="00AB47D7" w:rsidRPr="00460EC8">
        <w:t>2</w:t>
      </w:r>
      <w:r w:rsidRPr="00460EC8">
        <w:t>]</w:t>
      </w:r>
      <w:r w:rsidR="00AB47D7" w:rsidRPr="00460EC8">
        <w:t xml:space="preserve"> </w:t>
      </w:r>
      <w:r w:rsidR="00C07453" w:rsidRPr="00460EC8">
        <w:t>R</w:t>
      </w:r>
      <w:r w:rsidR="00793CDB" w:rsidRPr="00460EC8">
        <w:t xml:space="preserve">2-1818525, “RAN2 chairman (Intel)”, RAN2 </w:t>
      </w:r>
      <w:r w:rsidR="00003594" w:rsidRPr="00460EC8">
        <w:t>#</w:t>
      </w:r>
      <w:r w:rsidR="00793CDB" w:rsidRPr="00460EC8">
        <w:t>104, Spokane, US, 12-16</w:t>
      </w:r>
      <w:r w:rsidR="00793CDB" w:rsidRPr="00460EC8">
        <w:rPr>
          <w:vertAlign w:val="superscript"/>
        </w:rPr>
        <w:t>th</w:t>
      </w:r>
      <w:r w:rsidR="00793CDB" w:rsidRPr="00460EC8">
        <w:t xml:space="preserve"> Nov., 2018</w:t>
      </w:r>
      <w:r w:rsidR="00196A57" w:rsidRPr="00460EC8">
        <w:t>.</w:t>
      </w:r>
    </w:p>
    <w:p w:rsidR="00093AB2" w:rsidRPr="00460EC8" w:rsidRDefault="00AB47D7" w:rsidP="00093AB2">
      <w:r w:rsidRPr="00460EC8">
        <w:t>[3</w:t>
      </w:r>
      <w:r w:rsidR="00093AB2" w:rsidRPr="00460EC8">
        <w:t xml:space="preserve">] </w:t>
      </w:r>
      <w:r w:rsidR="00F72FA0" w:rsidRPr="00460EC8">
        <w:t xml:space="preserve">3GPP </w:t>
      </w:r>
      <w:r w:rsidR="00093AB2" w:rsidRPr="00460EC8">
        <w:t xml:space="preserve">TR 38.811, </w:t>
      </w:r>
      <w:r w:rsidR="00093AB2" w:rsidRPr="00460EC8">
        <w:rPr>
          <w:rFonts w:hint="eastAsia"/>
        </w:rPr>
        <w:t xml:space="preserve">Study on </w:t>
      </w:r>
      <w:r w:rsidR="00093AB2" w:rsidRPr="00460EC8">
        <w:t xml:space="preserve">New Radio </w:t>
      </w:r>
      <w:r w:rsidR="00093AB2" w:rsidRPr="00460EC8">
        <w:rPr>
          <w:rFonts w:hint="eastAsia"/>
        </w:rPr>
        <w:t xml:space="preserve">(NR) </w:t>
      </w:r>
      <w:r w:rsidR="00093AB2" w:rsidRPr="00460EC8">
        <w:t>to support non terrestrial networks.</w:t>
      </w:r>
    </w:p>
    <w:p w:rsidR="00093AB2" w:rsidRPr="00460EC8" w:rsidRDefault="00AB47D7" w:rsidP="00093AB2">
      <w:r w:rsidRPr="00460EC8">
        <w:t>[4</w:t>
      </w:r>
      <w:r w:rsidR="00093AB2" w:rsidRPr="00460EC8">
        <w:t>]</w:t>
      </w:r>
      <w:r w:rsidR="00F271B8" w:rsidRPr="00460EC8">
        <w:t xml:space="preserve"> R2-1817757</w:t>
      </w:r>
      <w:r w:rsidR="002D0E2D" w:rsidRPr="00460EC8">
        <w:t xml:space="preserve">, </w:t>
      </w:r>
      <w:r w:rsidR="009921E8" w:rsidRPr="00460EC8">
        <w:t>“</w:t>
      </w:r>
      <w:r w:rsidR="00093AB2" w:rsidRPr="00460EC8">
        <w:t>NR-NTN: HARQ in Satellite Systems</w:t>
      </w:r>
      <w:r w:rsidR="009921E8" w:rsidRPr="00460EC8">
        <w:t>”</w:t>
      </w:r>
      <w:r w:rsidR="00093AB2" w:rsidRPr="00460EC8">
        <w:t>,</w:t>
      </w:r>
      <w:r w:rsidR="00F271B8" w:rsidRPr="00460EC8">
        <w:t xml:space="preserve"> Fraunhofer IIS, Fraunhofer HHI</w:t>
      </w:r>
      <w:r w:rsidR="002D0E2D" w:rsidRPr="00460EC8">
        <w:t xml:space="preserve">, </w:t>
      </w:r>
      <w:r w:rsidR="00093AB2" w:rsidRPr="00460EC8">
        <w:t xml:space="preserve">RAN2 </w:t>
      </w:r>
      <w:r w:rsidR="00003594" w:rsidRPr="00460EC8">
        <w:t>#</w:t>
      </w:r>
      <w:r w:rsidR="00093AB2" w:rsidRPr="00460EC8">
        <w:t>104,</w:t>
      </w:r>
      <w:r w:rsidR="00F271B8" w:rsidRPr="00460EC8">
        <w:t xml:space="preserve"> Spokane, US,</w:t>
      </w:r>
      <w:r w:rsidR="00093AB2" w:rsidRPr="00460EC8">
        <w:t xml:space="preserve"> </w:t>
      </w:r>
      <w:r w:rsidR="00155D20" w:rsidRPr="00460EC8">
        <w:t>12-16</w:t>
      </w:r>
      <w:r w:rsidR="00155D20" w:rsidRPr="00460EC8">
        <w:rPr>
          <w:vertAlign w:val="superscript"/>
        </w:rPr>
        <w:t>th</w:t>
      </w:r>
      <w:r w:rsidR="00155D20" w:rsidRPr="00460EC8">
        <w:t xml:space="preserve"> Nov., 2018</w:t>
      </w:r>
      <w:r w:rsidR="00093AB2" w:rsidRPr="00460EC8">
        <w:t>.</w:t>
      </w:r>
    </w:p>
    <w:bookmarkEnd w:id="7"/>
    <w:bookmarkEnd w:id="8"/>
    <w:bookmarkEnd w:id="9"/>
    <w:bookmarkEnd w:id="10"/>
    <w:p w:rsidR="00093AB2" w:rsidRPr="00460EC8" w:rsidRDefault="00AB47D7" w:rsidP="00093AB2">
      <w:r w:rsidRPr="00460EC8">
        <w:t>[5</w:t>
      </w:r>
      <w:r w:rsidR="00093AB2" w:rsidRPr="00460EC8">
        <w:t xml:space="preserve">] </w:t>
      </w:r>
      <w:r w:rsidR="00F271B8" w:rsidRPr="00460EC8">
        <w:t>R1-1805848</w:t>
      </w:r>
      <w:r w:rsidR="002D0E2D" w:rsidRPr="00460EC8">
        <w:t xml:space="preserve">, </w:t>
      </w:r>
      <w:r w:rsidR="009921E8" w:rsidRPr="00460EC8">
        <w:t>“</w:t>
      </w:r>
      <w:r w:rsidR="00093AB2" w:rsidRPr="00460EC8">
        <w:t>Consideration on HARQ Impact for NTN</w:t>
      </w:r>
      <w:r w:rsidR="009921E8" w:rsidRPr="00460EC8">
        <w:t>”</w:t>
      </w:r>
      <w:r w:rsidR="00093AB2" w:rsidRPr="00460EC8">
        <w:t>,</w:t>
      </w:r>
      <w:r w:rsidR="00F271B8" w:rsidRPr="00460EC8">
        <w:t xml:space="preserve"> Nokia, Nokia Shanghai Bell</w:t>
      </w:r>
      <w:r w:rsidR="002D0E2D" w:rsidRPr="00460EC8">
        <w:t xml:space="preserve">, </w:t>
      </w:r>
      <w:r w:rsidR="00093AB2" w:rsidRPr="00460EC8">
        <w:t xml:space="preserve">RAN1#93, </w:t>
      </w:r>
      <w:r w:rsidR="00F271B8" w:rsidRPr="00460EC8">
        <w:t xml:space="preserve">Busan, Korea, </w:t>
      </w:r>
      <w:r w:rsidR="00155D20" w:rsidRPr="00460EC8">
        <w:t>21</w:t>
      </w:r>
      <w:r w:rsidR="00155D20" w:rsidRPr="00460EC8">
        <w:rPr>
          <w:vertAlign w:val="superscript"/>
        </w:rPr>
        <w:t>st</w:t>
      </w:r>
      <w:r w:rsidR="00155D20" w:rsidRPr="00460EC8">
        <w:t>-25</w:t>
      </w:r>
      <w:r w:rsidR="00155D20" w:rsidRPr="00460EC8">
        <w:rPr>
          <w:vertAlign w:val="superscript"/>
        </w:rPr>
        <w:t>th</w:t>
      </w:r>
      <w:r w:rsidR="00155D20" w:rsidRPr="00460EC8">
        <w:t xml:space="preserve"> May, 2018</w:t>
      </w:r>
      <w:r w:rsidR="00093AB2" w:rsidRPr="00460EC8">
        <w:t>.</w:t>
      </w:r>
    </w:p>
    <w:p w:rsidR="00093AB2" w:rsidRPr="00460EC8" w:rsidRDefault="00AB47D7" w:rsidP="00093AB2">
      <w:r w:rsidRPr="00460EC8">
        <w:t>[6</w:t>
      </w:r>
      <w:r w:rsidR="00093AB2" w:rsidRPr="00460EC8">
        <w:t xml:space="preserve">] </w:t>
      </w:r>
      <w:r w:rsidR="00F271B8" w:rsidRPr="00460EC8">
        <w:t>R2-1817764</w:t>
      </w:r>
      <w:r w:rsidR="002D0E2D" w:rsidRPr="00460EC8">
        <w:t xml:space="preserve">, </w:t>
      </w:r>
      <w:r w:rsidR="009921E8" w:rsidRPr="00460EC8">
        <w:t>“</w:t>
      </w:r>
      <w:r w:rsidR="00093AB2" w:rsidRPr="00460EC8">
        <w:t>On HARQ for NTN</w:t>
      </w:r>
      <w:r w:rsidR="009921E8" w:rsidRPr="00460EC8">
        <w:t>”</w:t>
      </w:r>
      <w:r w:rsidR="00093AB2" w:rsidRPr="00460EC8">
        <w:t>,</w:t>
      </w:r>
      <w:r w:rsidR="00F271B8" w:rsidRPr="00460EC8">
        <w:t xml:space="preserve"> Ericsson</w:t>
      </w:r>
      <w:r w:rsidR="002D0E2D" w:rsidRPr="00460EC8">
        <w:t xml:space="preserve">, </w:t>
      </w:r>
      <w:r w:rsidR="00093AB2" w:rsidRPr="00460EC8">
        <w:t>RAN</w:t>
      </w:r>
      <w:r w:rsidR="009179E5" w:rsidRPr="00460EC8">
        <w:t>2 #104,</w:t>
      </w:r>
      <w:r w:rsidR="00F271B8" w:rsidRPr="00460EC8">
        <w:t xml:space="preserve"> Spokane, US,</w:t>
      </w:r>
      <w:r w:rsidR="009179E5" w:rsidRPr="00460EC8">
        <w:t xml:space="preserve"> </w:t>
      </w:r>
      <w:r w:rsidR="00155D20" w:rsidRPr="00460EC8">
        <w:t>12-16</w:t>
      </w:r>
      <w:r w:rsidR="00155D20" w:rsidRPr="00460EC8">
        <w:rPr>
          <w:vertAlign w:val="superscript"/>
        </w:rPr>
        <w:t>th</w:t>
      </w:r>
      <w:r w:rsidR="00155D20" w:rsidRPr="00460EC8">
        <w:t xml:space="preserve"> </w:t>
      </w:r>
      <w:r w:rsidR="009179E5" w:rsidRPr="00460EC8">
        <w:t>Nov.</w:t>
      </w:r>
      <w:r w:rsidR="00155D20" w:rsidRPr="00460EC8">
        <w:t>,</w:t>
      </w:r>
      <w:r w:rsidR="009179E5" w:rsidRPr="00460EC8">
        <w:t xml:space="preserve"> 2018.</w:t>
      </w:r>
    </w:p>
    <w:bookmarkEnd w:id="2"/>
    <w:p w:rsidR="005B2812" w:rsidRPr="00155D20" w:rsidRDefault="005B2812" w:rsidP="00093DD0">
      <w:pPr>
        <w:rPr>
          <w:kern w:val="2"/>
          <w:lang w:eastAsia="zh-CN"/>
        </w:rPr>
      </w:pPr>
    </w:p>
    <w:sectPr w:rsidR="005B2812" w:rsidRPr="00155D2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4990" w:rsidRDefault="00614990">
      <w:r>
        <w:separator/>
      </w:r>
    </w:p>
  </w:endnote>
  <w:endnote w:type="continuationSeparator" w:id="0">
    <w:p w:rsidR="00614990" w:rsidRDefault="006149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4990" w:rsidRDefault="00614990">
      <w:r>
        <w:separator/>
      </w:r>
    </w:p>
  </w:footnote>
  <w:footnote w:type="continuationSeparator" w:id="0">
    <w:p w:rsidR="00614990" w:rsidRDefault="006149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1"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4"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5"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0"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1"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F5E20AE"/>
    <w:multiLevelType w:val="hybridMultilevel"/>
    <w:tmpl w:val="B5806614"/>
    <w:lvl w:ilvl="0" w:tplc="75A494E6">
      <w:start w:val="1"/>
      <w:numFmt w:val="bullet"/>
      <w:lvlText w:val="•"/>
      <w:lvlJc w:val="left"/>
      <w:pPr>
        <w:tabs>
          <w:tab w:val="num" w:pos="720"/>
        </w:tabs>
        <w:ind w:left="720" w:hanging="360"/>
      </w:pPr>
      <w:rPr>
        <w:rFonts w:ascii="Arial" w:hAnsi="Arial" w:hint="default"/>
      </w:rPr>
    </w:lvl>
    <w:lvl w:ilvl="1" w:tplc="DE142F3E">
      <w:start w:val="1"/>
      <w:numFmt w:val="bullet"/>
      <w:lvlText w:val="•"/>
      <w:lvlJc w:val="left"/>
      <w:pPr>
        <w:tabs>
          <w:tab w:val="num" w:pos="1440"/>
        </w:tabs>
        <w:ind w:left="1440" w:hanging="360"/>
      </w:pPr>
      <w:rPr>
        <w:rFonts w:ascii="Arial" w:hAnsi="Arial" w:hint="default"/>
      </w:rPr>
    </w:lvl>
    <w:lvl w:ilvl="2" w:tplc="AF782A72">
      <w:start w:val="1"/>
      <w:numFmt w:val="bullet"/>
      <w:lvlText w:val="•"/>
      <w:lvlJc w:val="left"/>
      <w:pPr>
        <w:tabs>
          <w:tab w:val="num" w:pos="2160"/>
        </w:tabs>
        <w:ind w:left="2160" w:hanging="360"/>
      </w:pPr>
      <w:rPr>
        <w:rFonts w:ascii="Arial" w:hAnsi="Arial" w:hint="default"/>
      </w:rPr>
    </w:lvl>
    <w:lvl w:ilvl="3" w:tplc="AA68C57E" w:tentative="1">
      <w:start w:val="1"/>
      <w:numFmt w:val="bullet"/>
      <w:lvlText w:val="•"/>
      <w:lvlJc w:val="left"/>
      <w:pPr>
        <w:tabs>
          <w:tab w:val="num" w:pos="2880"/>
        </w:tabs>
        <w:ind w:left="2880" w:hanging="360"/>
      </w:pPr>
      <w:rPr>
        <w:rFonts w:ascii="Arial" w:hAnsi="Arial" w:hint="default"/>
      </w:rPr>
    </w:lvl>
    <w:lvl w:ilvl="4" w:tplc="EC7853EC" w:tentative="1">
      <w:start w:val="1"/>
      <w:numFmt w:val="bullet"/>
      <w:lvlText w:val="•"/>
      <w:lvlJc w:val="left"/>
      <w:pPr>
        <w:tabs>
          <w:tab w:val="num" w:pos="3600"/>
        </w:tabs>
        <w:ind w:left="3600" w:hanging="360"/>
      </w:pPr>
      <w:rPr>
        <w:rFonts w:ascii="Arial" w:hAnsi="Arial" w:hint="default"/>
      </w:rPr>
    </w:lvl>
    <w:lvl w:ilvl="5" w:tplc="07AE165E" w:tentative="1">
      <w:start w:val="1"/>
      <w:numFmt w:val="bullet"/>
      <w:lvlText w:val="•"/>
      <w:lvlJc w:val="left"/>
      <w:pPr>
        <w:tabs>
          <w:tab w:val="num" w:pos="4320"/>
        </w:tabs>
        <w:ind w:left="4320" w:hanging="360"/>
      </w:pPr>
      <w:rPr>
        <w:rFonts w:ascii="Arial" w:hAnsi="Arial" w:hint="default"/>
      </w:rPr>
    </w:lvl>
    <w:lvl w:ilvl="6" w:tplc="82C8C2F2" w:tentative="1">
      <w:start w:val="1"/>
      <w:numFmt w:val="bullet"/>
      <w:lvlText w:val="•"/>
      <w:lvlJc w:val="left"/>
      <w:pPr>
        <w:tabs>
          <w:tab w:val="num" w:pos="5040"/>
        </w:tabs>
        <w:ind w:left="5040" w:hanging="360"/>
      </w:pPr>
      <w:rPr>
        <w:rFonts w:ascii="Arial" w:hAnsi="Arial" w:hint="default"/>
      </w:rPr>
    </w:lvl>
    <w:lvl w:ilvl="7" w:tplc="698805B8" w:tentative="1">
      <w:start w:val="1"/>
      <w:numFmt w:val="bullet"/>
      <w:lvlText w:val="•"/>
      <w:lvlJc w:val="left"/>
      <w:pPr>
        <w:tabs>
          <w:tab w:val="num" w:pos="5760"/>
        </w:tabs>
        <w:ind w:left="5760" w:hanging="360"/>
      </w:pPr>
      <w:rPr>
        <w:rFonts w:ascii="Arial" w:hAnsi="Arial" w:hint="default"/>
      </w:rPr>
    </w:lvl>
    <w:lvl w:ilvl="8" w:tplc="C3B452E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5"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6" w15:restartNumberingAfterBreak="0">
    <w:nsid w:val="5BE07B03"/>
    <w:multiLevelType w:val="hybridMultilevel"/>
    <w:tmpl w:val="16AE7C6A"/>
    <w:lvl w:ilvl="0" w:tplc="40FEA85A">
      <w:start w:val="9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8"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8"/>
  </w:num>
  <w:num w:numId="3">
    <w:abstractNumId w:val="17"/>
  </w:num>
  <w:num w:numId="4">
    <w:abstractNumId w:val="15"/>
  </w:num>
  <w:num w:numId="5">
    <w:abstractNumId w:val="9"/>
  </w:num>
  <w:num w:numId="6">
    <w:abstractNumId w:val="30"/>
  </w:num>
  <w:num w:numId="7">
    <w:abstractNumId w:val="16"/>
  </w:num>
  <w:num w:numId="8">
    <w:abstractNumId w:val="22"/>
  </w:num>
  <w:num w:numId="9">
    <w:abstractNumId w:val="28"/>
  </w:num>
  <w:num w:numId="10">
    <w:abstractNumId w:val="29"/>
  </w:num>
  <w:num w:numId="11">
    <w:abstractNumId w:val="32"/>
  </w:num>
  <w:num w:numId="12">
    <w:abstractNumId w:val="14"/>
  </w:num>
  <w:num w:numId="13">
    <w:abstractNumId w:val="25"/>
  </w:num>
  <w:num w:numId="14">
    <w:abstractNumId w:val="24"/>
  </w:num>
  <w:num w:numId="15">
    <w:abstractNumId w:val="20"/>
  </w:num>
  <w:num w:numId="16">
    <w:abstractNumId w:val="11"/>
  </w:num>
  <w:num w:numId="17">
    <w:abstractNumId w:val="19"/>
  </w:num>
  <w:num w:numId="18">
    <w:abstractNumId w:val="13"/>
  </w:num>
  <w:num w:numId="19">
    <w:abstractNumId w:val="10"/>
  </w:num>
  <w:num w:numId="20">
    <w:abstractNumId w:val="27"/>
  </w:num>
  <w:num w:numId="21">
    <w:abstractNumId w:val="21"/>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3"/>
  </w:num>
  <w:num w:numId="32">
    <w:abstractNumId w:val="12"/>
  </w:num>
  <w:num w:numId="33">
    <w:abstractNumId w:val="17"/>
  </w:num>
  <w:num w:numId="3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D04"/>
    <w:rsid w:val="00000DB2"/>
    <w:rsid w:val="000020F6"/>
    <w:rsid w:val="00002893"/>
    <w:rsid w:val="000033A3"/>
    <w:rsid w:val="00003594"/>
    <w:rsid w:val="00003605"/>
    <w:rsid w:val="00003C56"/>
    <w:rsid w:val="00003EC2"/>
    <w:rsid w:val="000040A9"/>
    <w:rsid w:val="0000458E"/>
    <w:rsid w:val="00004E70"/>
    <w:rsid w:val="00006373"/>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5B74"/>
    <w:rsid w:val="00035EF9"/>
    <w:rsid w:val="000374CD"/>
    <w:rsid w:val="0004023E"/>
    <w:rsid w:val="0004024B"/>
    <w:rsid w:val="00040FDE"/>
    <w:rsid w:val="00041C57"/>
    <w:rsid w:val="00042F53"/>
    <w:rsid w:val="000434B7"/>
    <w:rsid w:val="000435E4"/>
    <w:rsid w:val="00046796"/>
    <w:rsid w:val="000467FD"/>
    <w:rsid w:val="00046AAF"/>
    <w:rsid w:val="00047225"/>
    <w:rsid w:val="00047E60"/>
    <w:rsid w:val="00052AD2"/>
    <w:rsid w:val="000530DF"/>
    <w:rsid w:val="00054E0C"/>
    <w:rsid w:val="0005541D"/>
    <w:rsid w:val="000565C8"/>
    <w:rsid w:val="00057DC8"/>
    <w:rsid w:val="000612E1"/>
    <w:rsid w:val="000614FE"/>
    <w:rsid w:val="00062BE7"/>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42D3"/>
    <w:rsid w:val="00085E04"/>
    <w:rsid w:val="00086800"/>
    <w:rsid w:val="00087913"/>
    <w:rsid w:val="000902DC"/>
    <w:rsid w:val="000911AE"/>
    <w:rsid w:val="00093697"/>
    <w:rsid w:val="00093AB2"/>
    <w:rsid w:val="00093D42"/>
    <w:rsid w:val="00093DD0"/>
    <w:rsid w:val="00094909"/>
    <w:rsid w:val="00094A16"/>
    <w:rsid w:val="00094DE6"/>
    <w:rsid w:val="00095056"/>
    <w:rsid w:val="00096356"/>
    <w:rsid w:val="00097C99"/>
    <w:rsid w:val="000A0F14"/>
    <w:rsid w:val="000A1441"/>
    <w:rsid w:val="000A1A06"/>
    <w:rsid w:val="000A1B60"/>
    <w:rsid w:val="000A1DAD"/>
    <w:rsid w:val="000A21B4"/>
    <w:rsid w:val="000A2CC7"/>
    <w:rsid w:val="000A2ED6"/>
    <w:rsid w:val="000A4205"/>
    <w:rsid w:val="000A4A19"/>
    <w:rsid w:val="000A4FD0"/>
    <w:rsid w:val="000A6351"/>
    <w:rsid w:val="000A63D6"/>
    <w:rsid w:val="000A7B38"/>
    <w:rsid w:val="000B0343"/>
    <w:rsid w:val="000B2985"/>
    <w:rsid w:val="000B2C88"/>
    <w:rsid w:val="000B3342"/>
    <w:rsid w:val="000B51FA"/>
    <w:rsid w:val="000B5905"/>
    <w:rsid w:val="000B5975"/>
    <w:rsid w:val="000B6E2C"/>
    <w:rsid w:val="000B76C5"/>
    <w:rsid w:val="000B7A10"/>
    <w:rsid w:val="000B7F3B"/>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5F91"/>
    <w:rsid w:val="000D71E2"/>
    <w:rsid w:val="000D73A5"/>
    <w:rsid w:val="000E07D6"/>
    <w:rsid w:val="000E1380"/>
    <w:rsid w:val="000E18DF"/>
    <w:rsid w:val="000E59A0"/>
    <w:rsid w:val="000E7A84"/>
    <w:rsid w:val="000F04D7"/>
    <w:rsid w:val="000F1357"/>
    <w:rsid w:val="000F15BC"/>
    <w:rsid w:val="000F180A"/>
    <w:rsid w:val="000F1C92"/>
    <w:rsid w:val="000F2EEE"/>
    <w:rsid w:val="000F3697"/>
    <w:rsid w:val="000F7F58"/>
    <w:rsid w:val="00100128"/>
    <w:rsid w:val="001003E6"/>
    <w:rsid w:val="00100FF3"/>
    <w:rsid w:val="001026CA"/>
    <w:rsid w:val="001043C2"/>
    <w:rsid w:val="001043E1"/>
    <w:rsid w:val="0010505A"/>
    <w:rsid w:val="00105CC7"/>
    <w:rsid w:val="0010730A"/>
    <w:rsid w:val="00107779"/>
    <w:rsid w:val="001078C2"/>
    <w:rsid w:val="00107E1C"/>
    <w:rsid w:val="00107EFE"/>
    <w:rsid w:val="00110243"/>
    <w:rsid w:val="001112C4"/>
    <w:rsid w:val="00111444"/>
    <w:rsid w:val="00111723"/>
    <w:rsid w:val="001129B5"/>
    <w:rsid w:val="00112BE6"/>
    <w:rsid w:val="001141E3"/>
    <w:rsid w:val="001144DF"/>
    <w:rsid w:val="0011557B"/>
    <w:rsid w:val="00117C85"/>
    <w:rsid w:val="00120B13"/>
    <w:rsid w:val="00124D84"/>
    <w:rsid w:val="001250DD"/>
    <w:rsid w:val="00125733"/>
    <w:rsid w:val="001263AA"/>
    <w:rsid w:val="00130779"/>
    <w:rsid w:val="001307A1"/>
    <w:rsid w:val="001321D3"/>
    <w:rsid w:val="00133599"/>
    <w:rsid w:val="00133BF7"/>
    <w:rsid w:val="00134B88"/>
    <w:rsid w:val="00136922"/>
    <w:rsid w:val="00136A23"/>
    <w:rsid w:val="00136B99"/>
    <w:rsid w:val="001371A5"/>
    <w:rsid w:val="00137EF8"/>
    <w:rsid w:val="0014063E"/>
    <w:rsid w:val="0014087D"/>
    <w:rsid w:val="00140F74"/>
    <w:rsid w:val="00141191"/>
    <w:rsid w:val="0014159C"/>
    <w:rsid w:val="00142665"/>
    <w:rsid w:val="0014384A"/>
    <w:rsid w:val="00143DA5"/>
    <w:rsid w:val="0014450F"/>
    <w:rsid w:val="00144D8F"/>
    <w:rsid w:val="00145C74"/>
    <w:rsid w:val="00145E7B"/>
    <w:rsid w:val="001462E9"/>
    <w:rsid w:val="00146E32"/>
    <w:rsid w:val="00147025"/>
    <w:rsid w:val="00151619"/>
    <w:rsid w:val="00152835"/>
    <w:rsid w:val="001559FA"/>
    <w:rsid w:val="00155D20"/>
    <w:rsid w:val="00156374"/>
    <w:rsid w:val="001577D8"/>
    <w:rsid w:val="00157FC3"/>
    <w:rsid w:val="00160739"/>
    <w:rsid w:val="0016271E"/>
    <w:rsid w:val="00162D7A"/>
    <w:rsid w:val="00164337"/>
    <w:rsid w:val="00164DAB"/>
    <w:rsid w:val="00165BBB"/>
    <w:rsid w:val="0016613F"/>
    <w:rsid w:val="00166215"/>
    <w:rsid w:val="00166591"/>
    <w:rsid w:val="00171143"/>
    <w:rsid w:val="001726DE"/>
    <w:rsid w:val="00172864"/>
    <w:rsid w:val="00172B82"/>
    <w:rsid w:val="00172EFA"/>
    <w:rsid w:val="00173608"/>
    <w:rsid w:val="001745EC"/>
    <w:rsid w:val="001747B7"/>
    <w:rsid w:val="001751E5"/>
    <w:rsid w:val="00175C30"/>
    <w:rsid w:val="00177069"/>
    <w:rsid w:val="00177FC1"/>
    <w:rsid w:val="001815A2"/>
    <w:rsid w:val="00181FC1"/>
    <w:rsid w:val="0018218D"/>
    <w:rsid w:val="00183034"/>
    <w:rsid w:val="001830F7"/>
    <w:rsid w:val="00183EE6"/>
    <w:rsid w:val="0018423B"/>
    <w:rsid w:val="00184983"/>
    <w:rsid w:val="0018588A"/>
    <w:rsid w:val="00187252"/>
    <w:rsid w:val="00191C91"/>
    <w:rsid w:val="00192DD9"/>
    <w:rsid w:val="00192E61"/>
    <w:rsid w:val="00194339"/>
    <w:rsid w:val="00194848"/>
    <w:rsid w:val="001958EA"/>
    <w:rsid w:val="00195E0E"/>
    <w:rsid w:val="00196A57"/>
    <w:rsid w:val="001A180D"/>
    <w:rsid w:val="001A1BAC"/>
    <w:rsid w:val="001A23CE"/>
    <w:rsid w:val="001A2C89"/>
    <w:rsid w:val="001A673E"/>
    <w:rsid w:val="001A7763"/>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D7B1C"/>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6233"/>
    <w:rsid w:val="001F7121"/>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2057A"/>
    <w:rsid w:val="00220894"/>
    <w:rsid w:val="00224952"/>
    <w:rsid w:val="00224DD2"/>
    <w:rsid w:val="00225A6A"/>
    <w:rsid w:val="00225AC7"/>
    <w:rsid w:val="00225ACC"/>
    <w:rsid w:val="0023045F"/>
    <w:rsid w:val="00231C25"/>
    <w:rsid w:val="00231C6F"/>
    <w:rsid w:val="00232A90"/>
    <w:rsid w:val="00234151"/>
    <w:rsid w:val="00234F8C"/>
    <w:rsid w:val="00235542"/>
    <w:rsid w:val="002369B0"/>
    <w:rsid w:val="00236AD8"/>
    <w:rsid w:val="002401F5"/>
    <w:rsid w:val="00240E54"/>
    <w:rsid w:val="002451C5"/>
    <w:rsid w:val="00245F1F"/>
    <w:rsid w:val="0024663B"/>
    <w:rsid w:val="00247103"/>
    <w:rsid w:val="00247562"/>
    <w:rsid w:val="00250067"/>
    <w:rsid w:val="002516DE"/>
    <w:rsid w:val="00251F81"/>
    <w:rsid w:val="00252BE0"/>
    <w:rsid w:val="00253588"/>
    <w:rsid w:val="002546F4"/>
    <w:rsid w:val="002551D0"/>
    <w:rsid w:val="00255374"/>
    <w:rsid w:val="00256D70"/>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67C6F"/>
    <w:rsid w:val="00270728"/>
    <w:rsid w:val="00270D42"/>
    <w:rsid w:val="0027195D"/>
    <w:rsid w:val="00272B03"/>
    <w:rsid w:val="002733E2"/>
    <w:rsid w:val="002750B1"/>
    <w:rsid w:val="00276A35"/>
    <w:rsid w:val="00277835"/>
    <w:rsid w:val="00280AB1"/>
    <w:rsid w:val="00284BAE"/>
    <w:rsid w:val="002859AF"/>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439"/>
    <w:rsid w:val="002D0E2D"/>
    <w:rsid w:val="002D11B7"/>
    <w:rsid w:val="002D3BBC"/>
    <w:rsid w:val="002D438A"/>
    <w:rsid w:val="002D5738"/>
    <w:rsid w:val="002D5CD4"/>
    <w:rsid w:val="002D5E53"/>
    <w:rsid w:val="002E0251"/>
    <w:rsid w:val="002E0319"/>
    <w:rsid w:val="002E179B"/>
    <w:rsid w:val="002E1C9E"/>
    <w:rsid w:val="002E1FE5"/>
    <w:rsid w:val="002E257B"/>
    <w:rsid w:val="002E3672"/>
    <w:rsid w:val="002E3C65"/>
    <w:rsid w:val="002E3F5B"/>
    <w:rsid w:val="002E4362"/>
    <w:rsid w:val="002E63D9"/>
    <w:rsid w:val="002E640E"/>
    <w:rsid w:val="002F0C28"/>
    <w:rsid w:val="002F1538"/>
    <w:rsid w:val="002F38C0"/>
    <w:rsid w:val="002F3CDE"/>
    <w:rsid w:val="002F5DD6"/>
    <w:rsid w:val="002F5FEA"/>
    <w:rsid w:val="002F63E7"/>
    <w:rsid w:val="002F7BE3"/>
    <w:rsid w:val="002F7E6A"/>
    <w:rsid w:val="00300165"/>
    <w:rsid w:val="003010CF"/>
    <w:rsid w:val="00303440"/>
    <w:rsid w:val="00304D9B"/>
    <w:rsid w:val="00305FF9"/>
    <w:rsid w:val="00306E6B"/>
    <w:rsid w:val="003100C8"/>
    <w:rsid w:val="00311161"/>
    <w:rsid w:val="00312400"/>
    <w:rsid w:val="00312739"/>
    <w:rsid w:val="00312D10"/>
    <w:rsid w:val="00315F40"/>
    <w:rsid w:val="003178DA"/>
    <w:rsid w:val="00317DB8"/>
    <w:rsid w:val="00320618"/>
    <w:rsid w:val="0032100B"/>
    <w:rsid w:val="00321BD7"/>
    <w:rsid w:val="0032260F"/>
    <w:rsid w:val="003228DA"/>
    <w:rsid w:val="00322C89"/>
    <w:rsid w:val="00323D6B"/>
    <w:rsid w:val="00326957"/>
    <w:rsid w:val="00326AE2"/>
    <w:rsid w:val="00331426"/>
    <w:rsid w:val="0033171D"/>
    <w:rsid w:val="00331FC3"/>
    <w:rsid w:val="003336B3"/>
    <w:rsid w:val="00335B75"/>
    <w:rsid w:val="00335D8C"/>
    <w:rsid w:val="00336072"/>
    <w:rsid w:val="003363A1"/>
    <w:rsid w:val="003411FD"/>
    <w:rsid w:val="0034226D"/>
    <w:rsid w:val="00342972"/>
    <w:rsid w:val="00342FDD"/>
    <w:rsid w:val="0034429B"/>
    <w:rsid w:val="00344866"/>
    <w:rsid w:val="00344CD4"/>
    <w:rsid w:val="0034638C"/>
    <w:rsid w:val="00346F7F"/>
    <w:rsid w:val="00350108"/>
    <w:rsid w:val="00350762"/>
    <w:rsid w:val="003507C4"/>
    <w:rsid w:val="003519A1"/>
    <w:rsid w:val="00352480"/>
    <w:rsid w:val="003530D2"/>
    <w:rsid w:val="0035331A"/>
    <w:rsid w:val="003534E1"/>
    <w:rsid w:val="003548D8"/>
    <w:rsid w:val="003554CA"/>
    <w:rsid w:val="00360232"/>
    <w:rsid w:val="003602E0"/>
    <w:rsid w:val="00360AF9"/>
    <w:rsid w:val="00360D01"/>
    <w:rsid w:val="00362569"/>
    <w:rsid w:val="003636CD"/>
    <w:rsid w:val="0036487C"/>
    <w:rsid w:val="00365411"/>
    <w:rsid w:val="00365FA2"/>
    <w:rsid w:val="00366C69"/>
    <w:rsid w:val="00367441"/>
    <w:rsid w:val="00367B1D"/>
    <w:rsid w:val="00370E4F"/>
    <w:rsid w:val="00371215"/>
    <w:rsid w:val="00372ACA"/>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7834"/>
    <w:rsid w:val="003B08D9"/>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E07AE"/>
    <w:rsid w:val="003E14FC"/>
    <w:rsid w:val="003E28BB"/>
    <w:rsid w:val="003E2976"/>
    <w:rsid w:val="003E3CC3"/>
    <w:rsid w:val="003E3FF9"/>
    <w:rsid w:val="003E4858"/>
    <w:rsid w:val="003E6316"/>
    <w:rsid w:val="003E6884"/>
    <w:rsid w:val="003E6AC5"/>
    <w:rsid w:val="003F0096"/>
    <w:rsid w:val="003F0850"/>
    <w:rsid w:val="003F0D12"/>
    <w:rsid w:val="003F160C"/>
    <w:rsid w:val="003F324F"/>
    <w:rsid w:val="003F33BC"/>
    <w:rsid w:val="003F3D4E"/>
    <w:rsid w:val="003F477E"/>
    <w:rsid w:val="003F6CD2"/>
    <w:rsid w:val="003F788D"/>
    <w:rsid w:val="004001DC"/>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275B3"/>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2594"/>
    <w:rsid w:val="004440C4"/>
    <w:rsid w:val="004455B0"/>
    <w:rsid w:val="004461D9"/>
    <w:rsid w:val="004465C3"/>
    <w:rsid w:val="00446AC6"/>
    <w:rsid w:val="0044759B"/>
    <w:rsid w:val="00447F54"/>
    <w:rsid w:val="00450B7E"/>
    <w:rsid w:val="0045136B"/>
    <w:rsid w:val="00451C7E"/>
    <w:rsid w:val="0045221F"/>
    <w:rsid w:val="00453BB6"/>
    <w:rsid w:val="00453CAA"/>
    <w:rsid w:val="00455113"/>
    <w:rsid w:val="00456421"/>
    <w:rsid w:val="00456DAB"/>
    <w:rsid w:val="00460CC3"/>
    <w:rsid w:val="00460E86"/>
    <w:rsid w:val="00460EC8"/>
    <w:rsid w:val="004646B4"/>
    <w:rsid w:val="00464A88"/>
    <w:rsid w:val="004651A0"/>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179"/>
    <w:rsid w:val="00483A12"/>
    <w:rsid w:val="004843E7"/>
    <w:rsid w:val="00484A77"/>
    <w:rsid w:val="0048540F"/>
    <w:rsid w:val="00485970"/>
    <w:rsid w:val="00485C0D"/>
    <w:rsid w:val="00486575"/>
    <w:rsid w:val="004866D0"/>
    <w:rsid w:val="00486936"/>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2C3C"/>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6F4D"/>
    <w:rsid w:val="004D6F95"/>
    <w:rsid w:val="004D72FE"/>
    <w:rsid w:val="004D7E91"/>
    <w:rsid w:val="004E003A"/>
    <w:rsid w:val="004E0768"/>
    <w:rsid w:val="004E1A31"/>
    <w:rsid w:val="004E2DE0"/>
    <w:rsid w:val="004E4060"/>
    <w:rsid w:val="004E409A"/>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1F15"/>
    <w:rsid w:val="0051318C"/>
    <w:rsid w:val="005142CD"/>
    <w:rsid w:val="005143C9"/>
    <w:rsid w:val="00514E17"/>
    <w:rsid w:val="005157A9"/>
    <w:rsid w:val="005173A7"/>
    <w:rsid w:val="005177E1"/>
    <w:rsid w:val="00520C0A"/>
    <w:rsid w:val="005218B6"/>
    <w:rsid w:val="00522589"/>
    <w:rsid w:val="00524545"/>
    <w:rsid w:val="005255BF"/>
    <w:rsid w:val="005257DE"/>
    <w:rsid w:val="00527200"/>
    <w:rsid w:val="00530157"/>
    <w:rsid w:val="0053161F"/>
    <w:rsid w:val="00531EBE"/>
    <w:rsid w:val="00532F8B"/>
    <w:rsid w:val="00533737"/>
    <w:rsid w:val="00535B79"/>
    <w:rsid w:val="00535D7C"/>
    <w:rsid w:val="00536579"/>
    <w:rsid w:val="00536C1E"/>
    <w:rsid w:val="0054343A"/>
    <w:rsid w:val="00543974"/>
    <w:rsid w:val="00543EBF"/>
    <w:rsid w:val="00544ABA"/>
    <w:rsid w:val="0054593A"/>
    <w:rsid w:val="005467FB"/>
    <w:rsid w:val="00546ADE"/>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2B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3395"/>
    <w:rsid w:val="00584416"/>
    <w:rsid w:val="00584B39"/>
    <w:rsid w:val="00585028"/>
    <w:rsid w:val="005854D1"/>
    <w:rsid w:val="00585F5B"/>
    <w:rsid w:val="0058620A"/>
    <w:rsid w:val="005863C5"/>
    <w:rsid w:val="00587FC0"/>
    <w:rsid w:val="00590114"/>
    <w:rsid w:val="005906AD"/>
    <w:rsid w:val="00590DA6"/>
    <w:rsid w:val="00591C7D"/>
    <w:rsid w:val="00592B03"/>
    <w:rsid w:val="00593AB9"/>
    <w:rsid w:val="00594ABB"/>
    <w:rsid w:val="00594D1C"/>
    <w:rsid w:val="00594E36"/>
    <w:rsid w:val="00594F0A"/>
    <w:rsid w:val="0059525E"/>
    <w:rsid w:val="00595887"/>
    <w:rsid w:val="005961F7"/>
    <w:rsid w:val="00596B9C"/>
    <w:rsid w:val="005A0066"/>
    <w:rsid w:val="005A054D"/>
    <w:rsid w:val="005A0A46"/>
    <w:rsid w:val="005A10B9"/>
    <w:rsid w:val="005A11EA"/>
    <w:rsid w:val="005A269F"/>
    <w:rsid w:val="005A305E"/>
    <w:rsid w:val="005A30BB"/>
    <w:rsid w:val="005A3887"/>
    <w:rsid w:val="005A4C88"/>
    <w:rsid w:val="005B0542"/>
    <w:rsid w:val="005B16BA"/>
    <w:rsid w:val="005B2225"/>
    <w:rsid w:val="005B2799"/>
    <w:rsid w:val="005B2812"/>
    <w:rsid w:val="005B2B77"/>
    <w:rsid w:val="005B3D4A"/>
    <w:rsid w:val="005B4D87"/>
    <w:rsid w:val="005B7DD1"/>
    <w:rsid w:val="005C00A0"/>
    <w:rsid w:val="005C28FA"/>
    <w:rsid w:val="005C40F4"/>
    <w:rsid w:val="005C43BE"/>
    <w:rsid w:val="005C44F3"/>
    <w:rsid w:val="005C5B87"/>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045E"/>
    <w:rsid w:val="005E234A"/>
    <w:rsid w:val="005E35CC"/>
    <w:rsid w:val="005E371E"/>
    <w:rsid w:val="005E53F9"/>
    <w:rsid w:val="005E775D"/>
    <w:rsid w:val="005F0A43"/>
    <w:rsid w:val="005F107B"/>
    <w:rsid w:val="005F27BF"/>
    <w:rsid w:val="005F33C8"/>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3E9C"/>
    <w:rsid w:val="006142E0"/>
    <w:rsid w:val="00614990"/>
    <w:rsid w:val="00616112"/>
    <w:rsid w:val="006205CA"/>
    <w:rsid w:val="00621F53"/>
    <w:rsid w:val="00622E2A"/>
    <w:rsid w:val="00623089"/>
    <w:rsid w:val="0062308E"/>
    <w:rsid w:val="006234C4"/>
    <w:rsid w:val="006244C9"/>
    <w:rsid w:val="006245F6"/>
    <w:rsid w:val="0062475D"/>
    <w:rsid w:val="0062495F"/>
    <w:rsid w:val="0062660B"/>
    <w:rsid w:val="00626AD1"/>
    <w:rsid w:val="00627C95"/>
    <w:rsid w:val="006304BC"/>
    <w:rsid w:val="00630DCE"/>
    <w:rsid w:val="0063120A"/>
    <w:rsid w:val="0063150B"/>
    <w:rsid w:val="00631585"/>
    <w:rsid w:val="00634ACF"/>
    <w:rsid w:val="00635035"/>
    <w:rsid w:val="0063580D"/>
    <w:rsid w:val="00635CAE"/>
    <w:rsid w:val="00637240"/>
    <w:rsid w:val="00637526"/>
    <w:rsid w:val="00643660"/>
    <w:rsid w:val="006466DD"/>
    <w:rsid w:val="00650139"/>
    <w:rsid w:val="00652756"/>
    <w:rsid w:val="00652AD8"/>
    <w:rsid w:val="00652B79"/>
    <w:rsid w:val="0065313E"/>
    <w:rsid w:val="006533C3"/>
    <w:rsid w:val="00654068"/>
    <w:rsid w:val="00654B38"/>
    <w:rsid w:val="00654B83"/>
    <w:rsid w:val="00655061"/>
    <w:rsid w:val="0065510C"/>
    <w:rsid w:val="00655B63"/>
    <w:rsid w:val="006571F6"/>
    <w:rsid w:val="00660CF2"/>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6DE3"/>
    <w:rsid w:val="00677443"/>
    <w:rsid w:val="0067769A"/>
    <w:rsid w:val="00680329"/>
    <w:rsid w:val="006806A3"/>
    <w:rsid w:val="006806A6"/>
    <w:rsid w:val="00681211"/>
    <w:rsid w:val="00681B36"/>
    <w:rsid w:val="00682E14"/>
    <w:rsid w:val="0068436C"/>
    <w:rsid w:val="0068545E"/>
    <w:rsid w:val="00685FD4"/>
    <w:rsid w:val="00686612"/>
    <w:rsid w:val="0068661E"/>
    <w:rsid w:val="00690A49"/>
    <w:rsid w:val="00690BB6"/>
    <w:rsid w:val="00691B30"/>
    <w:rsid w:val="00693D5C"/>
    <w:rsid w:val="00693E1F"/>
    <w:rsid w:val="00693ECB"/>
    <w:rsid w:val="00694797"/>
    <w:rsid w:val="00695887"/>
    <w:rsid w:val="00696368"/>
    <w:rsid w:val="00697072"/>
    <w:rsid w:val="00697733"/>
    <w:rsid w:val="006A254E"/>
    <w:rsid w:val="006A2C30"/>
    <w:rsid w:val="006A301C"/>
    <w:rsid w:val="006A3E2B"/>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3C7A"/>
    <w:rsid w:val="006F52E5"/>
    <w:rsid w:val="006F5BDA"/>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C0B"/>
    <w:rsid w:val="00722F94"/>
    <w:rsid w:val="00723AA7"/>
    <w:rsid w:val="0072432E"/>
    <w:rsid w:val="00726036"/>
    <w:rsid w:val="00726279"/>
    <w:rsid w:val="00726A9B"/>
    <w:rsid w:val="00727530"/>
    <w:rsid w:val="00731E7C"/>
    <w:rsid w:val="007329EF"/>
    <w:rsid w:val="0073327A"/>
    <w:rsid w:val="00734EBE"/>
    <w:rsid w:val="00736DD8"/>
    <w:rsid w:val="00736E3F"/>
    <w:rsid w:val="0074076A"/>
    <w:rsid w:val="00740CCD"/>
    <w:rsid w:val="00741AF4"/>
    <w:rsid w:val="00741DCC"/>
    <w:rsid w:val="0074203A"/>
    <w:rsid w:val="007427B5"/>
    <w:rsid w:val="00742865"/>
    <w:rsid w:val="0074296C"/>
    <w:rsid w:val="00742C83"/>
    <w:rsid w:val="0074360F"/>
    <w:rsid w:val="00744A64"/>
    <w:rsid w:val="00744D47"/>
    <w:rsid w:val="00744EA0"/>
    <w:rsid w:val="00745A0E"/>
    <w:rsid w:val="00745DD5"/>
    <w:rsid w:val="0074638D"/>
    <w:rsid w:val="00746484"/>
    <w:rsid w:val="0074704F"/>
    <w:rsid w:val="00747F48"/>
    <w:rsid w:val="00747F4C"/>
    <w:rsid w:val="00751091"/>
    <w:rsid w:val="00751B83"/>
    <w:rsid w:val="00754359"/>
    <w:rsid w:val="00754411"/>
    <w:rsid w:val="00754BD9"/>
    <w:rsid w:val="00754E7A"/>
    <w:rsid w:val="0075540C"/>
    <w:rsid w:val="00755DB1"/>
    <w:rsid w:val="0075678A"/>
    <w:rsid w:val="007574FC"/>
    <w:rsid w:val="00760975"/>
    <w:rsid w:val="00761FDA"/>
    <w:rsid w:val="007621FF"/>
    <w:rsid w:val="007634E3"/>
    <w:rsid w:val="00763E8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6AA"/>
    <w:rsid w:val="00777BA0"/>
    <w:rsid w:val="007803BD"/>
    <w:rsid w:val="007811DC"/>
    <w:rsid w:val="007820FA"/>
    <w:rsid w:val="0078285F"/>
    <w:rsid w:val="00783207"/>
    <w:rsid w:val="00783E1D"/>
    <w:rsid w:val="0078483B"/>
    <w:rsid w:val="00784EED"/>
    <w:rsid w:val="00785900"/>
    <w:rsid w:val="00786958"/>
    <w:rsid w:val="00786E71"/>
    <w:rsid w:val="0079162F"/>
    <w:rsid w:val="00793CDB"/>
    <w:rsid w:val="00794924"/>
    <w:rsid w:val="007A0BC2"/>
    <w:rsid w:val="007A1F44"/>
    <w:rsid w:val="007A23FF"/>
    <w:rsid w:val="007A295B"/>
    <w:rsid w:val="007A3424"/>
    <w:rsid w:val="007A35EF"/>
    <w:rsid w:val="007A43A2"/>
    <w:rsid w:val="007A4D04"/>
    <w:rsid w:val="007A7A96"/>
    <w:rsid w:val="007B03AF"/>
    <w:rsid w:val="007B1543"/>
    <w:rsid w:val="007B1AC0"/>
    <w:rsid w:val="007B1CBA"/>
    <w:rsid w:val="007B270A"/>
    <w:rsid w:val="007B2D3B"/>
    <w:rsid w:val="007B52CD"/>
    <w:rsid w:val="007B7DC1"/>
    <w:rsid w:val="007B7EDB"/>
    <w:rsid w:val="007C19AD"/>
    <w:rsid w:val="007C3598"/>
    <w:rsid w:val="007C3FA8"/>
    <w:rsid w:val="007C68DA"/>
    <w:rsid w:val="007C6F32"/>
    <w:rsid w:val="007D229A"/>
    <w:rsid w:val="007D2D64"/>
    <w:rsid w:val="007D2F44"/>
    <w:rsid w:val="007D2F4D"/>
    <w:rsid w:val="007D4178"/>
    <w:rsid w:val="007D4D33"/>
    <w:rsid w:val="007D7175"/>
    <w:rsid w:val="007E1369"/>
    <w:rsid w:val="007E1A1B"/>
    <w:rsid w:val="007E1A88"/>
    <w:rsid w:val="007E4C88"/>
    <w:rsid w:val="007E585E"/>
    <w:rsid w:val="007E7954"/>
    <w:rsid w:val="007E7DDF"/>
    <w:rsid w:val="007F11C8"/>
    <w:rsid w:val="007F1CFB"/>
    <w:rsid w:val="007F220B"/>
    <w:rsid w:val="007F27DD"/>
    <w:rsid w:val="007F6880"/>
    <w:rsid w:val="007F76B4"/>
    <w:rsid w:val="008001B4"/>
    <w:rsid w:val="00800769"/>
    <w:rsid w:val="00800ED2"/>
    <w:rsid w:val="00801094"/>
    <w:rsid w:val="00802E74"/>
    <w:rsid w:val="00804B92"/>
    <w:rsid w:val="00804E21"/>
    <w:rsid w:val="00805092"/>
    <w:rsid w:val="00806AAF"/>
    <w:rsid w:val="008070AC"/>
    <w:rsid w:val="008101FD"/>
    <w:rsid w:val="00810D8D"/>
    <w:rsid w:val="00811835"/>
    <w:rsid w:val="0081581D"/>
    <w:rsid w:val="008172BE"/>
    <w:rsid w:val="00817B71"/>
    <w:rsid w:val="00820244"/>
    <w:rsid w:val="00820A03"/>
    <w:rsid w:val="008221B3"/>
    <w:rsid w:val="0082248E"/>
    <w:rsid w:val="00824FDF"/>
    <w:rsid w:val="00825125"/>
    <w:rsid w:val="008257CC"/>
    <w:rsid w:val="008274BF"/>
    <w:rsid w:val="00830DC3"/>
    <w:rsid w:val="00831555"/>
    <w:rsid w:val="00831F52"/>
    <w:rsid w:val="00832154"/>
    <w:rsid w:val="00832F5C"/>
    <w:rsid w:val="008359E0"/>
    <w:rsid w:val="00835A57"/>
    <w:rsid w:val="008376F6"/>
    <w:rsid w:val="00837D5B"/>
    <w:rsid w:val="00840607"/>
    <w:rsid w:val="00841CD2"/>
    <w:rsid w:val="008422FE"/>
    <w:rsid w:val="00842B77"/>
    <w:rsid w:val="0084309F"/>
    <w:rsid w:val="00845C12"/>
    <w:rsid w:val="008469D9"/>
    <w:rsid w:val="00846DC0"/>
    <w:rsid w:val="008474A7"/>
    <w:rsid w:val="008506B6"/>
    <w:rsid w:val="00850AE0"/>
    <w:rsid w:val="00851B3E"/>
    <w:rsid w:val="008524D2"/>
    <w:rsid w:val="00852E19"/>
    <w:rsid w:val="00853409"/>
    <w:rsid w:val="00856833"/>
    <w:rsid w:val="00856840"/>
    <w:rsid w:val="0086087C"/>
    <w:rsid w:val="00860D8E"/>
    <w:rsid w:val="008625F1"/>
    <w:rsid w:val="0086275E"/>
    <w:rsid w:val="00863C5C"/>
    <w:rsid w:val="00864440"/>
    <w:rsid w:val="00864D76"/>
    <w:rsid w:val="008650FC"/>
    <w:rsid w:val="00866EB3"/>
    <w:rsid w:val="0086701A"/>
    <w:rsid w:val="00867BD2"/>
    <w:rsid w:val="008712FD"/>
    <w:rsid w:val="008716A1"/>
    <w:rsid w:val="00872D3F"/>
    <w:rsid w:val="008733E4"/>
    <w:rsid w:val="00873F15"/>
    <w:rsid w:val="00874096"/>
    <w:rsid w:val="00874F29"/>
    <w:rsid w:val="008756A4"/>
    <w:rsid w:val="00875F73"/>
    <w:rsid w:val="00880F30"/>
    <w:rsid w:val="00881A4C"/>
    <w:rsid w:val="00882911"/>
    <w:rsid w:val="008833E8"/>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3E7E"/>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4700"/>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179E5"/>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375E0"/>
    <w:rsid w:val="00942C80"/>
    <w:rsid w:val="00943197"/>
    <w:rsid w:val="009435F2"/>
    <w:rsid w:val="00945180"/>
    <w:rsid w:val="0094590C"/>
    <w:rsid w:val="00946355"/>
    <w:rsid w:val="009468B7"/>
    <w:rsid w:val="0094724E"/>
    <w:rsid w:val="00947973"/>
    <w:rsid w:val="00947BE6"/>
    <w:rsid w:val="0095048D"/>
    <w:rsid w:val="00951ADB"/>
    <w:rsid w:val="0095380C"/>
    <w:rsid w:val="0095426F"/>
    <w:rsid w:val="00954353"/>
    <w:rsid w:val="00955C0A"/>
    <w:rsid w:val="00955C4F"/>
    <w:rsid w:val="009657F1"/>
    <w:rsid w:val="0096625D"/>
    <w:rsid w:val="009700A7"/>
    <w:rsid w:val="009709F8"/>
    <w:rsid w:val="00972929"/>
    <w:rsid w:val="00972F91"/>
    <w:rsid w:val="00973827"/>
    <w:rsid w:val="009742D3"/>
    <w:rsid w:val="00974C8C"/>
    <w:rsid w:val="00977BA7"/>
    <w:rsid w:val="00980517"/>
    <w:rsid w:val="00980D59"/>
    <w:rsid w:val="0098194F"/>
    <w:rsid w:val="009826C8"/>
    <w:rsid w:val="009836E4"/>
    <w:rsid w:val="0098412F"/>
    <w:rsid w:val="00985C0B"/>
    <w:rsid w:val="00985F28"/>
    <w:rsid w:val="00986149"/>
    <w:rsid w:val="00986176"/>
    <w:rsid w:val="00986E7F"/>
    <w:rsid w:val="00987536"/>
    <w:rsid w:val="009900AB"/>
    <w:rsid w:val="00990BD5"/>
    <w:rsid w:val="0099196F"/>
    <w:rsid w:val="009921E8"/>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1865"/>
    <w:rsid w:val="009A2DF9"/>
    <w:rsid w:val="009A2EBB"/>
    <w:rsid w:val="009A3A86"/>
    <w:rsid w:val="009A4869"/>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729"/>
    <w:rsid w:val="009D0F66"/>
    <w:rsid w:val="009D1A06"/>
    <w:rsid w:val="009D1BA4"/>
    <w:rsid w:val="009D22E4"/>
    <w:rsid w:val="009D22F7"/>
    <w:rsid w:val="009D319C"/>
    <w:rsid w:val="009D5BAB"/>
    <w:rsid w:val="009D66E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4202"/>
    <w:rsid w:val="009F521F"/>
    <w:rsid w:val="009F553C"/>
    <w:rsid w:val="009F59F8"/>
    <w:rsid w:val="009F7458"/>
    <w:rsid w:val="00A005B0"/>
    <w:rsid w:val="00A01F17"/>
    <w:rsid w:val="00A022A5"/>
    <w:rsid w:val="00A03A22"/>
    <w:rsid w:val="00A04634"/>
    <w:rsid w:val="00A06119"/>
    <w:rsid w:val="00A07A48"/>
    <w:rsid w:val="00A108EE"/>
    <w:rsid w:val="00A10BB8"/>
    <w:rsid w:val="00A1200D"/>
    <w:rsid w:val="00A137E4"/>
    <w:rsid w:val="00A14813"/>
    <w:rsid w:val="00A1566A"/>
    <w:rsid w:val="00A165BF"/>
    <w:rsid w:val="00A172E8"/>
    <w:rsid w:val="00A179FF"/>
    <w:rsid w:val="00A21A36"/>
    <w:rsid w:val="00A2231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36A37"/>
    <w:rsid w:val="00A4376F"/>
    <w:rsid w:val="00A44CFB"/>
    <w:rsid w:val="00A4549F"/>
    <w:rsid w:val="00A45B9B"/>
    <w:rsid w:val="00A462FE"/>
    <w:rsid w:val="00A501C9"/>
    <w:rsid w:val="00A50506"/>
    <w:rsid w:val="00A53F55"/>
    <w:rsid w:val="00A5417B"/>
    <w:rsid w:val="00A54599"/>
    <w:rsid w:val="00A54B82"/>
    <w:rsid w:val="00A55ED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451"/>
    <w:rsid w:val="00A67544"/>
    <w:rsid w:val="00A7075B"/>
    <w:rsid w:val="00A71BD5"/>
    <w:rsid w:val="00A71CE6"/>
    <w:rsid w:val="00A71D23"/>
    <w:rsid w:val="00A7333A"/>
    <w:rsid w:val="00A73D0D"/>
    <w:rsid w:val="00A74A92"/>
    <w:rsid w:val="00A75CC1"/>
    <w:rsid w:val="00A75E88"/>
    <w:rsid w:val="00A8056E"/>
    <w:rsid w:val="00A8094B"/>
    <w:rsid w:val="00A80B46"/>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7D7"/>
    <w:rsid w:val="00AB4BF4"/>
    <w:rsid w:val="00AB5ADF"/>
    <w:rsid w:val="00AB5E57"/>
    <w:rsid w:val="00AB725F"/>
    <w:rsid w:val="00AC0705"/>
    <w:rsid w:val="00AC109B"/>
    <w:rsid w:val="00AC74DA"/>
    <w:rsid w:val="00AC7A2B"/>
    <w:rsid w:val="00AC7C25"/>
    <w:rsid w:val="00AD0A51"/>
    <w:rsid w:val="00AD0B37"/>
    <w:rsid w:val="00AD11F7"/>
    <w:rsid w:val="00AD1DB7"/>
    <w:rsid w:val="00AD2419"/>
    <w:rsid w:val="00AD2852"/>
    <w:rsid w:val="00AD3976"/>
    <w:rsid w:val="00AD3AA5"/>
    <w:rsid w:val="00AD4D2A"/>
    <w:rsid w:val="00AD4F05"/>
    <w:rsid w:val="00AD542F"/>
    <w:rsid w:val="00AD7305"/>
    <w:rsid w:val="00AD7E64"/>
    <w:rsid w:val="00AE0C56"/>
    <w:rsid w:val="00AE149E"/>
    <w:rsid w:val="00AE22F2"/>
    <w:rsid w:val="00AE29FC"/>
    <w:rsid w:val="00AE2F3F"/>
    <w:rsid w:val="00AE3B4E"/>
    <w:rsid w:val="00AE59EC"/>
    <w:rsid w:val="00AE6563"/>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05C01"/>
    <w:rsid w:val="00B10558"/>
    <w:rsid w:val="00B1417F"/>
    <w:rsid w:val="00B156A9"/>
    <w:rsid w:val="00B15F83"/>
    <w:rsid w:val="00B160FF"/>
    <w:rsid w:val="00B16322"/>
    <w:rsid w:val="00B1662E"/>
    <w:rsid w:val="00B16A6F"/>
    <w:rsid w:val="00B20AED"/>
    <w:rsid w:val="00B22C0D"/>
    <w:rsid w:val="00B23AF4"/>
    <w:rsid w:val="00B23C15"/>
    <w:rsid w:val="00B25762"/>
    <w:rsid w:val="00B25B40"/>
    <w:rsid w:val="00B25FDE"/>
    <w:rsid w:val="00B26AB0"/>
    <w:rsid w:val="00B26AD2"/>
    <w:rsid w:val="00B26CA2"/>
    <w:rsid w:val="00B30B4E"/>
    <w:rsid w:val="00B31246"/>
    <w:rsid w:val="00B32390"/>
    <w:rsid w:val="00B326FF"/>
    <w:rsid w:val="00B33962"/>
    <w:rsid w:val="00B340AA"/>
    <w:rsid w:val="00B34A9F"/>
    <w:rsid w:val="00B34B80"/>
    <w:rsid w:val="00B3584A"/>
    <w:rsid w:val="00B35CDA"/>
    <w:rsid w:val="00B37D97"/>
    <w:rsid w:val="00B411BD"/>
    <w:rsid w:val="00B41559"/>
    <w:rsid w:val="00B418E8"/>
    <w:rsid w:val="00B42285"/>
    <w:rsid w:val="00B4274B"/>
    <w:rsid w:val="00B435B1"/>
    <w:rsid w:val="00B4367F"/>
    <w:rsid w:val="00B438BA"/>
    <w:rsid w:val="00B44F99"/>
    <w:rsid w:val="00B45876"/>
    <w:rsid w:val="00B45A11"/>
    <w:rsid w:val="00B51542"/>
    <w:rsid w:val="00B51D1D"/>
    <w:rsid w:val="00B5310E"/>
    <w:rsid w:val="00B54ACC"/>
    <w:rsid w:val="00B54DCB"/>
    <w:rsid w:val="00B55AC2"/>
    <w:rsid w:val="00B560C9"/>
    <w:rsid w:val="00B56533"/>
    <w:rsid w:val="00B56CFC"/>
    <w:rsid w:val="00B57777"/>
    <w:rsid w:val="00B57A17"/>
    <w:rsid w:val="00B6030A"/>
    <w:rsid w:val="00B6163E"/>
    <w:rsid w:val="00B61BE2"/>
    <w:rsid w:val="00B6266F"/>
    <w:rsid w:val="00B62E0B"/>
    <w:rsid w:val="00B63C32"/>
    <w:rsid w:val="00B64434"/>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0B3C"/>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CEA"/>
    <w:rsid w:val="00BE2F39"/>
    <w:rsid w:val="00BE332D"/>
    <w:rsid w:val="00BE3CF1"/>
    <w:rsid w:val="00BE4B20"/>
    <w:rsid w:val="00BE5FC4"/>
    <w:rsid w:val="00BE7C4D"/>
    <w:rsid w:val="00BE7F6A"/>
    <w:rsid w:val="00BF0274"/>
    <w:rsid w:val="00BF08C4"/>
    <w:rsid w:val="00BF0BAF"/>
    <w:rsid w:val="00BF122C"/>
    <w:rsid w:val="00BF19CE"/>
    <w:rsid w:val="00BF2B6F"/>
    <w:rsid w:val="00BF351A"/>
    <w:rsid w:val="00BF3914"/>
    <w:rsid w:val="00BF49B1"/>
    <w:rsid w:val="00BF5552"/>
    <w:rsid w:val="00BF5CEC"/>
    <w:rsid w:val="00BF73F2"/>
    <w:rsid w:val="00C01671"/>
    <w:rsid w:val="00C02419"/>
    <w:rsid w:val="00C02766"/>
    <w:rsid w:val="00C033A9"/>
    <w:rsid w:val="00C03EE8"/>
    <w:rsid w:val="00C05BEC"/>
    <w:rsid w:val="00C066AA"/>
    <w:rsid w:val="00C06E7D"/>
    <w:rsid w:val="00C07453"/>
    <w:rsid w:val="00C1112B"/>
    <w:rsid w:val="00C11A88"/>
    <w:rsid w:val="00C12012"/>
    <w:rsid w:val="00C12874"/>
    <w:rsid w:val="00C12BC1"/>
    <w:rsid w:val="00C13A7D"/>
    <w:rsid w:val="00C13BDA"/>
    <w:rsid w:val="00C13FFD"/>
    <w:rsid w:val="00C14632"/>
    <w:rsid w:val="00C16C30"/>
    <w:rsid w:val="00C20A00"/>
    <w:rsid w:val="00C21673"/>
    <w:rsid w:val="00C21C7A"/>
    <w:rsid w:val="00C23130"/>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47E"/>
    <w:rsid w:val="00C41E3A"/>
    <w:rsid w:val="00C4304C"/>
    <w:rsid w:val="00C43315"/>
    <w:rsid w:val="00C44437"/>
    <w:rsid w:val="00C448AE"/>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3A7"/>
    <w:rsid w:val="00C654E0"/>
    <w:rsid w:val="00C66579"/>
    <w:rsid w:val="00C67EAB"/>
    <w:rsid w:val="00C70DFF"/>
    <w:rsid w:val="00C75A6B"/>
    <w:rsid w:val="00C763B6"/>
    <w:rsid w:val="00C7644F"/>
    <w:rsid w:val="00C768F6"/>
    <w:rsid w:val="00C80073"/>
    <w:rsid w:val="00C80DEA"/>
    <w:rsid w:val="00C825E8"/>
    <w:rsid w:val="00C832DC"/>
    <w:rsid w:val="00C8377F"/>
    <w:rsid w:val="00C8646D"/>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5B1E"/>
    <w:rsid w:val="00CB787A"/>
    <w:rsid w:val="00CC0C4A"/>
    <w:rsid w:val="00CC17F0"/>
    <w:rsid w:val="00CC1853"/>
    <w:rsid w:val="00CC1FAE"/>
    <w:rsid w:val="00CC3A23"/>
    <w:rsid w:val="00CC737C"/>
    <w:rsid w:val="00CD087D"/>
    <w:rsid w:val="00CD0F5D"/>
    <w:rsid w:val="00CD1C0B"/>
    <w:rsid w:val="00CD239A"/>
    <w:rsid w:val="00CD5512"/>
    <w:rsid w:val="00CD594F"/>
    <w:rsid w:val="00CD6E3D"/>
    <w:rsid w:val="00CD71AB"/>
    <w:rsid w:val="00CE0109"/>
    <w:rsid w:val="00CE1FC5"/>
    <w:rsid w:val="00CE3F6E"/>
    <w:rsid w:val="00CE44D1"/>
    <w:rsid w:val="00CE46E5"/>
    <w:rsid w:val="00CE485A"/>
    <w:rsid w:val="00CE4CAC"/>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3102"/>
    <w:rsid w:val="00D032C3"/>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162C"/>
    <w:rsid w:val="00D21A3C"/>
    <w:rsid w:val="00D227F9"/>
    <w:rsid w:val="00D233F1"/>
    <w:rsid w:val="00D256F8"/>
    <w:rsid w:val="00D2685C"/>
    <w:rsid w:val="00D26A3B"/>
    <w:rsid w:val="00D26E0A"/>
    <w:rsid w:val="00D2700A"/>
    <w:rsid w:val="00D302FD"/>
    <w:rsid w:val="00D3038A"/>
    <w:rsid w:val="00D3098D"/>
    <w:rsid w:val="00D31A02"/>
    <w:rsid w:val="00D3323C"/>
    <w:rsid w:val="00D33456"/>
    <w:rsid w:val="00D3396F"/>
    <w:rsid w:val="00D33D4D"/>
    <w:rsid w:val="00D34A0B"/>
    <w:rsid w:val="00D36234"/>
    <w:rsid w:val="00D36371"/>
    <w:rsid w:val="00D437D8"/>
    <w:rsid w:val="00D44257"/>
    <w:rsid w:val="00D44994"/>
    <w:rsid w:val="00D45DF3"/>
    <w:rsid w:val="00D46174"/>
    <w:rsid w:val="00D47DD0"/>
    <w:rsid w:val="00D50183"/>
    <w:rsid w:val="00D51D12"/>
    <w:rsid w:val="00D5362B"/>
    <w:rsid w:val="00D55072"/>
    <w:rsid w:val="00D5508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662"/>
    <w:rsid w:val="00D83AE9"/>
    <w:rsid w:val="00D857B8"/>
    <w:rsid w:val="00D87175"/>
    <w:rsid w:val="00D87ABF"/>
    <w:rsid w:val="00D90CD3"/>
    <w:rsid w:val="00D919E6"/>
    <w:rsid w:val="00D91BE1"/>
    <w:rsid w:val="00D92C29"/>
    <w:rsid w:val="00D936E2"/>
    <w:rsid w:val="00D95104"/>
    <w:rsid w:val="00D95600"/>
    <w:rsid w:val="00D96797"/>
    <w:rsid w:val="00D9683C"/>
    <w:rsid w:val="00D97884"/>
    <w:rsid w:val="00DA0A7F"/>
    <w:rsid w:val="00DA1B19"/>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A4C"/>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D7FE2"/>
    <w:rsid w:val="00DE0E59"/>
    <w:rsid w:val="00DE0F6C"/>
    <w:rsid w:val="00DE219B"/>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420C"/>
    <w:rsid w:val="00E0728F"/>
    <w:rsid w:val="00E0755C"/>
    <w:rsid w:val="00E13DB2"/>
    <w:rsid w:val="00E14A7E"/>
    <w:rsid w:val="00E151E1"/>
    <w:rsid w:val="00E1524F"/>
    <w:rsid w:val="00E15D55"/>
    <w:rsid w:val="00E16367"/>
    <w:rsid w:val="00E1651B"/>
    <w:rsid w:val="00E17619"/>
    <w:rsid w:val="00E17805"/>
    <w:rsid w:val="00E20F79"/>
    <w:rsid w:val="00E21278"/>
    <w:rsid w:val="00E22CCD"/>
    <w:rsid w:val="00E23A11"/>
    <w:rsid w:val="00E23FB7"/>
    <w:rsid w:val="00E24A27"/>
    <w:rsid w:val="00E25F89"/>
    <w:rsid w:val="00E31227"/>
    <w:rsid w:val="00E32C15"/>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57782"/>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820"/>
    <w:rsid w:val="00EB0CA3"/>
    <w:rsid w:val="00EB104F"/>
    <w:rsid w:val="00EB1B27"/>
    <w:rsid w:val="00EB1DA8"/>
    <w:rsid w:val="00EB4CFF"/>
    <w:rsid w:val="00EB5476"/>
    <w:rsid w:val="00EB70B0"/>
    <w:rsid w:val="00EB7633"/>
    <w:rsid w:val="00EB7736"/>
    <w:rsid w:val="00EC2E2D"/>
    <w:rsid w:val="00EC462B"/>
    <w:rsid w:val="00EC4723"/>
    <w:rsid w:val="00EC56E0"/>
    <w:rsid w:val="00EC6057"/>
    <w:rsid w:val="00EC6847"/>
    <w:rsid w:val="00EC721F"/>
    <w:rsid w:val="00EC7DB6"/>
    <w:rsid w:val="00ED162F"/>
    <w:rsid w:val="00ED2E52"/>
    <w:rsid w:val="00ED3024"/>
    <w:rsid w:val="00ED5FE4"/>
    <w:rsid w:val="00ED71C5"/>
    <w:rsid w:val="00EE16FA"/>
    <w:rsid w:val="00EE3C42"/>
    <w:rsid w:val="00EE3D4F"/>
    <w:rsid w:val="00EE534D"/>
    <w:rsid w:val="00EE5560"/>
    <w:rsid w:val="00EE6F1E"/>
    <w:rsid w:val="00EE7549"/>
    <w:rsid w:val="00EF0348"/>
    <w:rsid w:val="00EF1F9C"/>
    <w:rsid w:val="00EF3266"/>
    <w:rsid w:val="00EF4366"/>
    <w:rsid w:val="00EF4CD6"/>
    <w:rsid w:val="00EF55A0"/>
    <w:rsid w:val="00EF63D1"/>
    <w:rsid w:val="00EF6513"/>
    <w:rsid w:val="00EF6683"/>
    <w:rsid w:val="00EF7002"/>
    <w:rsid w:val="00EF769B"/>
    <w:rsid w:val="00F02522"/>
    <w:rsid w:val="00F027BA"/>
    <w:rsid w:val="00F03E79"/>
    <w:rsid w:val="00F053CA"/>
    <w:rsid w:val="00F057BB"/>
    <w:rsid w:val="00F0628D"/>
    <w:rsid w:val="00F06651"/>
    <w:rsid w:val="00F06B95"/>
    <w:rsid w:val="00F07DE6"/>
    <w:rsid w:val="00F1056C"/>
    <w:rsid w:val="00F107F1"/>
    <w:rsid w:val="00F10FC1"/>
    <w:rsid w:val="00F112FD"/>
    <w:rsid w:val="00F133A1"/>
    <w:rsid w:val="00F13ECD"/>
    <w:rsid w:val="00F155CE"/>
    <w:rsid w:val="00F16BF2"/>
    <w:rsid w:val="00F17EAE"/>
    <w:rsid w:val="00F213A9"/>
    <w:rsid w:val="00F218D4"/>
    <w:rsid w:val="00F2250A"/>
    <w:rsid w:val="00F24788"/>
    <w:rsid w:val="00F2640F"/>
    <w:rsid w:val="00F271B8"/>
    <w:rsid w:val="00F27C34"/>
    <w:rsid w:val="00F27E46"/>
    <w:rsid w:val="00F301C2"/>
    <w:rsid w:val="00F302E1"/>
    <w:rsid w:val="00F31B22"/>
    <w:rsid w:val="00F31B49"/>
    <w:rsid w:val="00F32F56"/>
    <w:rsid w:val="00F332BC"/>
    <w:rsid w:val="00F33D4F"/>
    <w:rsid w:val="00F34CAE"/>
    <w:rsid w:val="00F34CD6"/>
    <w:rsid w:val="00F34E3D"/>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BF4"/>
    <w:rsid w:val="00F54266"/>
    <w:rsid w:val="00F55043"/>
    <w:rsid w:val="00F56DCF"/>
    <w:rsid w:val="00F57034"/>
    <w:rsid w:val="00F60BE9"/>
    <w:rsid w:val="00F61FD8"/>
    <w:rsid w:val="00F62DBF"/>
    <w:rsid w:val="00F637CB"/>
    <w:rsid w:val="00F641FC"/>
    <w:rsid w:val="00F647F7"/>
    <w:rsid w:val="00F6583C"/>
    <w:rsid w:val="00F6589A"/>
    <w:rsid w:val="00F6783E"/>
    <w:rsid w:val="00F70DBE"/>
    <w:rsid w:val="00F71124"/>
    <w:rsid w:val="00F71888"/>
    <w:rsid w:val="00F719CD"/>
    <w:rsid w:val="00F71BB8"/>
    <w:rsid w:val="00F72584"/>
    <w:rsid w:val="00F7290D"/>
    <w:rsid w:val="00F72FA0"/>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6CD"/>
    <w:rsid w:val="00F93D72"/>
    <w:rsid w:val="00F93E65"/>
    <w:rsid w:val="00F94070"/>
    <w:rsid w:val="00F950B5"/>
    <w:rsid w:val="00F9513F"/>
    <w:rsid w:val="00F97908"/>
    <w:rsid w:val="00F97B43"/>
    <w:rsid w:val="00FA07F8"/>
    <w:rsid w:val="00FA105C"/>
    <w:rsid w:val="00FA1475"/>
    <w:rsid w:val="00FA148A"/>
    <w:rsid w:val="00FA1820"/>
    <w:rsid w:val="00FA27C8"/>
    <w:rsid w:val="00FA3B76"/>
    <w:rsid w:val="00FA4D66"/>
    <w:rsid w:val="00FA53A0"/>
    <w:rsid w:val="00FA5A4E"/>
    <w:rsid w:val="00FB0082"/>
    <w:rsid w:val="00FB0243"/>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7528"/>
    <w:rsid w:val="00FD0456"/>
    <w:rsid w:val="00FD0572"/>
    <w:rsid w:val="00FD1A97"/>
    <w:rsid w:val="00FD2D7B"/>
    <w:rsid w:val="00FD37F6"/>
    <w:rsid w:val="00FD4589"/>
    <w:rsid w:val="00FD473E"/>
    <w:rsid w:val="00FD7DF9"/>
    <w:rsid w:val="00FE0AC6"/>
    <w:rsid w:val="00FE0B51"/>
    <w:rsid w:val="00FE0B78"/>
    <w:rsid w:val="00FE0ED4"/>
    <w:rsid w:val="00FE1EAB"/>
    <w:rsid w:val="00FE2542"/>
    <w:rsid w:val="00FE3465"/>
    <w:rsid w:val="00FE67CF"/>
    <w:rsid w:val="00FE6D20"/>
    <w:rsid w:val="00FE6FB9"/>
    <w:rsid w:val="00FE7549"/>
    <w:rsid w:val="00FE7BCC"/>
    <w:rsid w:val="00FF126D"/>
    <w:rsid w:val="00FF2310"/>
    <w:rsid w:val="00FF2E73"/>
    <w:rsid w:val="00FF4AE2"/>
    <w:rsid w:val="00FF500F"/>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4B3B1F8-604F-4634-8231-4B5CF8A17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rsid w:val="00BB0B3C"/>
    <w:pPr>
      <w:keepNext/>
      <w:numPr>
        <w:numId w:val="3"/>
      </w:numPr>
      <w:spacing w:before="120"/>
      <w:outlineLvl w:val="0"/>
    </w:pPr>
    <w:rPr>
      <w:b/>
      <w:bCs/>
      <w:sz w:val="28"/>
      <w:szCs w:val="28"/>
    </w:rPr>
  </w:style>
  <w:style w:type="paragraph" w:styleId="2">
    <w:name w:val="heading 2"/>
    <w:basedOn w:val="a"/>
    <w:next w:val="a"/>
    <w:qFormat/>
    <w:rsid w:val="00BB0B3C"/>
    <w:pPr>
      <w:keepNext/>
      <w:numPr>
        <w:ilvl w:val="1"/>
        <w:numId w:val="3"/>
      </w:numPr>
      <w:tabs>
        <w:tab w:val="clear" w:pos="576"/>
      </w:tabs>
      <w:spacing w:before="120"/>
      <w:outlineLvl w:val="1"/>
    </w:pPr>
    <w:rPr>
      <w:b/>
      <w:bCs/>
      <w:sz w:val="24"/>
    </w:rPr>
  </w:style>
  <w:style w:type="paragraph" w:styleId="3">
    <w:name w:val="heading 3"/>
    <w:basedOn w:val="a"/>
    <w:next w:val="a"/>
    <w:qFormat/>
    <w:rsid w:val="00BB0B3C"/>
    <w:pPr>
      <w:keepNext/>
      <w:numPr>
        <w:ilvl w:val="2"/>
        <w:numId w:val="3"/>
      </w:numPr>
      <w:tabs>
        <w:tab w:val="clear" w:pos="720"/>
      </w:tabs>
      <w:spacing w:before="120"/>
      <w:outlineLvl w:val="2"/>
    </w:pPr>
    <w:rPr>
      <w:b/>
    </w:rPr>
  </w:style>
  <w:style w:type="paragraph" w:styleId="4">
    <w:name w:val="heading 4"/>
    <w:basedOn w:val="a"/>
    <w:next w:val="a"/>
    <w:qFormat/>
    <w:rsid w:val="00BB0B3C"/>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rsid w:val="00BB0B3C"/>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BB0B3C"/>
    <w:pPr>
      <w:numPr>
        <w:ilvl w:val="5"/>
        <w:numId w:val="3"/>
      </w:numPr>
      <w:spacing w:before="240" w:after="60"/>
      <w:outlineLvl w:val="5"/>
    </w:pPr>
    <w:rPr>
      <w:b/>
      <w:bCs/>
    </w:rPr>
  </w:style>
  <w:style w:type="paragraph" w:styleId="7">
    <w:name w:val="heading 7"/>
    <w:basedOn w:val="a"/>
    <w:next w:val="a"/>
    <w:qFormat/>
    <w:rsid w:val="00BB0B3C"/>
    <w:pPr>
      <w:numPr>
        <w:ilvl w:val="6"/>
        <w:numId w:val="3"/>
      </w:numPr>
      <w:spacing w:before="240" w:after="60"/>
      <w:outlineLvl w:val="6"/>
    </w:pPr>
    <w:rPr>
      <w:sz w:val="24"/>
      <w:szCs w:val="24"/>
    </w:rPr>
  </w:style>
  <w:style w:type="paragraph" w:styleId="8">
    <w:name w:val="heading 8"/>
    <w:basedOn w:val="a"/>
    <w:next w:val="a"/>
    <w:qFormat/>
    <w:rsid w:val="00BB0B3C"/>
    <w:pPr>
      <w:numPr>
        <w:ilvl w:val="7"/>
        <w:numId w:val="3"/>
      </w:numPr>
      <w:spacing w:before="240" w:after="60"/>
      <w:outlineLvl w:val="7"/>
    </w:pPr>
    <w:rPr>
      <w:i/>
      <w:iCs/>
      <w:sz w:val="24"/>
      <w:szCs w:val="24"/>
    </w:rPr>
  </w:style>
  <w:style w:type="paragraph" w:styleId="9">
    <w:name w:val="heading 9"/>
    <w:basedOn w:val="a"/>
    <w:next w:val="a"/>
    <w:qFormat/>
    <w:rsid w:val="00BB0B3C"/>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BB0B3C"/>
    <w:rPr>
      <w:sz w:val="20"/>
      <w:szCs w:val="20"/>
    </w:rPr>
  </w:style>
  <w:style w:type="character" w:customStyle="1" w:styleId="Char">
    <w:name w:val="正文文本 Char"/>
    <w:basedOn w:val="a0"/>
    <w:link w:val="a3"/>
    <w:rsid w:val="00CF195E"/>
  </w:style>
  <w:style w:type="character" w:styleId="a4">
    <w:name w:val="Hyperlink"/>
    <w:basedOn w:val="a0"/>
    <w:rsid w:val="00BB0B3C"/>
    <w:rPr>
      <w:color w:val="0000FF"/>
      <w:u w:val="single"/>
    </w:rPr>
  </w:style>
  <w:style w:type="paragraph" w:styleId="a5">
    <w:name w:val="caption"/>
    <w:aliases w:val="cap"/>
    <w:basedOn w:val="a"/>
    <w:next w:val="a"/>
    <w:link w:val="Char0"/>
    <w:qFormat/>
    <w:rsid w:val="00BB0B3C"/>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BB0B3C"/>
    <w:pPr>
      <w:autoSpaceDE/>
      <w:autoSpaceDN/>
      <w:adjustRightInd/>
      <w:spacing w:after="180"/>
      <w:ind w:left="568" w:hanging="284"/>
      <w:jc w:val="left"/>
    </w:pPr>
    <w:rPr>
      <w:sz w:val="20"/>
      <w:szCs w:val="20"/>
      <w:lang w:val="en-GB"/>
    </w:rPr>
  </w:style>
  <w:style w:type="paragraph" w:styleId="a7">
    <w:name w:val="List"/>
    <w:basedOn w:val="a"/>
    <w:rsid w:val="00BB0B3C"/>
    <w:pPr>
      <w:ind w:left="360" w:hanging="360"/>
    </w:pPr>
  </w:style>
  <w:style w:type="paragraph" w:styleId="20">
    <w:name w:val="Body Text 2"/>
    <w:basedOn w:val="a"/>
    <w:rsid w:val="00BB0B3C"/>
    <w:pPr>
      <w:spacing w:after="0"/>
      <w:jc w:val="left"/>
    </w:pPr>
    <w:rPr>
      <w:szCs w:val="20"/>
    </w:rPr>
  </w:style>
  <w:style w:type="paragraph" w:styleId="a8">
    <w:name w:val="Balloon Text"/>
    <w:basedOn w:val="a"/>
    <w:semiHidden/>
    <w:rsid w:val="00BB0B3C"/>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sid w:val="00BB0B3C"/>
    <w:rPr>
      <w:color w:val="800080"/>
      <w:u w:val="single"/>
    </w:rPr>
  </w:style>
  <w:style w:type="paragraph" w:styleId="aa">
    <w:name w:val="footnote text"/>
    <w:basedOn w:val="a"/>
    <w:semiHidden/>
    <w:rsid w:val="00BB0B3C"/>
    <w:rPr>
      <w:sz w:val="20"/>
      <w:szCs w:val="20"/>
    </w:rPr>
  </w:style>
  <w:style w:type="character" w:styleId="ab">
    <w:name w:val="footnote reference"/>
    <w:basedOn w:val="a0"/>
    <w:semiHidden/>
    <w:rsid w:val="00BB0B3C"/>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customStyle="1" w:styleId="IvDInstructiontext">
    <w:name w:val="IvD Instructiontext"/>
    <w:basedOn w:val="a3"/>
    <w:link w:val="IvDInstructiontextChar"/>
    <w:uiPriority w:val="99"/>
    <w:qFormat/>
    <w:rsid w:val="00093AB2"/>
    <w:pPr>
      <w:widowControl w:val="0"/>
      <w:tabs>
        <w:tab w:val="left" w:pos="2552"/>
        <w:tab w:val="left" w:pos="3856"/>
        <w:tab w:val="left" w:pos="5216"/>
        <w:tab w:val="left" w:pos="6464"/>
        <w:tab w:val="left" w:pos="7768"/>
        <w:tab w:val="left" w:pos="9072"/>
        <w:tab w:val="left" w:pos="9639"/>
      </w:tabs>
      <w:autoSpaceDE/>
      <w:autoSpaceDN/>
      <w:adjustRightInd/>
      <w:snapToGrid/>
      <w:spacing w:before="240" w:after="0" w:line="360" w:lineRule="auto"/>
    </w:pPr>
    <w:rPr>
      <w:rFonts w:ascii="Arial" w:hAnsi="Arial"/>
      <w:i/>
      <w:snapToGrid w:val="0"/>
      <w:color w:val="7F7F7F" w:themeColor="text1" w:themeTint="80"/>
      <w:spacing w:val="2"/>
      <w:sz w:val="18"/>
      <w:szCs w:val="18"/>
    </w:rPr>
  </w:style>
  <w:style w:type="character" w:customStyle="1" w:styleId="IvDInstructiontextChar">
    <w:name w:val="IvD Instructiontext Char"/>
    <w:link w:val="IvDInstructiontext"/>
    <w:uiPriority w:val="99"/>
    <w:rsid w:val="00093AB2"/>
    <w:rPr>
      <w:rFonts w:ascii="Arial" w:hAnsi="Arial"/>
      <w:i/>
      <w:snapToGrid w:val="0"/>
      <w:color w:val="7F7F7F" w:themeColor="text1" w:themeTint="80"/>
      <w:spacing w:val="2"/>
      <w:sz w:val="18"/>
      <w:szCs w:val="18"/>
    </w:rPr>
  </w:style>
  <w:style w:type="paragraph" w:styleId="af0">
    <w:name w:val="List Paragraph"/>
    <w:basedOn w:val="a"/>
    <w:link w:val="Char3"/>
    <w:uiPriority w:val="34"/>
    <w:qFormat/>
    <w:rsid w:val="000F04D7"/>
    <w:pPr>
      <w:widowControl w:val="0"/>
      <w:autoSpaceDE/>
      <w:autoSpaceDN/>
      <w:adjustRightInd/>
      <w:snapToGrid/>
      <w:spacing w:after="0"/>
      <w:ind w:leftChars="400" w:left="840"/>
    </w:pPr>
    <w:rPr>
      <w:rFonts w:ascii="Century" w:eastAsia="MS Mincho" w:hAnsi="Century"/>
      <w:kern w:val="2"/>
      <w:sz w:val="21"/>
      <w:lang w:eastAsia="ja-JP"/>
    </w:rPr>
  </w:style>
  <w:style w:type="character" w:customStyle="1" w:styleId="Char3">
    <w:name w:val="列出段落 Char"/>
    <w:link w:val="af0"/>
    <w:uiPriority w:val="34"/>
    <w:qFormat/>
    <w:rsid w:val="000F04D7"/>
    <w:rPr>
      <w:rFonts w:ascii="Century" w:eastAsia="MS Mincho" w:hAnsi="Century"/>
      <w:kern w:val="2"/>
      <w:sz w:val="21"/>
      <w:szCs w:val="22"/>
      <w:lang w:eastAsia="ja-JP"/>
    </w:rPr>
  </w:style>
  <w:style w:type="paragraph" w:customStyle="1" w:styleId="Doc-text2">
    <w:name w:val="Doc-text2"/>
    <w:basedOn w:val="a"/>
    <w:link w:val="Doc-text2Char"/>
    <w:qFormat/>
    <w:rsid w:val="00793CDB"/>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793CDB"/>
    <w:rPr>
      <w:rFonts w:ascii="Arial" w:eastAsia="MS Mincho" w:hAnsi="Arial"/>
      <w:szCs w:val="24"/>
      <w:lang w:val="en-GB" w:eastAsia="en-GB"/>
    </w:rPr>
  </w:style>
  <w:style w:type="character" w:styleId="af1">
    <w:name w:val="annotation reference"/>
    <w:basedOn w:val="a0"/>
    <w:semiHidden/>
    <w:unhideWhenUsed/>
    <w:rsid w:val="00F332BC"/>
    <w:rPr>
      <w:sz w:val="16"/>
      <w:szCs w:val="16"/>
    </w:rPr>
  </w:style>
  <w:style w:type="paragraph" w:styleId="af2">
    <w:name w:val="annotation text"/>
    <w:basedOn w:val="a"/>
    <w:link w:val="Char4"/>
    <w:semiHidden/>
    <w:unhideWhenUsed/>
    <w:rsid w:val="00F332BC"/>
    <w:rPr>
      <w:sz w:val="20"/>
      <w:szCs w:val="20"/>
    </w:rPr>
  </w:style>
  <w:style w:type="character" w:customStyle="1" w:styleId="Char4">
    <w:name w:val="批注文字 Char"/>
    <w:basedOn w:val="a0"/>
    <w:link w:val="af2"/>
    <w:semiHidden/>
    <w:rsid w:val="00F332BC"/>
  </w:style>
  <w:style w:type="paragraph" w:styleId="af3">
    <w:name w:val="annotation subject"/>
    <w:basedOn w:val="af2"/>
    <w:next w:val="af2"/>
    <w:link w:val="Char5"/>
    <w:semiHidden/>
    <w:unhideWhenUsed/>
    <w:rsid w:val="00F332BC"/>
    <w:rPr>
      <w:b/>
      <w:bCs/>
    </w:rPr>
  </w:style>
  <w:style w:type="character" w:customStyle="1" w:styleId="Char5">
    <w:name w:val="批注主题 Char"/>
    <w:basedOn w:val="Char4"/>
    <w:link w:val="af3"/>
    <w:semiHidden/>
    <w:rsid w:val="00F332B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6485090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2420326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638086-BDD9-4BFB-956C-A7DCA7523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1296</Words>
  <Characters>6823</Characters>
  <Application>Microsoft Office Word</Application>
  <DocSecurity>0</DocSecurity>
  <Lines>189</Lines>
  <Paragraphs>139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7980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13</cp:revision>
  <cp:lastPrinted>2007-06-18T22:08:00Z</cp:lastPrinted>
  <dcterms:created xsi:type="dcterms:W3CDTF">2019-01-11T10:06:00Z</dcterms:created>
  <dcterms:modified xsi:type="dcterms:W3CDTF">2019-02-16T00:29:00Z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(3)ar58IBu419AiX3wgAiY904pYzpsQCFJMJ8U7yNByA20IZ3Qbw+itNULgnEBMwrrXAoAz9Fo1
AvOecbm2v6O8vsOcsGRCpedqA+vojVMds9sb1kqJLrSgp0fctU+GIzwcAhYL4KX2C5lyNYuU
EQHLzc2ulwSsT/YDV5RjZqls7fqegst+gBA2fBV3WHxpfcx2HG8BhbqQk3pbRySCnm6/lh0M
VeWw5YQxuZGcXdnDsm</vt:lpwstr>
  </property>
  <property fmtid="{D5CDD505-2E9C-101B-9397-08002B2CF9AE}" pid="13" name="_2015_ms_pID_725343_00">
    <vt:lpwstr>_2015_ms_pID_725343</vt:lpwstr>
  </property>
  <property fmtid="{D5CDD505-2E9C-101B-9397-08002B2CF9AE}" pid="14" name="_2015_ms_pID_7253431">
    <vt:lpwstr>1U08tDvPWsU5yWA2eu8MsvKzhU5fUILRXuHjse+nXz1feWDW2DbodR
IBXdGpwMOsL/yvnA/d8fRBdCzwOkhMRNoAw78Ae8R320dX+cV/3/U4VSOtQ+XAaQGsaAKdqo
WLHUY9v6NcpWXKirod5QLmG5odcSC8yGgigSHIUitOyp2ZO2P44eb2/9gCjLtvW+dTboQl/Z
bj899xu+qSR0ueHZQoOsGoLxIrgqwrIRkcxf</vt:lpwstr>
  </property>
  <property fmtid="{D5CDD505-2E9C-101B-9397-08002B2CF9AE}" pid="15" name="_2015_ms_pID_7253431_00">
    <vt:lpwstr>_2015_ms_pID_7253431</vt:lpwstr>
  </property>
  <property fmtid="{D5CDD505-2E9C-101B-9397-08002B2CF9AE}" pid="16" name="_2015_ms_pID_7253432">
    <vt:lpwstr>fI8BBJpnpahihJz+PXe2XgdztfA8SKTB7XVI
vKjtfQfxmZ+q0ZP0tAtDzAwcjRhLQMCbfkrjmG6ueB0SO9OlIaY=</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1550249673</vt:lpwstr>
  </property>
</Properties>
</file>