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73FF" w14:textId="0D2CE9B6" w:rsidR="00E90E49" w:rsidRPr="00CE0424" w:rsidRDefault="00EB67D6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</w:t>
      </w:r>
      <w:r w:rsidR="0004174E">
        <w:rPr>
          <w:lang w:val="en-US"/>
        </w:rPr>
        <w:t>1 #96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324A50">
        <w:rPr>
          <w:sz w:val="32"/>
          <w:szCs w:val="32"/>
        </w:rPr>
        <w:t>9</w:t>
      </w:r>
      <w:r w:rsidR="004A03BA">
        <w:rPr>
          <w:sz w:val="32"/>
          <w:szCs w:val="32"/>
        </w:rPr>
        <w:t>02415</w:t>
      </w:r>
    </w:p>
    <w:p w14:paraId="05B5D71B" w14:textId="325F4A2E" w:rsidR="00E90E49" w:rsidRPr="00CE0424" w:rsidRDefault="0004174E" w:rsidP="00311702">
      <w:pPr>
        <w:pStyle w:val="3GPPHeader"/>
      </w:pPr>
      <w:r>
        <w:t>Athens</w:t>
      </w:r>
      <w:r w:rsidR="00AE2834" w:rsidRPr="000A1D33">
        <w:t xml:space="preserve">, </w:t>
      </w:r>
      <w:r>
        <w:t>Greece</w:t>
      </w:r>
      <w:r w:rsidR="002C5BA4">
        <w:t>,</w:t>
      </w:r>
      <w:r w:rsidR="00AE2834" w:rsidRPr="000A1D33">
        <w:t xml:space="preserve"> </w:t>
      </w:r>
      <w:r>
        <w:t>25</w:t>
      </w:r>
      <w:r w:rsidRPr="0004174E">
        <w:rPr>
          <w:vertAlign w:val="superscript"/>
        </w:rPr>
        <w:t>th</w:t>
      </w:r>
      <w:r w:rsidR="00EB67D6">
        <w:t xml:space="preserve"> </w:t>
      </w:r>
      <w:r>
        <w:t xml:space="preserve">February </w:t>
      </w:r>
      <w:r w:rsidR="002C5BA4">
        <w:t>–</w:t>
      </w:r>
      <w:r w:rsidR="00AE2834" w:rsidRPr="000A1D33">
        <w:t xml:space="preserve"> </w:t>
      </w:r>
      <w:r>
        <w:t>1</w:t>
      </w:r>
      <w:r w:rsidRPr="0004174E">
        <w:rPr>
          <w:vertAlign w:val="superscript"/>
        </w:rPr>
        <w:t>st</w:t>
      </w:r>
      <w:r w:rsidR="002C5BA4">
        <w:t xml:space="preserve"> </w:t>
      </w:r>
      <w:r>
        <w:t>March</w:t>
      </w:r>
      <w:r w:rsidR="00EB67D6">
        <w:t xml:space="preserve"> 2019</w:t>
      </w:r>
    </w:p>
    <w:p w14:paraId="2C09D5A4" w14:textId="77777777" w:rsidR="00E90E49" w:rsidRPr="00CE0424" w:rsidRDefault="00E90E49" w:rsidP="00357380">
      <w:pPr>
        <w:pStyle w:val="3GPPHeader"/>
      </w:pPr>
    </w:p>
    <w:p w14:paraId="1055BC36" w14:textId="2F86DD20" w:rsidR="00E90E49" w:rsidRPr="007E61A1" w:rsidRDefault="00E90E49" w:rsidP="00311702">
      <w:pPr>
        <w:pStyle w:val="3GPPHeader"/>
        <w:rPr>
          <w:sz w:val="22"/>
          <w:szCs w:val="22"/>
          <w:lang w:val="en-US"/>
        </w:rPr>
      </w:pPr>
      <w:r w:rsidRPr="007E61A1">
        <w:rPr>
          <w:sz w:val="22"/>
          <w:szCs w:val="22"/>
          <w:lang w:val="en-US"/>
        </w:rPr>
        <w:t>Agenda Item:</w:t>
      </w:r>
      <w:r w:rsidRPr="007E61A1">
        <w:rPr>
          <w:sz w:val="22"/>
          <w:szCs w:val="22"/>
          <w:lang w:val="en-US"/>
        </w:rPr>
        <w:tab/>
      </w:r>
      <w:r w:rsidR="00EB67D6">
        <w:rPr>
          <w:sz w:val="22"/>
          <w:szCs w:val="22"/>
          <w:lang w:val="en-US"/>
        </w:rPr>
        <w:t>7.2.3.</w:t>
      </w:r>
      <w:r w:rsidR="003004C1">
        <w:rPr>
          <w:sz w:val="22"/>
          <w:szCs w:val="22"/>
          <w:lang w:val="en-US"/>
        </w:rPr>
        <w:t>6</w:t>
      </w:r>
    </w:p>
    <w:p w14:paraId="44222FF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71A74" w14:textId="2C90AE7D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DE7CD0">
        <w:rPr>
          <w:sz w:val="22"/>
          <w:szCs w:val="22"/>
        </w:rPr>
        <w:t xml:space="preserve">Resource for </w:t>
      </w:r>
      <w:r w:rsidR="00F93355">
        <w:rPr>
          <w:sz w:val="22"/>
          <w:szCs w:val="22"/>
        </w:rPr>
        <w:t>IAB up-stream (MT) transmission</w:t>
      </w:r>
    </w:p>
    <w:p w14:paraId="35DEBA6B" w14:textId="1E65ADB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A50">
        <w:rPr>
          <w:sz w:val="22"/>
          <w:szCs w:val="22"/>
        </w:rPr>
        <w:t>Decision</w:t>
      </w:r>
    </w:p>
    <w:p w14:paraId="3CA27276" w14:textId="7442BDC4" w:rsidR="00E90E49" w:rsidRPr="00CE0424" w:rsidRDefault="00175666" w:rsidP="00E90E49">
      <w:r>
        <w:t>.</w:t>
      </w:r>
    </w:p>
    <w:p w14:paraId="5124CDF0" w14:textId="78255AEF" w:rsidR="0004174E" w:rsidRPr="0004174E" w:rsidRDefault="007138AD" w:rsidP="0004174E">
      <w:pPr>
        <w:pStyle w:val="Heading1"/>
      </w:pPr>
      <w:r>
        <w:t>Discussion</w:t>
      </w:r>
    </w:p>
    <w:p w14:paraId="53AF3259" w14:textId="77777777" w:rsidR="006D0313" w:rsidRDefault="003004C1" w:rsidP="00175666">
      <w:r>
        <w:t xml:space="preserve">An IAB node consists of an MT </w:t>
      </w:r>
      <w:r w:rsidR="00B516B9">
        <w:t>part</w:t>
      </w:r>
      <w:r>
        <w:t xml:space="preserve"> and a DU </w:t>
      </w:r>
      <w:r w:rsidR="00B516B9">
        <w:t>part</w:t>
      </w:r>
      <w:r w:rsidR="00287425">
        <w:t xml:space="preserve">, with the MT </w:t>
      </w:r>
      <w:r w:rsidR="00E87A6E">
        <w:t>part</w:t>
      </w:r>
      <w:r w:rsidR="00287425">
        <w:t xml:space="preserve"> providing a bi-directional</w:t>
      </w:r>
      <w:r w:rsidR="00E87A6E">
        <w:t xml:space="preserve"> </w:t>
      </w:r>
      <w:r w:rsidR="00287425">
        <w:t>link to a parent node</w:t>
      </w:r>
      <w:r w:rsidR="00B516B9">
        <w:t xml:space="preserve"> which could be a</w:t>
      </w:r>
      <w:r w:rsidR="00287425">
        <w:t>nother IAB node</w:t>
      </w:r>
      <w:r w:rsidR="00B516B9">
        <w:t xml:space="preserve"> or an IAB donor node</w:t>
      </w:r>
      <w:r w:rsidR="00287425">
        <w:t xml:space="preserve">. </w:t>
      </w:r>
    </w:p>
    <w:p w14:paraId="5E994237" w14:textId="41AF2357" w:rsidR="00E87A6E" w:rsidRDefault="006D0313" w:rsidP="00175666">
      <w:r>
        <w:t>As the MT transmission is received at a cell</w:t>
      </w:r>
      <w:r w:rsidR="00991EAA">
        <w:t xml:space="preserve"> </w:t>
      </w:r>
      <w:proofErr w:type="gramStart"/>
      <w:r w:rsidR="00F375EE">
        <w:t>similar to</w:t>
      </w:r>
      <w:proofErr w:type="gramEnd"/>
      <w:r w:rsidR="00991EAA">
        <w:t xml:space="preserve"> a UE transmission, it is </w:t>
      </w:r>
      <w:r w:rsidR="009A1012">
        <w:t>typically expressed</w:t>
      </w:r>
      <w:r w:rsidR="00991EAA">
        <w:t xml:space="preserve"> as an “uplink” transmission. It </w:t>
      </w:r>
      <w:r w:rsidR="00BB7AD1">
        <w:t xml:space="preserve">is also assumed to </w:t>
      </w:r>
      <w:r w:rsidR="00E87A6E">
        <w:t>inherit m</w:t>
      </w:r>
      <w:r w:rsidR="00AE35C2">
        <w:t xml:space="preserve">uch of the structure of the </w:t>
      </w:r>
      <w:r w:rsidR="00E87A6E">
        <w:t>Rel</w:t>
      </w:r>
      <w:r w:rsidR="00F375EE">
        <w:t>-</w:t>
      </w:r>
      <w:r w:rsidR="00E87A6E">
        <w:t>15 uplink</w:t>
      </w:r>
      <w:r w:rsidR="00AE35C2">
        <w:t xml:space="preserve"> (UE) </w:t>
      </w:r>
      <w:r w:rsidR="00E87A6E">
        <w:t>transmission</w:t>
      </w:r>
      <w:r w:rsidR="00AE35C2">
        <w:t>.</w:t>
      </w:r>
      <w:r w:rsidR="00505AD4">
        <w:t xml:space="preserve"> </w:t>
      </w:r>
      <w:r w:rsidR="00AE35C2">
        <w:t>For example:</w:t>
      </w:r>
    </w:p>
    <w:p w14:paraId="6F936071" w14:textId="5CBDC207" w:rsidR="00E87A6E" w:rsidRDefault="00E87A6E" w:rsidP="008F5899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MT transmission </w:t>
      </w:r>
      <w:r w:rsidR="00BB7AD1">
        <w:t xml:space="preserve">is assumed to </w:t>
      </w:r>
      <w:r>
        <w:t xml:space="preserve">use the same physical-channel structure as the </w:t>
      </w:r>
      <w:r w:rsidR="00EC0FD9">
        <w:t>Rel-15</w:t>
      </w:r>
      <w:r>
        <w:t xml:space="preserve"> uplink</w:t>
      </w:r>
    </w:p>
    <w:p w14:paraId="71EAE83F" w14:textId="7CF5FFA7" w:rsidR="00E87A6E" w:rsidRDefault="00E87A6E" w:rsidP="008F5899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MT transmission </w:t>
      </w:r>
      <w:r w:rsidR="00BB7AD1">
        <w:t xml:space="preserve">is assumed to </w:t>
      </w:r>
      <w:r w:rsidR="00EC0FD9">
        <w:t>be subject to similar transmission-</w:t>
      </w:r>
      <w:r>
        <w:t>tim</w:t>
      </w:r>
      <w:r w:rsidR="00912661">
        <w:t>ing</w:t>
      </w:r>
      <w:r>
        <w:t xml:space="preserve"> control as </w:t>
      </w:r>
      <w:r w:rsidR="00EC0FD9">
        <w:t xml:space="preserve">the Rel-15 </w:t>
      </w:r>
      <w:r>
        <w:t>uplink</w:t>
      </w:r>
      <w:r w:rsidR="00AE35C2">
        <w:t xml:space="preserve">, i.e. </w:t>
      </w:r>
      <w:r w:rsidR="00EC0FD9">
        <w:t xml:space="preserve">transmission </w:t>
      </w:r>
      <w:r>
        <w:t>timing based on timing-alignment command</w:t>
      </w:r>
      <w:r w:rsidR="00226CE6">
        <w:t>s</w:t>
      </w:r>
      <w:r>
        <w:t xml:space="preserve"> from the serving cell</w:t>
      </w:r>
    </w:p>
    <w:p w14:paraId="12673BED" w14:textId="6174C05D" w:rsidR="00E87A6E" w:rsidRDefault="00E87A6E" w:rsidP="00AE35C2">
      <w:pPr>
        <w:pStyle w:val="ListParagraph"/>
        <w:numPr>
          <w:ilvl w:val="0"/>
          <w:numId w:val="15"/>
        </w:numPr>
        <w:ind w:left="714" w:hanging="357"/>
        <w:contextualSpacing w:val="0"/>
      </w:pPr>
      <w:r>
        <w:t xml:space="preserve">The </w:t>
      </w:r>
      <w:r w:rsidR="00226CE6">
        <w:t xml:space="preserve">scheduling of </w:t>
      </w:r>
      <w:r>
        <w:t>MT transmission</w:t>
      </w:r>
      <w:r w:rsidR="00226CE6">
        <w:t>s</w:t>
      </w:r>
      <w:r>
        <w:t xml:space="preserve"> </w:t>
      </w:r>
      <w:r w:rsidR="00BB7AD1">
        <w:t xml:space="preserve">is assumed to </w:t>
      </w:r>
      <w:r w:rsidR="00226CE6">
        <w:t xml:space="preserve">be </w:t>
      </w:r>
      <w:proofErr w:type="gramStart"/>
      <w:r w:rsidR="00226CE6">
        <w:t>similar to</w:t>
      </w:r>
      <w:proofErr w:type="gramEnd"/>
      <w:r>
        <w:t xml:space="preserve"> </w:t>
      </w:r>
      <w:r w:rsidR="00226CE6">
        <w:t>Rel-15</w:t>
      </w:r>
      <w:r>
        <w:t xml:space="preserve"> uplink </w:t>
      </w:r>
      <w:r w:rsidR="00226CE6">
        <w:t>transmissions</w:t>
      </w:r>
      <w:r w:rsidR="00AE35C2">
        <w:t xml:space="preserve">, i.e. </w:t>
      </w:r>
      <w:r w:rsidR="00226CE6">
        <w:t xml:space="preserve"> </w:t>
      </w:r>
      <w:r>
        <w:t>based on scheduling grants provided by the serving cell</w:t>
      </w:r>
    </w:p>
    <w:p w14:paraId="154070C8" w14:textId="47C59D5C" w:rsidR="00287425" w:rsidRDefault="00287425" w:rsidP="00287425">
      <w:r>
        <w:t xml:space="preserve">However, </w:t>
      </w:r>
      <w:r w:rsidR="008F5899">
        <w:t>in many other respects,</w:t>
      </w:r>
      <w:r w:rsidR="0054199F">
        <w:t xml:space="preserve"> the MT </w:t>
      </w:r>
      <w:r>
        <w:t xml:space="preserve">transmission </w:t>
      </w:r>
      <w:r w:rsidR="00B516B9">
        <w:t>is</w:t>
      </w:r>
      <w:r w:rsidR="008F5899">
        <w:t xml:space="preserve"> </w:t>
      </w:r>
      <w:r w:rsidR="00175666">
        <w:t xml:space="preserve">more </w:t>
      </w:r>
      <w:proofErr w:type="gramStart"/>
      <w:r>
        <w:t xml:space="preserve">similar </w:t>
      </w:r>
      <w:r w:rsidR="00E87A6E">
        <w:t>to</w:t>
      </w:r>
      <w:proofErr w:type="gramEnd"/>
      <w:r w:rsidR="00E87A6E">
        <w:t xml:space="preserve"> a downlink</w:t>
      </w:r>
      <w:r w:rsidR="008F5899">
        <w:t xml:space="preserve"> (</w:t>
      </w:r>
      <w:r w:rsidR="00B516B9">
        <w:t>base-station/DU</w:t>
      </w:r>
      <w:r w:rsidR="008F5899">
        <w:t>)</w:t>
      </w:r>
      <w:r>
        <w:t xml:space="preserve"> transmission</w:t>
      </w:r>
      <w:r w:rsidR="00E87A6E">
        <w:t>.</w:t>
      </w:r>
    </w:p>
    <w:p w14:paraId="38E0718A" w14:textId="57049A42" w:rsidR="00287425" w:rsidRDefault="00912661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At least in case of in</w:t>
      </w:r>
      <w:r w:rsidR="00036418">
        <w:t>-</w:t>
      </w:r>
      <w:r>
        <w:t xml:space="preserve">band relaying with the MT and DU </w:t>
      </w:r>
      <w:r w:rsidR="008F5899">
        <w:t xml:space="preserve">of an IAB node </w:t>
      </w:r>
      <w:r>
        <w:t xml:space="preserve">sharing the same </w:t>
      </w:r>
      <w:r w:rsidR="00036418">
        <w:t>power amplifier</w:t>
      </w:r>
      <w:r w:rsidR="00AE35C2">
        <w:t>,</w:t>
      </w:r>
      <w:r>
        <w:t xml:space="preserve"> i</w:t>
      </w:r>
      <w:r w:rsidR="00287425">
        <w:t xml:space="preserve">t can be assumed that the MT will </w:t>
      </w:r>
      <w:r w:rsidR="00B516B9">
        <w:t xml:space="preserve">have the </w:t>
      </w:r>
      <w:r w:rsidR="00287425">
        <w:t xml:space="preserve">same </w:t>
      </w:r>
      <w:r>
        <w:t xml:space="preserve">or similar </w:t>
      </w:r>
      <w:r w:rsidR="00B516B9">
        <w:t xml:space="preserve">maximum </w:t>
      </w:r>
      <w:r w:rsidR="00287425">
        <w:t>trans</w:t>
      </w:r>
      <w:r w:rsidR="00B516B9">
        <w:t>mit</w:t>
      </w:r>
      <w:r w:rsidR="00287425">
        <w:t xml:space="preserve"> power as the DU, </w:t>
      </w:r>
      <w:r w:rsidR="00036418">
        <w:t>i.e.,</w:t>
      </w:r>
      <w:r w:rsidR="00E87A6E">
        <w:t xml:space="preserve"> significantly higher than the</w:t>
      </w:r>
      <w:r w:rsidR="00B516B9">
        <w:t xml:space="preserve"> </w:t>
      </w:r>
      <w:r w:rsidR="00E87A6E">
        <w:t>typical</w:t>
      </w:r>
      <w:r w:rsidR="00287425">
        <w:t xml:space="preserve"> </w:t>
      </w:r>
      <w:r w:rsidR="00B516B9">
        <w:t xml:space="preserve">maximum </w:t>
      </w:r>
      <w:r w:rsidR="00883DA6">
        <w:t xml:space="preserve">UE </w:t>
      </w:r>
      <w:r w:rsidR="00B516B9">
        <w:t xml:space="preserve">transmit </w:t>
      </w:r>
      <w:r w:rsidR="00287425">
        <w:t>power.</w:t>
      </w:r>
    </w:p>
    <w:p w14:paraId="12EF04A1" w14:textId="627547E7" w:rsidR="0054199F" w:rsidRDefault="0054199F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It can be assumed that, in m</w:t>
      </w:r>
      <w:r w:rsidR="00883DA6">
        <w:t>any</w:t>
      </w:r>
      <w:r>
        <w:t xml:space="preserve"> cases, the MT will reuse the same antenna </w:t>
      </w:r>
      <w:r w:rsidR="003B5F3B">
        <w:t xml:space="preserve">configuration as the DU. </w:t>
      </w:r>
    </w:p>
    <w:p w14:paraId="219195B6" w14:textId="27B8341A" w:rsidR="00287425" w:rsidRDefault="00287425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MT transmitter </w:t>
      </w:r>
      <w:r w:rsidR="00E87A6E">
        <w:t>may</w:t>
      </w:r>
      <w:r>
        <w:t xml:space="preserve"> </w:t>
      </w:r>
      <w:r w:rsidR="00175666">
        <w:t xml:space="preserve">often </w:t>
      </w:r>
      <w:r>
        <w:t xml:space="preserve">be located </w:t>
      </w:r>
      <w:r w:rsidR="00175666">
        <w:t>at</w:t>
      </w:r>
      <w:r>
        <w:t xml:space="preserve"> </w:t>
      </w:r>
      <w:r w:rsidR="008C504B">
        <w:t>a</w:t>
      </w:r>
      <w:r w:rsidR="00AE35C2">
        <w:t xml:space="preserve">n </w:t>
      </w:r>
      <w:r>
        <w:t xml:space="preserve">elevated </w:t>
      </w:r>
      <w:r w:rsidR="008C504B">
        <w:t xml:space="preserve">outdoor </w:t>
      </w:r>
      <w:r>
        <w:t>position, i.e.</w:t>
      </w:r>
      <w:r w:rsidR="00175666">
        <w:t>,</w:t>
      </w:r>
      <w:r>
        <w:t xml:space="preserve"> what is typically seen as</w:t>
      </w:r>
      <w:r w:rsidR="005379D3">
        <w:t xml:space="preserve"> </w:t>
      </w:r>
      <w:r>
        <w:t>“base</w:t>
      </w:r>
      <w:r w:rsidR="005379D3">
        <w:t>-</w:t>
      </w:r>
      <w:r>
        <w:t>station” location</w:t>
      </w:r>
      <w:r w:rsidR="005379D3">
        <w:t>s</w:t>
      </w:r>
      <w:r w:rsidR="00175666">
        <w:t xml:space="preserve">. UEs, on the other hand, are typically located </w:t>
      </w:r>
      <w:r w:rsidR="00E87A6E">
        <w:t xml:space="preserve">outdoor on </w:t>
      </w:r>
      <w:r w:rsidR="00175666">
        <w:t>street-level</w:t>
      </w:r>
      <w:r w:rsidR="00083C0C">
        <w:t xml:space="preserve"> or indoor</w:t>
      </w:r>
      <w:r w:rsidR="00175666">
        <w:t>.</w:t>
      </w:r>
    </w:p>
    <w:p w14:paraId="31101497" w14:textId="7346BDEB" w:rsidR="00722139" w:rsidRDefault="00722139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IAB node, of which the MT is a part, will </w:t>
      </w:r>
      <w:r w:rsidR="00C666B5">
        <w:t xml:space="preserve">typically </w:t>
      </w:r>
      <w:r>
        <w:t>be a stationary node, in contrast to UEs which</w:t>
      </w:r>
      <w:r w:rsidR="00C666B5">
        <w:t>, at least o</w:t>
      </w:r>
      <w:r w:rsidR="00B5708D">
        <w:t>f today,</w:t>
      </w:r>
      <w:r>
        <w:t xml:space="preserve"> are </w:t>
      </w:r>
      <w:r w:rsidR="009F4DF2">
        <w:t>typically mobile</w:t>
      </w:r>
    </w:p>
    <w:p w14:paraId="1ED9270C" w14:textId="62FFA20E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The MT transmission, corresponding to the aggregated transmission of multiple UEs located “under” the </w:t>
      </w:r>
      <w:r w:rsidR="00AF1EBA">
        <w:t xml:space="preserve">IAB </w:t>
      </w:r>
      <w:r w:rsidR="00AE35C2">
        <w:t>n</w:t>
      </w:r>
      <w:r w:rsidR="00AF1EBA">
        <w:t>ode</w:t>
      </w:r>
      <w:r>
        <w:t xml:space="preserve">, </w:t>
      </w:r>
      <w:r w:rsidR="00B5708D">
        <w:t>would typically have</w:t>
      </w:r>
      <w:r>
        <w:t xml:space="preserve"> significantly higher duty cycle </w:t>
      </w:r>
      <w:r w:rsidR="00B5708D">
        <w:t>compared to a U</w:t>
      </w:r>
      <w:r>
        <w:t>E transmission</w:t>
      </w:r>
    </w:p>
    <w:p w14:paraId="3893673F" w14:textId="5E4D1988" w:rsidR="00B516B9" w:rsidRDefault="00B2177C" w:rsidP="00B516B9">
      <w:r>
        <w:t xml:space="preserve">It </w:t>
      </w:r>
      <w:r w:rsidR="00D37510">
        <w:t xml:space="preserve">should be </w:t>
      </w:r>
      <w:r>
        <w:t>noted that</w:t>
      </w:r>
      <w:r w:rsidR="00E87A6E">
        <w:t xml:space="preserve"> </w:t>
      </w:r>
      <w:r w:rsidR="00D37510">
        <w:t xml:space="preserve">a non-negligible </w:t>
      </w:r>
      <w:r w:rsidR="00B516B9">
        <w:t xml:space="preserve">part of the expected gains of IAB </w:t>
      </w:r>
      <w:r w:rsidR="00AE35C2">
        <w:t>is due to an</w:t>
      </w:r>
      <w:r w:rsidR="00B516B9">
        <w:t xml:space="preserve"> assumption of </w:t>
      </w:r>
      <w:r w:rsidR="00EA2EDF">
        <w:t xml:space="preserve">a </w:t>
      </w:r>
      <w:r w:rsidR="00B516B9">
        <w:t xml:space="preserve">higher </w:t>
      </w:r>
      <w:r w:rsidR="00D37510">
        <w:t xml:space="preserve">MT </w:t>
      </w:r>
      <w:r w:rsidR="00B516B9">
        <w:t>transmi</w:t>
      </w:r>
      <w:r w:rsidR="00175666">
        <w:t>t</w:t>
      </w:r>
      <w:r w:rsidR="00B516B9">
        <w:t xml:space="preserve"> power</w:t>
      </w:r>
      <w:r w:rsidR="00AE35C2">
        <w:t>, more elaborate antenna configuration,</w:t>
      </w:r>
      <w:r w:rsidR="00B516B9">
        <w:t xml:space="preserve"> and </w:t>
      </w:r>
      <w:r w:rsidR="00D37510">
        <w:t xml:space="preserve">a </w:t>
      </w:r>
      <w:r w:rsidR="00B516B9">
        <w:t xml:space="preserve">more elevated </w:t>
      </w:r>
      <w:r w:rsidR="00EA2EDF">
        <w:t xml:space="preserve">IAB-node </w:t>
      </w:r>
      <w:r w:rsidR="00B516B9">
        <w:t>position</w:t>
      </w:r>
      <w:r w:rsidR="00E27868">
        <w:t>,</w:t>
      </w:r>
      <w:r w:rsidR="00B516B9">
        <w:t xml:space="preserve"> compared to</w:t>
      </w:r>
      <w:r w:rsidR="00175666">
        <w:t xml:space="preserve"> </w:t>
      </w:r>
      <w:r w:rsidR="00EA2EDF">
        <w:t xml:space="preserve">a </w:t>
      </w:r>
      <w:r w:rsidR="00175666">
        <w:t>UE</w:t>
      </w:r>
      <w:r w:rsidR="00B516B9">
        <w:t xml:space="preserve">. </w:t>
      </w:r>
    </w:p>
    <w:p w14:paraId="2493394A" w14:textId="159260B9" w:rsidR="00B516B9" w:rsidRDefault="00AE35C2" w:rsidP="003479DD">
      <w:r>
        <w:t>A consequence of</w:t>
      </w:r>
      <w:r w:rsidR="00CF5DDB">
        <w:t xml:space="preserve"> this is</w:t>
      </w:r>
      <w:r w:rsidR="00DF2A82">
        <w:t xml:space="preserve"> that </w:t>
      </w:r>
      <w:r>
        <w:t>an</w:t>
      </w:r>
      <w:r w:rsidR="00DF2A82">
        <w:t xml:space="preserve"> MT transmission, in terms of the </w:t>
      </w:r>
      <w:r w:rsidR="00516F85">
        <w:t xml:space="preserve">potential </w:t>
      </w:r>
      <w:r w:rsidR="00DF2A82">
        <w:t xml:space="preserve">interference it </w:t>
      </w:r>
      <w:r w:rsidR="00516F85">
        <w:t xml:space="preserve">may </w:t>
      </w:r>
      <w:r w:rsidR="00DF2A82">
        <w:t xml:space="preserve">cause to other nodes (base stations, IAB nodes, UEs), </w:t>
      </w:r>
      <w:r w:rsidR="00441939">
        <w:t xml:space="preserve">will typically be more </w:t>
      </w:r>
      <w:proofErr w:type="gramStart"/>
      <w:r w:rsidR="00441939">
        <w:t>similar to</w:t>
      </w:r>
      <w:proofErr w:type="gramEnd"/>
      <w:r w:rsidR="00441939">
        <w:t xml:space="preserve"> the inte</w:t>
      </w:r>
      <w:r w:rsidR="00516F85">
        <w:t>rference</w:t>
      </w:r>
      <w:r w:rsidR="00441939">
        <w:t xml:space="preserve"> caused by a downlink </w:t>
      </w:r>
      <w:r w:rsidR="00441939">
        <w:lastRenderedPageBreak/>
        <w:t xml:space="preserve">(base-station/DU) transmission, than an uplink (UE) transmission. This </w:t>
      </w:r>
      <w:r w:rsidR="003479DD">
        <w:t>raises the fundamental question in what resource (downlink or uplink) the MT transmission should take place?</w:t>
      </w:r>
      <w:r w:rsidR="00773D35">
        <w:rPr>
          <w:rStyle w:val="FootnoteReference"/>
        </w:rPr>
        <w:footnoteReference w:id="2"/>
      </w:r>
      <w:r w:rsidR="003479DD">
        <w:t xml:space="preserve"> </w:t>
      </w:r>
    </w:p>
    <w:p w14:paraId="21AD84E6" w14:textId="17B64648" w:rsidR="003479DD" w:rsidRDefault="003479DD" w:rsidP="003479DD">
      <w:r>
        <w:t xml:space="preserve">The </w:t>
      </w:r>
      <w:r w:rsidR="00EA2EDF">
        <w:t>issue</w:t>
      </w:r>
      <w:r>
        <w:t xml:space="preserve"> becomes obvious in case of IAB operating in paired spectrum (which</w:t>
      </w:r>
      <w:r w:rsidR="00EA2EDF">
        <w:t>, although not the highest-focus scenario,</w:t>
      </w:r>
      <w:r>
        <w:t xml:space="preserve"> should be supported by IAB)</w:t>
      </w:r>
      <w:r w:rsidR="008866CA">
        <w:t xml:space="preserve">, i.e. should MT transmissions take place in the uplink or downlink </w:t>
      </w:r>
      <w:r w:rsidR="00F6065E">
        <w:t xml:space="preserve">band? </w:t>
      </w:r>
      <w:r>
        <w:t xml:space="preserve">However, the </w:t>
      </w:r>
      <w:r w:rsidR="00783D43">
        <w:t xml:space="preserve">issue is also </w:t>
      </w:r>
      <w:r w:rsidR="00150E56">
        <w:t>highly relevant</w:t>
      </w:r>
      <w:r w:rsidR="00783D43">
        <w:t xml:space="preserve"> in case of </w:t>
      </w:r>
      <w:r>
        <w:t xml:space="preserve">IAB operating in unpaired spectrum. Even if the </w:t>
      </w:r>
      <w:r w:rsidR="00F6065E">
        <w:t xml:space="preserve">3GPP </w:t>
      </w:r>
      <w:r>
        <w:t>specification</w:t>
      </w:r>
      <w:r w:rsidR="00F6065E">
        <w:t>s</w:t>
      </w:r>
      <w:r>
        <w:t xml:space="preserve"> </w:t>
      </w:r>
      <w:r w:rsidR="00F6065E">
        <w:t>do</w:t>
      </w:r>
      <w:r w:rsidR="00B516B9">
        <w:t xml:space="preserve"> not impose specific </w:t>
      </w:r>
      <w:r>
        <w:t>static allocation</w:t>
      </w:r>
      <w:r w:rsidR="00F6065E">
        <w:t>s</w:t>
      </w:r>
      <w:r>
        <w:t xml:space="preserve"> of time-domain resources to the downlink and uplink transmission direction</w:t>
      </w:r>
      <w:r w:rsidR="00B516B9">
        <w:t xml:space="preserve"> respectively</w:t>
      </w:r>
      <w:r>
        <w:t>, in practice there is often such a</w:t>
      </w:r>
      <w:r w:rsidR="00015302">
        <w:t xml:space="preserve">n </w:t>
      </w:r>
      <w:r w:rsidR="00EA2EDF">
        <w:t>allocation of resources</w:t>
      </w:r>
      <w:r w:rsidR="00AE35C2">
        <w:t xml:space="preserve"> in case of unpaired spectrum</w:t>
      </w:r>
      <w:r w:rsidR="00EA2EDF">
        <w:t>:</w:t>
      </w:r>
      <w:r>
        <w:t xml:space="preserve"> </w:t>
      </w:r>
    </w:p>
    <w:p w14:paraId="72554B22" w14:textId="234211D6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In most </w:t>
      </w:r>
      <w:r w:rsidR="00AE35C2">
        <w:t xml:space="preserve">(all?) </w:t>
      </w:r>
      <w:proofErr w:type="gramStart"/>
      <w:r>
        <w:t>TDD</w:t>
      </w:r>
      <w:proofErr w:type="gramEnd"/>
      <w:r>
        <w:t xml:space="preserve"> deployments </w:t>
      </w:r>
      <w:r w:rsidR="00015302">
        <w:t xml:space="preserve">of </w:t>
      </w:r>
      <w:r>
        <w:t xml:space="preserve">today, operators within the same overall frequency band </w:t>
      </w:r>
      <w:r w:rsidR="00B516B9">
        <w:t xml:space="preserve">are assumed to </w:t>
      </w:r>
      <w:r w:rsidR="00015302">
        <w:t xml:space="preserve">jointly synchronize their networks and jointly </w:t>
      </w:r>
      <w:r>
        <w:t>agree on a common DL/UL configuration.</w:t>
      </w:r>
    </w:p>
    <w:p w14:paraId="4C3E1FFE" w14:textId="38B30B65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In some </w:t>
      </w:r>
      <w:proofErr w:type="gramStart"/>
      <w:r>
        <w:t>cases</w:t>
      </w:r>
      <w:proofErr w:type="gramEnd"/>
      <w:r>
        <w:t xml:space="preserve"> there may even be regulatory requirements for </w:t>
      </w:r>
      <w:r w:rsidR="00AF3A37">
        <w:t>a certain</w:t>
      </w:r>
      <w:r>
        <w:t xml:space="preserve"> DL/UL configuration</w:t>
      </w:r>
    </w:p>
    <w:p w14:paraId="352E51B3" w14:textId="73A00159" w:rsidR="003479DD" w:rsidRDefault="00AE35C2" w:rsidP="003479DD">
      <w:r>
        <w:t xml:space="preserve">This kind of inter-operator </w:t>
      </w:r>
      <w:r w:rsidR="003479DD">
        <w:t xml:space="preserve">coordination is intended to avoid </w:t>
      </w:r>
      <w:r w:rsidR="00EA2EDF">
        <w:t xml:space="preserve">direct </w:t>
      </w:r>
      <w:r w:rsidR="003479DD">
        <w:t>base-station-to-base-station and UE-to-UE interference between operators. The fundamental reason why one wants to avoid such interference is the different transmission characteristics of base-stations and UEs</w:t>
      </w:r>
    </w:p>
    <w:p w14:paraId="4CBC23E9" w14:textId="5C609A35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 xml:space="preserve">Base stations may have higher output power, may be in more elevated positions, </w:t>
      </w:r>
      <w:r w:rsidR="00724D50">
        <w:t xml:space="preserve">are stationary, </w:t>
      </w:r>
      <w:r>
        <w:t>have higher transmission duty cycle, etc.</w:t>
      </w:r>
    </w:p>
    <w:p w14:paraId="0DFFD401" w14:textId="17438110" w:rsidR="003479DD" w:rsidRDefault="003479DD" w:rsidP="00FF36D5">
      <w:pPr>
        <w:pStyle w:val="ListParagraph"/>
        <w:numPr>
          <w:ilvl w:val="0"/>
          <w:numId w:val="14"/>
        </w:numPr>
        <w:ind w:left="714" w:hanging="357"/>
        <w:contextualSpacing w:val="0"/>
      </w:pPr>
      <w:r>
        <w:t>UEs have lower output power, are typically located outdoor on street level</w:t>
      </w:r>
      <w:r w:rsidR="00FF36D5">
        <w:t xml:space="preserve"> or indoor</w:t>
      </w:r>
      <w:r>
        <w:t xml:space="preserve">, </w:t>
      </w:r>
      <w:r w:rsidR="00724D50">
        <w:t>are typically non-stationary</w:t>
      </w:r>
      <w:r w:rsidR="0060798D">
        <w:t>,</w:t>
      </w:r>
      <w:r w:rsidR="00724D50">
        <w:t xml:space="preserve"> </w:t>
      </w:r>
      <w:r>
        <w:t xml:space="preserve">have lower transmission duty cycle etc. </w:t>
      </w:r>
    </w:p>
    <w:p w14:paraId="7A94116A" w14:textId="4E05FCAA" w:rsidR="003479DD" w:rsidRDefault="003479DD" w:rsidP="003479DD">
      <w:r>
        <w:t>If the transmission of an MT</w:t>
      </w:r>
      <w:r w:rsidR="005E21F1">
        <w:t xml:space="preserve"> </w:t>
      </w:r>
      <w:r>
        <w:t xml:space="preserve">has </w:t>
      </w:r>
      <w:r w:rsidR="005E21F1">
        <w:t xml:space="preserve">interference </w:t>
      </w:r>
      <w:r>
        <w:t xml:space="preserve">characteristics that are more aligned with a base station, it seems that such a transmission should take place in </w:t>
      </w:r>
      <w:r w:rsidR="00AE35C2">
        <w:t xml:space="preserve">downlink </w:t>
      </w:r>
      <w:r>
        <w:t>resources assigned</w:t>
      </w:r>
      <w:r w:rsidR="00AE35C2">
        <w:t xml:space="preserve">. </w:t>
      </w:r>
      <w:r w:rsidR="0060798D">
        <w:t xml:space="preserve">However, </w:t>
      </w:r>
      <w:r w:rsidR="005E21F1">
        <w:t>this</w:t>
      </w:r>
      <w:r w:rsidR="0060798D">
        <w:t xml:space="preserve"> is not obvious. As an example, </w:t>
      </w:r>
      <w:r w:rsidR="001E1C8D">
        <w:t>in case of co-sited deployments between two operators, an MT transmission in a downlink resource could obviously be severely interfered by</w:t>
      </w:r>
      <w:r w:rsidR="005E21F1">
        <w:t xml:space="preserve"> downlink transmissions from a</w:t>
      </w:r>
      <w:r w:rsidR="001E1C8D">
        <w:t xml:space="preserve"> co-sited </w:t>
      </w:r>
      <w:r w:rsidR="005C7181">
        <w:t xml:space="preserve">base station of the second operator. </w:t>
      </w:r>
    </w:p>
    <w:p w14:paraId="7AB0572E" w14:textId="69F7131C" w:rsidR="000718A9" w:rsidRDefault="00AE35C2" w:rsidP="003479DD">
      <w:r>
        <w:t>The</w:t>
      </w:r>
      <w:r w:rsidR="005C7181">
        <w:t xml:space="preserve"> key point of this paper is </w:t>
      </w:r>
      <w:r w:rsidR="00C47E5F">
        <w:t>primarily to</w:t>
      </w:r>
      <w:r w:rsidR="005C7181">
        <w:t xml:space="preserve"> raise the issue</w:t>
      </w:r>
      <w:r w:rsidR="00C47E5F">
        <w:t xml:space="preserve"> and highlight that this is something that requires 3GPP discussions</w:t>
      </w:r>
      <w:r w:rsidR="005C7181">
        <w:t xml:space="preserve">. </w:t>
      </w:r>
      <w:r w:rsidR="00C47E5F">
        <w:t xml:space="preserve">Clearly </w:t>
      </w:r>
      <w:r w:rsidR="005C7181">
        <w:t xml:space="preserve">this will eventually be a RAN4 issue. However, it will have implications </w:t>
      </w:r>
      <w:r>
        <w:t xml:space="preserve">also on </w:t>
      </w:r>
      <w:r w:rsidR="005C7181">
        <w:t>RAN1</w:t>
      </w:r>
      <w:r w:rsidR="00C47E5F">
        <w:t xml:space="preserve"> deliberations. </w:t>
      </w:r>
      <w:r w:rsidR="005C7181">
        <w:t>As an example, if it is concluded that MT transmission</w:t>
      </w:r>
      <w:r>
        <w:t>s</w:t>
      </w:r>
      <w:r w:rsidR="005C7181">
        <w:t xml:space="preserve"> would typically take place in downlink resources, </w:t>
      </w:r>
      <w:r w:rsidR="009C68C6">
        <w:t>the possible receiver-side multiplexing of MT and UE transmission</w:t>
      </w:r>
      <w:r>
        <w:t>s</w:t>
      </w:r>
      <w:r w:rsidR="009C68C6">
        <w:t xml:space="preserve"> </w:t>
      </w:r>
      <w:r w:rsidR="00C47E5F">
        <w:t xml:space="preserve">at the DU </w:t>
      </w:r>
      <w:r w:rsidR="00576D2E">
        <w:t>becomes a less relevant scenario. At the same time</w:t>
      </w:r>
      <w:r w:rsidR="00281D0C">
        <w:t>,</w:t>
      </w:r>
      <w:r w:rsidR="00E7143B">
        <w:t xml:space="preserve"> </w:t>
      </w:r>
      <w:r w:rsidR="00DB5966">
        <w:t xml:space="preserve">the </w:t>
      </w:r>
      <w:r w:rsidR="00E7143B">
        <w:t>scenario of multiplexing downstream</w:t>
      </w:r>
      <w:r w:rsidR="00DB5966">
        <w:t xml:space="preserve"> </w:t>
      </w:r>
      <w:r w:rsidR="002861C7">
        <w:t>(</w:t>
      </w:r>
      <w:r w:rsidR="00DB5966">
        <w:t>DU)</w:t>
      </w:r>
      <w:r w:rsidR="00E7143B">
        <w:t xml:space="preserve"> and upstream </w:t>
      </w:r>
      <w:r w:rsidR="00DB5966">
        <w:t xml:space="preserve">(MT) </w:t>
      </w:r>
      <w:r w:rsidR="00E7143B">
        <w:t xml:space="preserve">transmissions </w:t>
      </w:r>
      <w:r w:rsidR="00DB5966">
        <w:t xml:space="preserve">may become more important.  </w:t>
      </w:r>
      <w:r w:rsidR="00281D0C">
        <w:t xml:space="preserve"> </w:t>
      </w:r>
    </w:p>
    <w:p w14:paraId="118D8561" w14:textId="71CA82FD" w:rsidR="003479DD" w:rsidRDefault="003479DD" w:rsidP="002861C7">
      <w:pPr>
        <w:pStyle w:val="Observation"/>
      </w:pPr>
      <w:bookmarkStart w:id="0" w:name="_GoBack"/>
      <w:bookmarkEnd w:id="0"/>
      <w:r>
        <w:t xml:space="preserve">3GPP </w:t>
      </w:r>
      <w:r w:rsidR="002861C7">
        <w:t>needs</w:t>
      </w:r>
      <w:r>
        <w:t xml:space="preserve"> discuss on the relation between MT transmissions and </w:t>
      </w:r>
      <w:r w:rsidR="000718A9">
        <w:t>uplink and downlink (time/frequency)</w:t>
      </w:r>
      <w:r w:rsidR="00CC294A">
        <w:t xml:space="preserve"> resources</w:t>
      </w:r>
      <w:r w:rsidR="000718A9">
        <w:t xml:space="preserve">. </w:t>
      </w:r>
    </w:p>
    <w:p w14:paraId="0FEA2915" w14:textId="53A97846" w:rsidR="00C50EE1" w:rsidRDefault="00C50EE1" w:rsidP="00C50EE1">
      <w:pPr>
        <w:pStyle w:val="Proposal"/>
      </w:pPr>
      <w:r>
        <w:t xml:space="preserve">RAN1 should take the possible use of downlink resources </w:t>
      </w:r>
      <w:r w:rsidR="00A871B9">
        <w:t xml:space="preserve">for MT transmissions into account </w:t>
      </w:r>
      <w:r w:rsidR="00B120E4">
        <w:t>in the specification work on</w:t>
      </w:r>
      <w:r w:rsidR="00A871B9">
        <w:t xml:space="preserve"> IAB </w:t>
      </w:r>
    </w:p>
    <w:p w14:paraId="0D76A313" w14:textId="77777777" w:rsidR="00C50EE1" w:rsidRDefault="00C50EE1" w:rsidP="00C50EE1">
      <w:pPr>
        <w:pStyle w:val="Proposal"/>
        <w:numPr>
          <w:ilvl w:val="0"/>
          <w:numId w:val="0"/>
        </w:numPr>
      </w:pPr>
    </w:p>
    <w:p w14:paraId="1D30D127" w14:textId="77777777" w:rsidR="003479DD" w:rsidRDefault="003479DD" w:rsidP="003479DD"/>
    <w:p w14:paraId="277D28D2" w14:textId="3F78852B" w:rsidR="003A7EF3" w:rsidRPr="00CE0424" w:rsidRDefault="003A7EF3" w:rsidP="005D2C0F">
      <w:pPr>
        <w:pStyle w:val="Reference"/>
        <w:numPr>
          <w:ilvl w:val="0"/>
          <w:numId w:val="0"/>
        </w:numPr>
        <w:textAlignment w:val="auto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D3C47" w14:textId="77777777" w:rsidR="00381BDE" w:rsidRDefault="00381BDE">
      <w:r>
        <w:separator/>
      </w:r>
    </w:p>
  </w:endnote>
  <w:endnote w:type="continuationSeparator" w:id="0">
    <w:p w14:paraId="0BDCB13E" w14:textId="77777777" w:rsidR="00381BDE" w:rsidRDefault="00381BDE">
      <w:r>
        <w:continuationSeparator/>
      </w:r>
    </w:p>
  </w:endnote>
  <w:endnote w:type="continuationNotice" w:id="1">
    <w:p w14:paraId="02730D68" w14:textId="77777777" w:rsidR="00381BDE" w:rsidRDefault="00381B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FFE3" w14:textId="77777777" w:rsidR="00435929" w:rsidRDefault="004359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4EB9" w14:textId="77777777" w:rsidR="00381BDE" w:rsidRDefault="00381BDE">
      <w:r>
        <w:separator/>
      </w:r>
    </w:p>
  </w:footnote>
  <w:footnote w:type="continuationSeparator" w:id="0">
    <w:p w14:paraId="21BB1DBB" w14:textId="77777777" w:rsidR="00381BDE" w:rsidRDefault="00381BDE">
      <w:r>
        <w:continuationSeparator/>
      </w:r>
    </w:p>
  </w:footnote>
  <w:footnote w:type="continuationNotice" w:id="1">
    <w:p w14:paraId="4B0C0126" w14:textId="77777777" w:rsidR="00381BDE" w:rsidRDefault="00381BDE">
      <w:pPr>
        <w:spacing w:after="0"/>
      </w:pPr>
    </w:p>
  </w:footnote>
  <w:footnote w:id="2">
    <w:p w14:paraId="1DB8B847" w14:textId="1FDE09B7" w:rsidR="00773D35" w:rsidRPr="00773D35" w:rsidRDefault="00773D3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73D35">
        <w:rPr>
          <w:lang w:val="en-US"/>
        </w:rPr>
        <w:t>Note that we are here n</w:t>
      </w:r>
      <w:r>
        <w:rPr>
          <w:lang w:val="en-US"/>
        </w:rPr>
        <w:t xml:space="preserve">ot talking about the “downlink” and “uplink” DU and MT resources currently </w:t>
      </w:r>
      <w:r w:rsidR="00B60040">
        <w:rPr>
          <w:lang w:val="en-US"/>
        </w:rPr>
        <w:t xml:space="preserve">under discussion within the context of IAB resource assignment and multiplexing but </w:t>
      </w:r>
      <w:r w:rsidR="00894052">
        <w:rPr>
          <w:lang w:val="en-US"/>
        </w:rPr>
        <w:t>rather “downlink” and “uplink” as it currently relates to “base-station” and “UE” transmission</w:t>
      </w:r>
      <w:r w:rsidR="004A39AF">
        <w:rPr>
          <w:lang w:val="en-US"/>
        </w:rPr>
        <w:t>, for example downlink and uplink frequency bands of paired spectrum or downlink and uplink time slots in a TDD DL/UL configuration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6BCD" w14:textId="77777777" w:rsidR="00435929" w:rsidRDefault="0043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AA4807"/>
    <w:multiLevelType w:val="hybridMultilevel"/>
    <w:tmpl w:val="D3E2FBF0"/>
    <w:lvl w:ilvl="0" w:tplc="21A40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728B8"/>
    <w:multiLevelType w:val="hybridMultilevel"/>
    <w:tmpl w:val="5668367A"/>
    <w:lvl w:ilvl="0" w:tplc="CAB0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BDF65F6"/>
    <w:multiLevelType w:val="hybridMultilevel"/>
    <w:tmpl w:val="C54A396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8471C"/>
    <w:multiLevelType w:val="hybridMultilevel"/>
    <w:tmpl w:val="A566CDE6"/>
    <w:lvl w:ilvl="0" w:tplc="E79AA4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E6243"/>
    <w:multiLevelType w:val="hybridMultilevel"/>
    <w:tmpl w:val="5538DC84"/>
    <w:lvl w:ilvl="0" w:tplc="3E1C16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4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EBB"/>
    <w:rsid w:val="00002A37"/>
    <w:rsid w:val="00003C5D"/>
    <w:rsid w:val="00004231"/>
    <w:rsid w:val="00005D15"/>
    <w:rsid w:val="00006446"/>
    <w:rsid w:val="00006896"/>
    <w:rsid w:val="00007CDC"/>
    <w:rsid w:val="00011B28"/>
    <w:rsid w:val="00013BDE"/>
    <w:rsid w:val="00015302"/>
    <w:rsid w:val="00015D15"/>
    <w:rsid w:val="000160AE"/>
    <w:rsid w:val="00017000"/>
    <w:rsid w:val="0001739E"/>
    <w:rsid w:val="00022CB1"/>
    <w:rsid w:val="0002531D"/>
    <w:rsid w:val="0002564D"/>
    <w:rsid w:val="00025ECA"/>
    <w:rsid w:val="0002755F"/>
    <w:rsid w:val="000309BD"/>
    <w:rsid w:val="000325B8"/>
    <w:rsid w:val="00034C15"/>
    <w:rsid w:val="00036418"/>
    <w:rsid w:val="00036BA1"/>
    <w:rsid w:val="000408BD"/>
    <w:rsid w:val="0004174E"/>
    <w:rsid w:val="000422E2"/>
    <w:rsid w:val="00042346"/>
    <w:rsid w:val="00042F22"/>
    <w:rsid w:val="000444EF"/>
    <w:rsid w:val="000458A5"/>
    <w:rsid w:val="0004616C"/>
    <w:rsid w:val="00052A07"/>
    <w:rsid w:val="000534E3"/>
    <w:rsid w:val="0005379C"/>
    <w:rsid w:val="000547F7"/>
    <w:rsid w:val="0005606A"/>
    <w:rsid w:val="00056651"/>
    <w:rsid w:val="00056B20"/>
    <w:rsid w:val="00057117"/>
    <w:rsid w:val="000616E7"/>
    <w:rsid w:val="00061C15"/>
    <w:rsid w:val="0006487E"/>
    <w:rsid w:val="00064A88"/>
    <w:rsid w:val="00065E1A"/>
    <w:rsid w:val="000665C6"/>
    <w:rsid w:val="000679CD"/>
    <w:rsid w:val="000718A9"/>
    <w:rsid w:val="0007196D"/>
    <w:rsid w:val="00072784"/>
    <w:rsid w:val="000756D1"/>
    <w:rsid w:val="00077AB8"/>
    <w:rsid w:val="00077E5F"/>
    <w:rsid w:val="0008036A"/>
    <w:rsid w:val="00081AE6"/>
    <w:rsid w:val="0008359C"/>
    <w:rsid w:val="00083C0C"/>
    <w:rsid w:val="000845D1"/>
    <w:rsid w:val="000855EB"/>
    <w:rsid w:val="00085B52"/>
    <w:rsid w:val="000866F2"/>
    <w:rsid w:val="00087F7D"/>
    <w:rsid w:val="0009009F"/>
    <w:rsid w:val="00091557"/>
    <w:rsid w:val="000924C1"/>
    <w:rsid w:val="000924F0"/>
    <w:rsid w:val="000926F6"/>
    <w:rsid w:val="00092860"/>
    <w:rsid w:val="00093474"/>
    <w:rsid w:val="00094566"/>
    <w:rsid w:val="0009510F"/>
    <w:rsid w:val="0009764D"/>
    <w:rsid w:val="000A1B7B"/>
    <w:rsid w:val="000A304E"/>
    <w:rsid w:val="000A4D8A"/>
    <w:rsid w:val="000A56F2"/>
    <w:rsid w:val="000B2474"/>
    <w:rsid w:val="000B2719"/>
    <w:rsid w:val="000B3A8F"/>
    <w:rsid w:val="000B4357"/>
    <w:rsid w:val="000B4AB9"/>
    <w:rsid w:val="000B57EC"/>
    <w:rsid w:val="000B58C3"/>
    <w:rsid w:val="000B61E9"/>
    <w:rsid w:val="000B72B3"/>
    <w:rsid w:val="000C165A"/>
    <w:rsid w:val="000C2E19"/>
    <w:rsid w:val="000C450B"/>
    <w:rsid w:val="000C50E0"/>
    <w:rsid w:val="000C78BA"/>
    <w:rsid w:val="000C7FD4"/>
    <w:rsid w:val="000D0D07"/>
    <w:rsid w:val="000D1556"/>
    <w:rsid w:val="000D353C"/>
    <w:rsid w:val="000D4797"/>
    <w:rsid w:val="000D5B12"/>
    <w:rsid w:val="000E0527"/>
    <w:rsid w:val="000E1E92"/>
    <w:rsid w:val="000E27A8"/>
    <w:rsid w:val="000E4C60"/>
    <w:rsid w:val="000E5D5F"/>
    <w:rsid w:val="000E7852"/>
    <w:rsid w:val="000E7E7A"/>
    <w:rsid w:val="000F0012"/>
    <w:rsid w:val="000F0246"/>
    <w:rsid w:val="000F06D6"/>
    <w:rsid w:val="000F0EB1"/>
    <w:rsid w:val="000F1106"/>
    <w:rsid w:val="000F157F"/>
    <w:rsid w:val="000F1C91"/>
    <w:rsid w:val="000F1D44"/>
    <w:rsid w:val="000F3BE9"/>
    <w:rsid w:val="000F3F6C"/>
    <w:rsid w:val="000F42D1"/>
    <w:rsid w:val="000F54A4"/>
    <w:rsid w:val="000F56E1"/>
    <w:rsid w:val="000F5934"/>
    <w:rsid w:val="000F5E25"/>
    <w:rsid w:val="000F683D"/>
    <w:rsid w:val="000F6DF3"/>
    <w:rsid w:val="000F7F13"/>
    <w:rsid w:val="001005FF"/>
    <w:rsid w:val="0010146D"/>
    <w:rsid w:val="00104AE0"/>
    <w:rsid w:val="001062FB"/>
    <w:rsid w:val="001063E6"/>
    <w:rsid w:val="0010684D"/>
    <w:rsid w:val="00111814"/>
    <w:rsid w:val="00113CF4"/>
    <w:rsid w:val="00114243"/>
    <w:rsid w:val="00114286"/>
    <w:rsid w:val="00114577"/>
    <w:rsid w:val="001153EA"/>
    <w:rsid w:val="00115643"/>
    <w:rsid w:val="00116765"/>
    <w:rsid w:val="001219F5"/>
    <w:rsid w:val="00121A20"/>
    <w:rsid w:val="0012249E"/>
    <w:rsid w:val="0012377F"/>
    <w:rsid w:val="00124314"/>
    <w:rsid w:val="001256A1"/>
    <w:rsid w:val="00126B4A"/>
    <w:rsid w:val="00132B6B"/>
    <w:rsid w:val="00132FD0"/>
    <w:rsid w:val="00134135"/>
    <w:rsid w:val="001344C0"/>
    <w:rsid w:val="001346FA"/>
    <w:rsid w:val="00135111"/>
    <w:rsid w:val="00135252"/>
    <w:rsid w:val="00137129"/>
    <w:rsid w:val="00137AB5"/>
    <w:rsid w:val="00137B8F"/>
    <w:rsid w:val="00137F0B"/>
    <w:rsid w:val="00150E56"/>
    <w:rsid w:val="00151E23"/>
    <w:rsid w:val="001521A7"/>
    <w:rsid w:val="001526E0"/>
    <w:rsid w:val="00154CFC"/>
    <w:rsid w:val="001551B5"/>
    <w:rsid w:val="001615F4"/>
    <w:rsid w:val="001626BA"/>
    <w:rsid w:val="001659C1"/>
    <w:rsid w:val="001663C1"/>
    <w:rsid w:val="00166C24"/>
    <w:rsid w:val="00173A8E"/>
    <w:rsid w:val="0017411E"/>
    <w:rsid w:val="00174F3D"/>
    <w:rsid w:val="00175666"/>
    <w:rsid w:val="0017644C"/>
    <w:rsid w:val="00177795"/>
    <w:rsid w:val="00177AD0"/>
    <w:rsid w:val="0018143F"/>
    <w:rsid w:val="001822BA"/>
    <w:rsid w:val="00183C59"/>
    <w:rsid w:val="001851B3"/>
    <w:rsid w:val="00187973"/>
    <w:rsid w:val="00190AC1"/>
    <w:rsid w:val="00191F29"/>
    <w:rsid w:val="001924E0"/>
    <w:rsid w:val="00192C77"/>
    <w:rsid w:val="0019341A"/>
    <w:rsid w:val="001974DA"/>
    <w:rsid w:val="00197DF9"/>
    <w:rsid w:val="001A142F"/>
    <w:rsid w:val="001A1987"/>
    <w:rsid w:val="001A2564"/>
    <w:rsid w:val="001A6173"/>
    <w:rsid w:val="001A6CBA"/>
    <w:rsid w:val="001B0D97"/>
    <w:rsid w:val="001B5417"/>
    <w:rsid w:val="001B5A5D"/>
    <w:rsid w:val="001B6010"/>
    <w:rsid w:val="001B7CE6"/>
    <w:rsid w:val="001C1CE5"/>
    <w:rsid w:val="001C22E2"/>
    <w:rsid w:val="001C26DB"/>
    <w:rsid w:val="001C3D2A"/>
    <w:rsid w:val="001C54C7"/>
    <w:rsid w:val="001D1AB3"/>
    <w:rsid w:val="001D2C62"/>
    <w:rsid w:val="001D314F"/>
    <w:rsid w:val="001D51BA"/>
    <w:rsid w:val="001D6342"/>
    <w:rsid w:val="001D6D53"/>
    <w:rsid w:val="001E0341"/>
    <w:rsid w:val="001E1BE0"/>
    <w:rsid w:val="001E1C8D"/>
    <w:rsid w:val="001E4F1B"/>
    <w:rsid w:val="001E4F9F"/>
    <w:rsid w:val="001E58E2"/>
    <w:rsid w:val="001E5E91"/>
    <w:rsid w:val="001E790D"/>
    <w:rsid w:val="001E7AED"/>
    <w:rsid w:val="001F043F"/>
    <w:rsid w:val="001F183F"/>
    <w:rsid w:val="001F3916"/>
    <w:rsid w:val="001F3ADE"/>
    <w:rsid w:val="001F446A"/>
    <w:rsid w:val="001F54C5"/>
    <w:rsid w:val="001F5B6A"/>
    <w:rsid w:val="001F662C"/>
    <w:rsid w:val="001F7074"/>
    <w:rsid w:val="001F7463"/>
    <w:rsid w:val="00200490"/>
    <w:rsid w:val="0020103F"/>
    <w:rsid w:val="00201F3A"/>
    <w:rsid w:val="00203F3B"/>
    <w:rsid w:val="00203F96"/>
    <w:rsid w:val="00206774"/>
    <w:rsid w:val="002069B2"/>
    <w:rsid w:val="00206B2B"/>
    <w:rsid w:val="0020776F"/>
    <w:rsid w:val="00207FA3"/>
    <w:rsid w:val="0021049D"/>
    <w:rsid w:val="00211AAE"/>
    <w:rsid w:val="00213021"/>
    <w:rsid w:val="002134A7"/>
    <w:rsid w:val="00214DA8"/>
    <w:rsid w:val="00215423"/>
    <w:rsid w:val="002158FA"/>
    <w:rsid w:val="002160DB"/>
    <w:rsid w:val="00216C41"/>
    <w:rsid w:val="00217FAB"/>
    <w:rsid w:val="0022046D"/>
    <w:rsid w:val="00220600"/>
    <w:rsid w:val="00220736"/>
    <w:rsid w:val="0022132E"/>
    <w:rsid w:val="002224DB"/>
    <w:rsid w:val="002224E8"/>
    <w:rsid w:val="00223FCB"/>
    <w:rsid w:val="002252C3"/>
    <w:rsid w:val="00225C54"/>
    <w:rsid w:val="00226CE6"/>
    <w:rsid w:val="00230765"/>
    <w:rsid w:val="002319E4"/>
    <w:rsid w:val="00235632"/>
    <w:rsid w:val="00235872"/>
    <w:rsid w:val="0024083C"/>
    <w:rsid w:val="00241559"/>
    <w:rsid w:val="002435B3"/>
    <w:rsid w:val="002458EB"/>
    <w:rsid w:val="002500C8"/>
    <w:rsid w:val="0025031A"/>
    <w:rsid w:val="00250DB6"/>
    <w:rsid w:val="002529BA"/>
    <w:rsid w:val="002534AA"/>
    <w:rsid w:val="00257543"/>
    <w:rsid w:val="00257D36"/>
    <w:rsid w:val="002601E2"/>
    <w:rsid w:val="002617E7"/>
    <w:rsid w:val="00263EDD"/>
    <w:rsid w:val="00264228"/>
    <w:rsid w:val="00264334"/>
    <w:rsid w:val="0026473E"/>
    <w:rsid w:val="00265A2F"/>
    <w:rsid w:val="00266214"/>
    <w:rsid w:val="00267C83"/>
    <w:rsid w:val="00267CC0"/>
    <w:rsid w:val="0027144F"/>
    <w:rsid w:val="00271F3A"/>
    <w:rsid w:val="00273278"/>
    <w:rsid w:val="002737F4"/>
    <w:rsid w:val="002805F5"/>
    <w:rsid w:val="00280751"/>
    <w:rsid w:val="00280A01"/>
    <w:rsid w:val="00281D0C"/>
    <w:rsid w:val="002825AF"/>
    <w:rsid w:val="0028280A"/>
    <w:rsid w:val="00283801"/>
    <w:rsid w:val="0028400B"/>
    <w:rsid w:val="00284A6C"/>
    <w:rsid w:val="002861C7"/>
    <w:rsid w:val="00286ACD"/>
    <w:rsid w:val="00286F93"/>
    <w:rsid w:val="00287425"/>
    <w:rsid w:val="00287838"/>
    <w:rsid w:val="0028793C"/>
    <w:rsid w:val="002907B5"/>
    <w:rsid w:val="002914F7"/>
    <w:rsid w:val="00292EB7"/>
    <w:rsid w:val="00294365"/>
    <w:rsid w:val="00296227"/>
    <w:rsid w:val="00296F44"/>
    <w:rsid w:val="0029777D"/>
    <w:rsid w:val="002A055E"/>
    <w:rsid w:val="002A1B48"/>
    <w:rsid w:val="002A1D4E"/>
    <w:rsid w:val="002A207A"/>
    <w:rsid w:val="002A2869"/>
    <w:rsid w:val="002A4968"/>
    <w:rsid w:val="002B1BA6"/>
    <w:rsid w:val="002B24D6"/>
    <w:rsid w:val="002B279B"/>
    <w:rsid w:val="002B5E1B"/>
    <w:rsid w:val="002B7523"/>
    <w:rsid w:val="002B7BF9"/>
    <w:rsid w:val="002B7D2A"/>
    <w:rsid w:val="002C3947"/>
    <w:rsid w:val="002C41E6"/>
    <w:rsid w:val="002C5BA4"/>
    <w:rsid w:val="002C5E1E"/>
    <w:rsid w:val="002D071A"/>
    <w:rsid w:val="002D34B2"/>
    <w:rsid w:val="002D3E31"/>
    <w:rsid w:val="002D7637"/>
    <w:rsid w:val="002E1511"/>
    <w:rsid w:val="002E17F2"/>
    <w:rsid w:val="002E1987"/>
    <w:rsid w:val="002E262E"/>
    <w:rsid w:val="002E2F40"/>
    <w:rsid w:val="002E6563"/>
    <w:rsid w:val="002E7333"/>
    <w:rsid w:val="002E7CAE"/>
    <w:rsid w:val="002F2771"/>
    <w:rsid w:val="002F37A9"/>
    <w:rsid w:val="002F4183"/>
    <w:rsid w:val="002F503E"/>
    <w:rsid w:val="003004C1"/>
    <w:rsid w:val="003009D6"/>
    <w:rsid w:val="00301566"/>
    <w:rsid w:val="00301CE6"/>
    <w:rsid w:val="0030256B"/>
    <w:rsid w:val="00303643"/>
    <w:rsid w:val="00304076"/>
    <w:rsid w:val="00304DA6"/>
    <w:rsid w:val="0030501F"/>
    <w:rsid w:val="00307A0C"/>
    <w:rsid w:val="00307BA1"/>
    <w:rsid w:val="00310546"/>
    <w:rsid w:val="00311702"/>
    <w:rsid w:val="00311D35"/>
    <w:rsid w:val="00311E82"/>
    <w:rsid w:val="00313FD6"/>
    <w:rsid w:val="003143BD"/>
    <w:rsid w:val="003174DD"/>
    <w:rsid w:val="003203ED"/>
    <w:rsid w:val="00322C9F"/>
    <w:rsid w:val="00323BDB"/>
    <w:rsid w:val="00323D59"/>
    <w:rsid w:val="00323FFD"/>
    <w:rsid w:val="00324A50"/>
    <w:rsid w:val="00324D23"/>
    <w:rsid w:val="0033159E"/>
    <w:rsid w:val="00331751"/>
    <w:rsid w:val="003318A1"/>
    <w:rsid w:val="00334579"/>
    <w:rsid w:val="003346C3"/>
    <w:rsid w:val="00335548"/>
    <w:rsid w:val="00335858"/>
    <w:rsid w:val="00336BDA"/>
    <w:rsid w:val="003427D2"/>
    <w:rsid w:val="00342BD7"/>
    <w:rsid w:val="00342EA1"/>
    <w:rsid w:val="003433ED"/>
    <w:rsid w:val="00343A07"/>
    <w:rsid w:val="00346401"/>
    <w:rsid w:val="00346DB5"/>
    <w:rsid w:val="0034702E"/>
    <w:rsid w:val="003477B1"/>
    <w:rsid w:val="003479DD"/>
    <w:rsid w:val="00351ABF"/>
    <w:rsid w:val="003564FF"/>
    <w:rsid w:val="00357380"/>
    <w:rsid w:val="003602D9"/>
    <w:rsid w:val="003604CE"/>
    <w:rsid w:val="0036069B"/>
    <w:rsid w:val="00361BBA"/>
    <w:rsid w:val="00362DBF"/>
    <w:rsid w:val="003663F2"/>
    <w:rsid w:val="00370E47"/>
    <w:rsid w:val="003742AC"/>
    <w:rsid w:val="00375310"/>
    <w:rsid w:val="00377CE1"/>
    <w:rsid w:val="00380810"/>
    <w:rsid w:val="00381BDE"/>
    <w:rsid w:val="00385BF0"/>
    <w:rsid w:val="00387B4F"/>
    <w:rsid w:val="003939FF"/>
    <w:rsid w:val="0039404A"/>
    <w:rsid w:val="00395563"/>
    <w:rsid w:val="00397C8C"/>
    <w:rsid w:val="003A118A"/>
    <w:rsid w:val="003A2223"/>
    <w:rsid w:val="003A2A0F"/>
    <w:rsid w:val="003A45A1"/>
    <w:rsid w:val="003A5B0A"/>
    <w:rsid w:val="003A6BAC"/>
    <w:rsid w:val="003A7EF3"/>
    <w:rsid w:val="003B159C"/>
    <w:rsid w:val="003B1984"/>
    <w:rsid w:val="003B250F"/>
    <w:rsid w:val="003B369F"/>
    <w:rsid w:val="003B36A3"/>
    <w:rsid w:val="003B5F3B"/>
    <w:rsid w:val="003B67F6"/>
    <w:rsid w:val="003B6CB2"/>
    <w:rsid w:val="003B7FE5"/>
    <w:rsid w:val="003C11C8"/>
    <w:rsid w:val="003C2702"/>
    <w:rsid w:val="003C6ABA"/>
    <w:rsid w:val="003C7806"/>
    <w:rsid w:val="003C79EA"/>
    <w:rsid w:val="003D109F"/>
    <w:rsid w:val="003D2478"/>
    <w:rsid w:val="003D3C45"/>
    <w:rsid w:val="003D5A41"/>
    <w:rsid w:val="003D5AC5"/>
    <w:rsid w:val="003D5B1F"/>
    <w:rsid w:val="003E15FA"/>
    <w:rsid w:val="003E3C8C"/>
    <w:rsid w:val="003E55E4"/>
    <w:rsid w:val="003E6598"/>
    <w:rsid w:val="003E6C3E"/>
    <w:rsid w:val="003E74E3"/>
    <w:rsid w:val="003F0423"/>
    <w:rsid w:val="003F05C7"/>
    <w:rsid w:val="003F2CD4"/>
    <w:rsid w:val="003F524A"/>
    <w:rsid w:val="003F6A08"/>
    <w:rsid w:val="003F6BBE"/>
    <w:rsid w:val="003F7E8D"/>
    <w:rsid w:val="004000E8"/>
    <w:rsid w:val="00401FE1"/>
    <w:rsid w:val="004026C3"/>
    <w:rsid w:val="00402E2B"/>
    <w:rsid w:val="00403926"/>
    <w:rsid w:val="0040512B"/>
    <w:rsid w:val="00405CA5"/>
    <w:rsid w:val="00407CD3"/>
    <w:rsid w:val="00410134"/>
    <w:rsid w:val="00410610"/>
    <w:rsid w:val="00410B72"/>
    <w:rsid w:val="00410F18"/>
    <w:rsid w:val="0041263E"/>
    <w:rsid w:val="00413027"/>
    <w:rsid w:val="00413AAC"/>
    <w:rsid w:val="004141B6"/>
    <w:rsid w:val="00415A8D"/>
    <w:rsid w:val="00416F1B"/>
    <w:rsid w:val="00421105"/>
    <w:rsid w:val="004212FC"/>
    <w:rsid w:val="00423418"/>
    <w:rsid w:val="004242F4"/>
    <w:rsid w:val="00427248"/>
    <w:rsid w:val="00431585"/>
    <w:rsid w:val="00432116"/>
    <w:rsid w:val="004321A2"/>
    <w:rsid w:val="00435475"/>
    <w:rsid w:val="00435929"/>
    <w:rsid w:val="00435A67"/>
    <w:rsid w:val="00437447"/>
    <w:rsid w:val="004374B6"/>
    <w:rsid w:val="00437DC8"/>
    <w:rsid w:val="00441939"/>
    <w:rsid w:val="00441A92"/>
    <w:rsid w:val="0044264A"/>
    <w:rsid w:val="004427D4"/>
    <w:rsid w:val="00444F56"/>
    <w:rsid w:val="00446488"/>
    <w:rsid w:val="004469B1"/>
    <w:rsid w:val="00447858"/>
    <w:rsid w:val="004511D7"/>
    <w:rsid w:val="004517AA"/>
    <w:rsid w:val="00451A57"/>
    <w:rsid w:val="0045241B"/>
    <w:rsid w:val="00452CAC"/>
    <w:rsid w:val="00453756"/>
    <w:rsid w:val="00457565"/>
    <w:rsid w:val="00457B71"/>
    <w:rsid w:val="00457DEC"/>
    <w:rsid w:val="004608D2"/>
    <w:rsid w:val="00460F2B"/>
    <w:rsid w:val="0046304E"/>
    <w:rsid w:val="00463401"/>
    <w:rsid w:val="00463576"/>
    <w:rsid w:val="00463E19"/>
    <w:rsid w:val="0046525C"/>
    <w:rsid w:val="004669E2"/>
    <w:rsid w:val="00467DBA"/>
    <w:rsid w:val="00467FE7"/>
    <w:rsid w:val="00470292"/>
    <w:rsid w:val="00470C31"/>
    <w:rsid w:val="00472E9D"/>
    <w:rsid w:val="004734D0"/>
    <w:rsid w:val="004747C8"/>
    <w:rsid w:val="0047556B"/>
    <w:rsid w:val="0047698E"/>
    <w:rsid w:val="00477768"/>
    <w:rsid w:val="00482095"/>
    <w:rsid w:val="00485964"/>
    <w:rsid w:val="00485AF3"/>
    <w:rsid w:val="0048725F"/>
    <w:rsid w:val="004872F3"/>
    <w:rsid w:val="0048794E"/>
    <w:rsid w:val="00492BC5"/>
    <w:rsid w:val="004939AD"/>
    <w:rsid w:val="00493E96"/>
    <w:rsid w:val="0049414E"/>
    <w:rsid w:val="00494356"/>
    <w:rsid w:val="004964F1"/>
    <w:rsid w:val="004A03BA"/>
    <w:rsid w:val="004A16BC"/>
    <w:rsid w:val="004A2B94"/>
    <w:rsid w:val="004A39AF"/>
    <w:rsid w:val="004A3F75"/>
    <w:rsid w:val="004A4440"/>
    <w:rsid w:val="004A4E4E"/>
    <w:rsid w:val="004A5246"/>
    <w:rsid w:val="004B4589"/>
    <w:rsid w:val="004B5452"/>
    <w:rsid w:val="004B7C0C"/>
    <w:rsid w:val="004C2B10"/>
    <w:rsid w:val="004C3898"/>
    <w:rsid w:val="004C3A49"/>
    <w:rsid w:val="004D0C60"/>
    <w:rsid w:val="004D101B"/>
    <w:rsid w:val="004D1E42"/>
    <w:rsid w:val="004D36B1"/>
    <w:rsid w:val="004D42F8"/>
    <w:rsid w:val="004D4506"/>
    <w:rsid w:val="004D51DA"/>
    <w:rsid w:val="004D5365"/>
    <w:rsid w:val="004D73F9"/>
    <w:rsid w:val="004D7EBD"/>
    <w:rsid w:val="004E1C62"/>
    <w:rsid w:val="004E2680"/>
    <w:rsid w:val="004E28F9"/>
    <w:rsid w:val="004E462E"/>
    <w:rsid w:val="004E56DC"/>
    <w:rsid w:val="004E71D1"/>
    <w:rsid w:val="004E76F4"/>
    <w:rsid w:val="004F0B4E"/>
    <w:rsid w:val="004F0B6C"/>
    <w:rsid w:val="004F0F95"/>
    <w:rsid w:val="004F1B48"/>
    <w:rsid w:val="004F2078"/>
    <w:rsid w:val="004F22A5"/>
    <w:rsid w:val="004F4DA3"/>
    <w:rsid w:val="004F74F0"/>
    <w:rsid w:val="004F7F3E"/>
    <w:rsid w:val="005014D7"/>
    <w:rsid w:val="0050181A"/>
    <w:rsid w:val="0050302B"/>
    <w:rsid w:val="00503338"/>
    <w:rsid w:val="00505AD4"/>
    <w:rsid w:val="00506557"/>
    <w:rsid w:val="0050677A"/>
    <w:rsid w:val="00506D78"/>
    <w:rsid w:val="00510594"/>
    <w:rsid w:val="005108D8"/>
    <w:rsid w:val="005116F9"/>
    <w:rsid w:val="00511C37"/>
    <w:rsid w:val="005153A7"/>
    <w:rsid w:val="00516F85"/>
    <w:rsid w:val="005219CF"/>
    <w:rsid w:val="00521DD9"/>
    <w:rsid w:val="005236F9"/>
    <w:rsid w:val="005318D1"/>
    <w:rsid w:val="00534B59"/>
    <w:rsid w:val="00536422"/>
    <w:rsid w:val="00536759"/>
    <w:rsid w:val="005379D3"/>
    <w:rsid w:val="00537C62"/>
    <w:rsid w:val="0054199F"/>
    <w:rsid w:val="005452DA"/>
    <w:rsid w:val="00546970"/>
    <w:rsid w:val="00547F4D"/>
    <w:rsid w:val="00550419"/>
    <w:rsid w:val="00552014"/>
    <w:rsid w:val="00554E19"/>
    <w:rsid w:val="00556E7D"/>
    <w:rsid w:val="00560F2C"/>
    <w:rsid w:val="005610F0"/>
    <w:rsid w:val="0056121F"/>
    <w:rsid w:val="005616C2"/>
    <w:rsid w:val="00563C52"/>
    <w:rsid w:val="005667AB"/>
    <w:rsid w:val="005677A0"/>
    <w:rsid w:val="005679FC"/>
    <w:rsid w:val="005702AE"/>
    <w:rsid w:val="00572505"/>
    <w:rsid w:val="00573B01"/>
    <w:rsid w:val="00576D2E"/>
    <w:rsid w:val="005810C8"/>
    <w:rsid w:val="00582809"/>
    <w:rsid w:val="0058798C"/>
    <w:rsid w:val="005900FA"/>
    <w:rsid w:val="00591E93"/>
    <w:rsid w:val="005926B7"/>
    <w:rsid w:val="005935A4"/>
    <w:rsid w:val="005948C2"/>
    <w:rsid w:val="00595DCA"/>
    <w:rsid w:val="00596317"/>
    <w:rsid w:val="0059670A"/>
    <w:rsid w:val="00597289"/>
    <w:rsid w:val="0059779B"/>
    <w:rsid w:val="005A0B5B"/>
    <w:rsid w:val="005A1310"/>
    <w:rsid w:val="005A209A"/>
    <w:rsid w:val="005A2923"/>
    <w:rsid w:val="005A3FAA"/>
    <w:rsid w:val="005A4A65"/>
    <w:rsid w:val="005A5ED8"/>
    <w:rsid w:val="005A662D"/>
    <w:rsid w:val="005A6DF6"/>
    <w:rsid w:val="005A78D7"/>
    <w:rsid w:val="005B0E0F"/>
    <w:rsid w:val="005B1386"/>
    <w:rsid w:val="005B35D7"/>
    <w:rsid w:val="005B392A"/>
    <w:rsid w:val="005B3AA3"/>
    <w:rsid w:val="005B4551"/>
    <w:rsid w:val="005B4ED9"/>
    <w:rsid w:val="005B6F83"/>
    <w:rsid w:val="005C37B1"/>
    <w:rsid w:val="005C6C51"/>
    <w:rsid w:val="005C7181"/>
    <w:rsid w:val="005C74FB"/>
    <w:rsid w:val="005D1602"/>
    <w:rsid w:val="005D2C0F"/>
    <w:rsid w:val="005D4CD1"/>
    <w:rsid w:val="005D5851"/>
    <w:rsid w:val="005D5EFD"/>
    <w:rsid w:val="005D78C7"/>
    <w:rsid w:val="005D7BDA"/>
    <w:rsid w:val="005D7FA8"/>
    <w:rsid w:val="005E0194"/>
    <w:rsid w:val="005E0D4B"/>
    <w:rsid w:val="005E0E68"/>
    <w:rsid w:val="005E1478"/>
    <w:rsid w:val="005E21F1"/>
    <w:rsid w:val="005E385F"/>
    <w:rsid w:val="005E5749"/>
    <w:rsid w:val="005E5B81"/>
    <w:rsid w:val="005E7E83"/>
    <w:rsid w:val="005F0C67"/>
    <w:rsid w:val="005F2CB1"/>
    <w:rsid w:val="005F3025"/>
    <w:rsid w:val="005F3CF4"/>
    <w:rsid w:val="005F46BD"/>
    <w:rsid w:val="005F5890"/>
    <w:rsid w:val="005F618C"/>
    <w:rsid w:val="005F6404"/>
    <w:rsid w:val="005F6B4E"/>
    <w:rsid w:val="005F70BD"/>
    <w:rsid w:val="00601FB9"/>
    <w:rsid w:val="00602519"/>
    <w:rsid w:val="0060283C"/>
    <w:rsid w:val="00603392"/>
    <w:rsid w:val="00604F14"/>
    <w:rsid w:val="00607190"/>
    <w:rsid w:val="006075B3"/>
    <w:rsid w:val="0060798D"/>
    <w:rsid w:val="0061045A"/>
    <w:rsid w:val="006110EF"/>
    <w:rsid w:val="00611B83"/>
    <w:rsid w:val="00613257"/>
    <w:rsid w:val="00614FBD"/>
    <w:rsid w:val="00615A9E"/>
    <w:rsid w:val="00620A71"/>
    <w:rsid w:val="00620D80"/>
    <w:rsid w:val="006212A9"/>
    <w:rsid w:val="006234A6"/>
    <w:rsid w:val="00624EAB"/>
    <w:rsid w:val="006257CB"/>
    <w:rsid w:val="00627838"/>
    <w:rsid w:val="00630001"/>
    <w:rsid w:val="006311B3"/>
    <w:rsid w:val="006315B1"/>
    <w:rsid w:val="0063284C"/>
    <w:rsid w:val="0063326F"/>
    <w:rsid w:val="00636398"/>
    <w:rsid w:val="006368D3"/>
    <w:rsid w:val="006377EC"/>
    <w:rsid w:val="00640549"/>
    <w:rsid w:val="00640E48"/>
    <w:rsid w:val="0064151F"/>
    <w:rsid w:val="00641533"/>
    <w:rsid w:val="0064208D"/>
    <w:rsid w:val="00643475"/>
    <w:rsid w:val="0064396A"/>
    <w:rsid w:val="00643AF5"/>
    <w:rsid w:val="006444DC"/>
    <w:rsid w:val="00644E9A"/>
    <w:rsid w:val="0064624E"/>
    <w:rsid w:val="0064652E"/>
    <w:rsid w:val="00647F3C"/>
    <w:rsid w:val="00650AB9"/>
    <w:rsid w:val="00655733"/>
    <w:rsid w:val="00655ACD"/>
    <w:rsid w:val="00655CCB"/>
    <w:rsid w:val="006568EC"/>
    <w:rsid w:val="00656A92"/>
    <w:rsid w:val="00656DDE"/>
    <w:rsid w:val="0066011D"/>
    <w:rsid w:val="006607C0"/>
    <w:rsid w:val="00660E0D"/>
    <w:rsid w:val="006613A6"/>
    <w:rsid w:val="006627A2"/>
    <w:rsid w:val="006634E6"/>
    <w:rsid w:val="00664859"/>
    <w:rsid w:val="00664874"/>
    <w:rsid w:val="006655EE"/>
    <w:rsid w:val="00667EE7"/>
    <w:rsid w:val="00670922"/>
    <w:rsid w:val="00670BE1"/>
    <w:rsid w:val="00670F89"/>
    <w:rsid w:val="00671385"/>
    <w:rsid w:val="0067218F"/>
    <w:rsid w:val="006724E2"/>
    <w:rsid w:val="006741F2"/>
    <w:rsid w:val="00674CC3"/>
    <w:rsid w:val="00675C72"/>
    <w:rsid w:val="006771D7"/>
    <w:rsid w:val="006771F9"/>
    <w:rsid w:val="00677605"/>
    <w:rsid w:val="006776D7"/>
    <w:rsid w:val="00681003"/>
    <w:rsid w:val="006817C9"/>
    <w:rsid w:val="00683463"/>
    <w:rsid w:val="00683ECE"/>
    <w:rsid w:val="006840AE"/>
    <w:rsid w:val="00685867"/>
    <w:rsid w:val="00690296"/>
    <w:rsid w:val="00692DB8"/>
    <w:rsid w:val="00692F6B"/>
    <w:rsid w:val="00693147"/>
    <w:rsid w:val="006946B9"/>
    <w:rsid w:val="0069492C"/>
    <w:rsid w:val="00695FC2"/>
    <w:rsid w:val="00696949"/>
    <w:rsid w:val="00697052"/>
    <w:rsid w:val="00697377"/>
    <w:rsid w:val="00697CD4"/>
    <w:rsid w:val="006A4046"/>
    <w:rsid w:val="006A46FB"/>
    <w:rsid w:val="006A5E28"/>
    <w:rsid w:val="006A6588"/>
    <w:rsid w:val="006A697B"/>
    <w:rsid w:val="006A7AFF"/>
    <w:rsid w:val="006B0665"/>
    <w:rsid w:val="006B10A7"/>
    <w:rsid w:val="006B1816"/>
    <w:rsid w:val="006B2099"/>
    <w:rsid w:val="006B41B9"/>
    <w:rsid w:val="006B50CF"/>
    <w:rsid w:val="006B5AE5"/>
    <w:rsid w:val="006B5B0F"/>
    <w:rsid w:val="006C03B8"/>
    <w:rsid w:val="006C16C7"/>
    <w:rsid w:val="006C5EC9"/>
    <w:rsid w:val="006C6059"/>
    <w:rsid w:val="006C716E"/>
    <w:rsid w:val="006C7522"/>
    <w:rsid w:val="006D0313"/>
    <w:rsid w:val="006D0B60"/>
    <w:rsid w:val="006D2488"/>
    <w:rsid w:val="006D6F08"/>
    <w:rsid w:val="006D7F84"/>
    <w:rsid w:val="006E062C"/>
    <w:rsid w:val="006E0720"/>
    <w:rsid w:val="006E13D1"/>
    <w:rsid w:val="006E277B"/>
    <w:rsid w:val="006E28B7"/>
    <w:rsid w:val="006E3310"/>
    <w:rsid w:val="006E4E39"/>
    <w:rsid w:val="006E565E"/>
    <w:rsid w:val="006E673D"/>
    <w:rsid w:val="006E6DEC"/>
    <w:rsid w:val="006E7D3B"/>
    <w:rsid w:val="006E7DEF"/>
    <w:rsid w:val="006F0D24"/>
    <w:rsid w:val="006F1B70"/>
    <w:rsid w:val="006F341D"/>
    <w:rsid w:val="006F34D5"/>
    <w:rsid w:val="006F3CDE"/>
    <w:rsid w:val="006F4AE7"/>
    <w:rsid w:val="006F58D4"/>
    <w:rsid w:val="0070346E"/>
    <w:rsid w:val="0070397D"/>
    <w:rsid w:val="00704D44"/>
    <w:rsid w:val="00704EDB"/>
    <w:rsid w:val="007059D5"/>
    <w:rsid w:val="00706101"/>
    <w:rsid w:val="00707072"/>
    <w:rsid w:val="00707D61"/>
    <w:rsid w:val="00712287"/>
    <w:rsid w:val="00712772"/>
    <w:rsid w:val="007129AD"/>
    <w:rsid w:val="007138AD"/>
    <w:rsid w:val="007140C9"/>
    <w:rsid w:val="007148D3"/>
    <w:rsid w:val="00715B9A"/>
    <w:rsid w:val="007163F8"/>
    <w:rsid w:val="00722139"/>
    <w:rsid w:val="00724D50"/>
    <w:rsid w:val="00726EA6"/>
    <w:rsid w:val="00727208"/>
    <w:rsid w:val="0072722F"/>
    <w:rsid w:val="00727680"/>
    <w:rsid w:val="00732461"/>
    <w:rsid w:val="00732ABB"/>
    <w:rsid w:val="00733FEE"/>
    <w:rsid w:val="007348B1"/>
    <w:rsid w:val="007362A6"/>
    <w:rsid w:val="00736D7D"/>
    <w:rsid w:val="00740E58"/>
    <w:rsid w:val="00741407"/>
    <w:rsid w:val="00743772"/>
    <w:rsid w:val="00743777"/>
    <w:rsid w:val="007445A0"/>
    <w:rsid w:val="00744FA2"/>
    <w:rsid w:val="0074524B"/>
    <w:rsid w:val="00747D8B"/>
    <w:rsid w:val="00751228"/>
    <w:rsid w:val="00752DB1"/>
    <w:rsid w:val="00753680"/>
    <w:rsid w:val="00756A21"/>
    <w:rsid w:val="007571E1"/>
    <w:rsid w:val="007604B2"/>
    <w:rsid w:val="007612EF"/>
    <w:rsid w:val="007651C6"/>
    <w:rsid w:val="00765281"/>
    <w:rsid w:val="00766BAD"/>
    <w:rsid w:val="007700AB"/>
    <w:rsid w:val="00771F03"/>
    <w:rsid w:val="007730BD"/>
    <w:rsid w:val="00773D35"/>
    <w:rsid w:val="007755F2"/>
    <w:rsid w:val="0077570B"/>
    <w:rsid w:val="00776870"/>
    <w:rsid w:val="00776971"/>
    <w:rsid w:val="0077737E"/>
    <w:rsid w:val="007800C2"/>
    <w:rsid w:val="0078049C"/>
    <w:rsid w:val="0078177E"/>
    <w:rsid w:val="007820EF"/>
    <w:rsid w:val="0078304C"/>
    <w:rsid w:val="00783673"/>
    <w:rsid w:val="00783D43"/>
    <w:rsid w:val="00785490"/>
    <w:rsid w:val="00790B00"/>
    <w:rsid w:val="007917DF"/>
    <w:rsid w:val="007925EA"/>
    <w:rsid w:val="0079279A"/>
    <w:rsid w:val="00793CD8"/>
    <w:rsid w:val="00794126"/>
    <w:rsid w:val="00795C92"/>
    <w:rsid w:val="00796231"/>
    <w:rsid w:val="007A1CB3"/>
    <w:rsid w:val="007A306F"/>
    <w:rsid w:val="007A3415"/>
    <w:rsid w:val="007A43A6"/>
    <w:rsid w:val="007A4A19"/>
    <w:rsid w:val="007A4D6A"/>
    <w:rsid w:val="007A4FAD"/>
    <w:rsid w:val="007A58A6"/>
    <w:rsid w:val="007A5D6A"/>
    <w:rsid w:val="007B0CA5"/>
    <w:rsid w:val="007B0E9E"/>
    <w:rsid w:val="007B1549"/>
    <w:rsid w:val="007B1A19"/>
    <w:rsid w:val="007B23FF"/>
    <w:rsid w:val="007B3D2D"/>
    <w:rsid w:val="007B3FC4"/>
    <w:rsid w:val="007B4AED"/>
    <w:rsid w:val="007B50AE"/>
    <w:rsid w:val="007B51DF"/>
    <w:rsid w:val="007B65AC"/>
    <w:rsid w:val="007C05DD"/>
    <w:rsid w:val="007C3D18"/>
    <w:rsid w:val="007C60BF"/>
    <w:rsid w:val="007C6A07"/>
    <w:rsid w:val="007C6CA4"/>
    <w:rsid w:val="007C75A1"/>
    <w:rsid w:val="007C77A5"/>
    <w:rsid w:val="007D04E5"/>
    <w:rsid w:val="007D1AB5"/>
    <w:rsid w:val="007D1ACC"/>
    <w:rsid w:val="007D363C"/>
    <w:rsid w:val="007D51E4"/>
    <w:rsid w:val="007D5901"/>
    <w:rsid w:val="007D5ADC"/>
    <w:rsid w:val="007D7526"/>
    <w:rsid w:val="007E21E6"/>
    <w:rsid w:val="007E4610"/>
    <w:rsid w:val="007E4715"/>
    <w:rsid w:val="007E505B"/>
    <w:rsid w:val="007E5AB2"/>
    <w:rsid w:val="007E5F74"/>
    <w:rsid w:val="007E61A1"/>
    <w:rsid w:val="007E638D"/>
    <w:rsid w:val="007E7091"/>
    <w:rsid w:val="007E75D7"/>
    <w:rsid w:val="007E78D9"/>
    <w:rsid w:val="007F2645"/>
    <w:rsid w:val="007F32BA"/>
    <w:rsid w:val="007F68C9"/>
    <w:rsid w:val="007F792F"/>
    <w:rsid w:val="00800F07"/>
    <w:rsid w:val="008021B1"/>
    <w:rsid w:val="00803FAE"/>
    <w:rsid w:val="0080605F"/>
    <w:rsid w:val="00806C52"/>
    <w:rsid w:val="00807786"/>
    <w:rsid w:val="00810228"/>
    <w:rsid w:val="00811153"/>
    <w:rsid w:val="00811FCB"/>
    <w:rsid w:val="00813E2C"/>
    <w:rsid w:val="008143D8"/>
    <w:rsid w:val="008158D6"/>
    <w:rsid w:val="008169A1"/>
    <w:rsid w:val="00817196"/>
    <w:rsid w:val="00820B5D"/>
    <w:rsid w:val="008235DB"/>
    <w:rsid w:val="00823AB1"/>
    <w:rsid w:val="00824870"/>
    <w:rsid w:val="00824AB4"/>
    <w:rsid w:val="00825493"/>
    <w:rsid w:val="00825C42"/>
    <w:rsid w:val="00825D25"/>
    <w:rsid w:val="00827D6F"/>
    <w:rsid w:val="00831116"/>
    <w:rsid w:val="00833AF3"/>
    <w:rsid w:val="008344BF"/>
    <w:rsid w:val="00834AAD"/>
    <w:rsid w:val="008376AC"/>
    <w:rsid w:val="00840139"/>
    <w:rsid w:val="00840431"/>
    <w:rsid w:val="00843C3D"/>
    <w:rsid w:val="00843E49"/>
    <w:rsid w:val="008444E8"/>
    <w:rsid w:val="00844E80"/>
    <w:rsid w:val="00846FE7"/>
    <w:rsid w:val="00847996"/>
    <w:rsid w:val="00850AC3"/>
    <w:rsid w:val="008520DE"/>
    <w:rsid w:val="00856260"/>
    <w:rsid w:val="00856911"/>
    <w:rsid w:val="00862AC6"/>
    <w:rsid w:val="00864111"/>
    <w:rsid w:val="0086726E"/>
    <w:rsid w:val="008677FD"/>
    <w:rsid w:val="008706D4"/>
    <w:rsid w:val="00870F8A"/>
    <w:rsid w:val="00871121"/>
    <w:rsid w:val="008719A4"/>
    <w:rsid w:val="00871D23"/>
    <w:rsid w:val="00874312"/>
    <w:rsid w:val="0087437C"/>
    <w:rsid w:val="00875CD7"/>
    <w:rsid w:val="00876B4D"/>
    <w:rsid w:val="00877F18"/>
    <w:rsid w:val="00880BDC"/>
    <w:rsid w:val="00883DA6"/>
    <w:rsid w:val="00884B23"/>
    <w:rsid w:val="008852C3"/>
    <w:rsid w:val="008866CA"/>
    <w:rsid w:val="008868F1"/>
    <w:rsid w:val="008906BB"/>
    <w:rsid w:val="00894052"/>
    <w:rsid w:val="00894A88"/>
    <w:rsid w:val="00895386"/>
    <w:rsid w:val="008959BE"/>
    <w:rsid w:val="00895CCD"/>
    <w:rsid w:val="0089784C"/>
    <w:rsid w:val="008A0910"/>
    <w:rsid w:val="008A21FF"/>
    <w:rsid w:val="008A2CE2"/>
    <w:rsid w:val="008A30AC"/>
    <w:rsid w:val="008A338A"/>
    <w:rsid w:val="008A3749"/>
    <w:rsid w:val="008A422B"/>
    <w:rsid w:val="008A44B8"/>
    <w:rsid w:val="008A51A8"/>
    <w:rsid w:val="008A5314"/>
    <w:rsid w:val="008A54C7"/>
    <w:rsid w:val="008A6871"/>
    <w:rsid w:val="008A77D8"/>
    <w:rsid w:val="008B0483"/>
    <w:rsid w:val="008B120C"/>
    <w:rsid w:val="008B3A29"/>
    <w:rsid w:val="008B46AC"/>
    <w:rsid w:val="008B4B87"/>
    <w:rsid w:val="008B51A0"/>
    <w:rsid w:val="008B592A"/>
    <w:rsid w:val="008B602E"/>
    <w:rsid w:val="008B6448"/>
    <w:rsid w:val="008B7B5C"/>
    <w:rsid w:val="008C0C99"/>
    <w:rsid w:val="008C2017"/>
    <w:rsid w:val="008C2BE1"/>
    <w:rsid w:val="008C4958"/>
    <w:rsid w:val="008C4BAA"/>
    <w:rsid w:val="008C504B"/>
    <w:rsid w:val="008C6AE8"/>
    <w:rsid w:val="008C703C"/>
    <w:rsid w:val="008C7573"/>
    <w:rsid w:val="008D0773"/>
    <w:rsid w:val="008D28E1"/>
    <w:rsid w:val="008D34F1"/>
    <w:rsid w:val="008D39D8"/>
    <w:rsid w:val="008D3B50"/>
    <w:rsid w:val="008D4D2F"/>
    <w:rsid w:val="008D6D1A"/>
    <w:rsid w:val="008E065E"/>
    <w:rsid w:val="008E0927"/>
    <w:rsid w:val="008E0F2C"/>
    <w:rsid w:val="008E1909"/>
    <w:rsid w:val="008E34D0"/>
    <w:rsid w:val="008E6C55"/>
    <w:rsid w:val="008E6D17"/>
    <w:rsid w:val="008E6DDF"/>
    <w:rsid w:val="008F18C5"/>
    <w:rsid w:val="008F1EAB"/>
    <w:rsid w:val="008F33DC"/>
    <w:rsid w:val="008F3BC4"/>
    <w:rsid w:val="008F477F"/>
    <w:rsid w:val="008F4D4E"/>
    <w:rsid w:val="008F5899"/>
    <w:rsid w:val="00902350"/>
    <w:rsid w:val="009025CC"/>
    <w:rsid w:val="0090336B"/>
    <w:rsid w:val="009053AA"/>
    <w:rsid w:val="00905D1C"/>
    <w:rsid w:val="0090616A"/>
    <w:rsid w:val="00906939"/>
    <w:rsid w:val="0090756C"/>
    <w:rsid w:val="00910B7D"/>
    <w:rsid w:val="00910D37"/>
    <w:rsid w:val="00911A24"/>
    <w:rsid w:val="00911DFB"/>
    <w:rsid w:val="00912661"/>
    <w:rsid w:val="00912775"/>
    <w:rsid w:val="00912912"/>
    <w:rsid w:val="009139D9"/>
    <w:rsid w:val="00913C95"/>
    <w:rsid w:val="00914AD8"/>
    <w:rsid w:val="00916079"/>
    <w:rsid w:val="0091694E"/>
    <w:rsid w:val="00916EF3"/>
    <w:rsid w:val="00917CE9"/>
    <w:rsid w:val="00920BF2"/>
    <w:rsid w:val="00922010"/>
    <w:rsid w:val="009220E7"/>
    <w:rsid w:val="00922682"/>
    <w:rsid w:val="00922BC1"/>
    <w:rsid w:val="00925032"/>
    <w:rsid w:val="00926863"/>
    <w:rsid w:val="009316A5"/>
    <w:rsid w:val="00931BD9"/>
    <w:rsid w:val="00934D62"/>
    <w:rsid w:val="009368F3"/>
    <w:rsid w:val="00941636"/>
    <w:rsid w:val="00943742"/>
    <w:rsid w:val="00945C05"/>
    <w:rsid w:val="00945CD0"/>
    <w:rsid w:val="00946945"/>
    <w:rsid w:val="00947713"/>
    <w:rsid w:val="00947A48"/>
    <w:rsid w:val="00947AA8"/>
    <w:rsid w:val="00950DE7"/>
    <w:rsid w:val="00953920"/>
    <w:rsid w:val="00953BD8"/>
    <w:rsid w:val="00953D47"/>
    <w:rsid w:val="00955D88"/>
    <w:rsid w:val="0095681E"/>
    <w:rsid w:val="009572D4"/>
    <w:rsid w:val="0096038E"/>
    <w:rsid w:val="00961921"/>
    <w:rsid w:val="00963DA6"/>
    <w:rsid w:val="0096430A"/>
    <w:rsid w:val="0096554B"/>
    <w:rsid w:val="0096584A"/>
    <w:rsid w:val="00970244"/>
    <w:rsid w:val="00971F08"/>
    <w:rsid w:val="009732DD"/>
    <w:rsid w:val="00974AAF"/>
    <w:rsid w:val="0097603D"/>
    <w:rsid w:val="00976949"/>
    <w:rsid w:val="00976F75"/>
    <w:rsid w:val="00977608"/>
    <w:rsid w:val="00980477"/>
    <w:rsid w:val="00985253"/>
    <w:rsid w:val="009853B3"/>
    <w:rsid w:val="00986387"/>
    <w:rsid w:val="00990630"/>
    <w:rsid w:val="00990FFC"/>
    <w:rsid w:val="00991761"/>
    <w:rsid w:val="00991EAA"/>
    <w:rsid w:val="00994DCA"/>
    <w:rsid w:val="009960EC"/>
    <w:rsid w:val="009970DD"/>
    <w:rsid w:val="009A0FBA"/>
    <w:rsid w:val="009A1012"/>
    <w:rsid w:val="009A1601"/>
    <w:rsid w:val="009A3600"/>
    <w:rsid w:val="009A462D"/>
    <w:rsid w:val="009A4D86"/>
    <w:rsid w:val="009A50D9"/>
    <w:rsid w:val="009A5CBA"/>
    <w:rsid w:val="009B0589"/>
    <w:rsid w:val="009B1F30"/>
    <w:rsid w:val="009B3AC2"/>
    <w:rsid w:val="009B3C6E"/>
    <w:rsid w:val="009B440A"/>
    <w:rsid w:val="009B4DF4"/>
    <w:rsid w:val="009B564E"/>
    <w:rsid w:val="009B64E5"/>
    <w:rsid w:val="009B6D3A"/>
    <w:rsid w:val="009B6E55"/>
    <w:rsid w:val="009B7525"/>
    <w:rsid w:val="009B7E87"/>
    <w:rsid w:val="009C0729"/>
    <w:rsid w:val="009C3893"/>
    <w:rsid w:val="009C403E"/>
    <w:rsid w:val="009C5729"/>
    <w:rsid w:val="009C60AA"/>
    <w:rsid w:val="009C68C6"/>
    <w:rsid w:val="009C7097"/>
    <w:rsid w:val="009D0B91"/>
    <w:rsid w:val="009D245D"/>
    <w:rsid w:val="009D351C"/>
    <w:rsid w:val="009D4FF0"/>
    <w:rsid w:val="009D6EC2"/>
    <w:rsid w:val="009D703C"/>
    <w:rsid w:val="009D718F"/>
    <w:rsid w:val="009E068F"/>
    <w:rsid w:val="009E0DE0"/>
    <w:rsid w:val="009E115A"/>
    <w:rsid w:val="009E14E0"/>
    <w:rsid w:val="009E1659"/>
    <w:rsid w:val="009E35DB"/>
    <w:rsid w:val="009E3845"/>
    <w:rsid w:val="009E47A3"/>
    <w:rsid w:val="009E497E"/>
    <w:rsid w:val="009E668B"/>
    <w:rsid w:val="009F08F3"/>
    <w:rsid w:val="009F28AB"/>
    <w:rsid w:val="009F344F"/>
    <w:rsid w:val="009F3519"/>
    <w:rsid w:val="009F3E76"/>
    <w:rsid w:val="009F480A"/>
    <w:rsid w:val="009F4DF2"/>
    <w:rsid w:val="00A00FA1"/>
    <w:rsid w:val="00A01100"/>
    <w:rsid w:val="00A048A8"/>
    <w:rsid w:val="00A04F49"/>
    <w:rsid w:val="00A0657E"/>
    <w:rsid w:val="00A073C9"/>
    <w:rsid w:val="00A075F2"/>
    <w:rsid w:val="00A11870"/>
    <w:rsid w:val="00A12AA2"/>
    <w:rsid w:val="00A13E54"/>
    <w:rsid w:val="00A14A27"/>
    <w:rsid w:val="00A17F63"/>
    <w:rsid w:val="00A2193B"/>
    <w:rsid w:val="00A23284"/>
    <w:rsid w:val="00A23371"/>
    <w:rsid w:val="00A2351A"/>
    <w:rsid w:val="00A247D5"/>
    <w:rsid w:val="00A25A2C"/>
    <w:rsid w:val="00A25C4C"/>
    <w:rsid w:val="00A264A9"/>
    <w:rsid w:val="00A27785"/>
    <w:rsid w:val="00A30187"/>
    <w:rsid w:val="00A3213D"/>
    <w:rsid w:val="00A3448A"/>
    <w:rsid w:val="00A36297"/>
    <w:rsid w:val="00A362D9"/>
    <w:rsid w:val="00A41395"/>
    <w:rsid w:val="00A41E2B"/>
    <w:rsid w:val="00A45B74"/>
    <w:rsid w:val="00A46AB9"/>
    <w:rsid w:val="00A50C87"/>
    <w:rsid w:val="00A5130E"/>
    <w:rsid w:val="00A52E1D"/>
    <w:rsid w:val="00A5732E"/>
    <w:rsid w:val="00A61499"/>
    <w:rsid w:val="00A61DC5"/>
    <w:rsid w:val="00A62A77"/>
    <w:rsid w:val="00A63483"/>
    <w:rsid w:val="00A657D7"/>
    <w:rsid w:val="00A660AC"/>
    <w:rsid w:val="00A6729D"/>
    <w:rsid w:val="00A67E6C"/>
    <w:rsid w:val="00A70711"/>
    <w:rsid w:val="00A71B99"/>
    <w:rsid w:val="00A737D6"/>
    <w:rsid w:val="00A739D0"/>
    <w:rsid w:val="00A74750"/>
    <w:rsid w:val="00A761D4"/>
    <w:rsid w:val="00A77EC4"/>
    <w:rsid w:val="00A8018E"/>
    <w:rsid w:val="00A80742"/>
    <w:rsid w:val="00A84A7E"/>
    <w:rsid w:val="00A861BC"/>
    <w:rsid w:val="00A86963"/>
    <w:rsid w:val="00A871B9"/>
    <w:rsid w:val="00A90211"/>
    <w:rsid w:val="00A905AD"/>
    <w:rsid w:val="00A90C92"/>
    <w:rsid w:val="00A920FA"/>
    <w:rsid w:val="00A92325"/>
    <w:rsid w:val="00A92879"/>
    <w:rsid w:val="00A935B0"/>
    <w:rsid w:val="00A938C4"/>
    <w:rsid w:val="00A94401"/>
    <w:rsid w:val="00A9442A"/>
    <w:rsid w:val="00A94E30"/>
    <w:rsid w:val="00AA016F"/>
    <w:rsid w:val="00AA1D23"/>
    <w:rsid w:val="00AA1ED6"/>
    <w:rsid w:val="00AA4B15"/>
    <w:rsid w:val="00AA51D6"/>
    <w:rsid w:val="00AA645E"/>
    <w:rsid w:val="00AA78B9"/>
    <w:rsid w:val="00AA7E73"/>
    <w:rsid w:val="00AB0B49"/>
    <w:rsid w:val="00AB0BC8"/>
    <w:rsid w:val="00AB11CA"/>
    <w:rsid w:val="00AB124D"/>
    <w:rsid w:val="00AB14D9"/>
    <w:rsid w:val="00AB1D1B"/>
    <w:rsid w:val="00AB1ECD"/>
    <w:rsid w:val="00AB2808"/>
    <w:rsid w:val="00AB4AB8"/>
    <w:rsid w:val="00AB655E"/>
    <w:rsid w:val="00AC007F"/>
    <w:rsid w:val="00AC0662"/>
    <w:rsid w:val="00AC0EAC"/>
    <w:rsid w:val="00AC1F92"/>
    <w:rsid w:val="00AC2ECD"/>
    <w:rsid w:val="00AC3119"/>
    <w:rsid w:val="00AC49FB"/>
    <w:rsid w:val="00AC5A10"/>
    <w:rsid w:val="00AC5AB2"/>
    <w:rsid w:val="00AD0AA3"/>
    <w:rsid w:val="00AD1710"/>
    <w:rsid w:val="00AD3F94"/>
    <w:rsid w:val="00AD4A5A"/>
    <w:rsid w:val="00AE2043"/>
    <w:rsid w:val="00AE27AC"/>
    <w:rsid w:val="00AE2834"/>
    <w:rsid w:val="00AE35C2"/>
    <w:rsid w:val="00AE40E0"/>
    <w:rsid w:val="00AE430A"/>
    <w:rsid w:val="00AE4DBA"/>
    <w:rsid w:val="00AE4F07"/>
    <w:rsid w:val="00AF1C5D"/>
    <w:rsid w:val="00AF1EAA"/>
    <w:rsid w:val="00AF1EBA"/>
    <w:rsid w:val="00AF200D"/>
    <w:rsid w:val="00AF3A37"/>
    <w:rsid w:val="00AF42D7"/>
    <w:rsid w:val="00B006FE"/>
    <w:rsid w:val="00B007CB"/>
    <w:rsid w:val="00B00E3D"/>
    <w:rsid w:val="00B0162F"/>
    <w:rsid w:val="00B016AA"/>
    <w:rsid w:val="00B02AA9"/>
    <w:rsid w:val="00B02FA3"/>
    <w:rsid w:val="00B05084"/>
    <w:rsid w:val="00B11536"/>
    <w:rsid w:val="00B120E4"/>
    <w:rsid w:val="00B12335"/>
    <w:rsid w:val="00B157F9"/>
    <w:rsid w:val="00B1702E"/>
    <w:rsid w:val="00B20256"/>
    <w:rsid w:val="00B205D0"/>
    <w:rsid w:val="00B20D09"/>
    <w:rsid w:val="00B20D52"/>
    <w:rsid w:val="00B2177C"/>
    <w:rsid w:val="00B233D5"/>
    <w:rsid w:val="00B24A9F"/>
    <w:rsid w:val="00B264E4"/>
    <w:rsid w:val="00B2668A"/>
    <w:rsid w:val="00B2763F"/>
    <w:rsid w:val="00B27AAC"/>
    <w:rsid w:val="00B27CB2"/>
    <w:rsid w:val="00B304F3"/>
    <w:rsid w:val="00B30693"/>
    <w:rsid w:val="00B30929"/>
    <w:rsid w:val="00B31B12"/>
    <w:rsid w:val="00B31D58"/>
    <w:rsid w:val="00B362FD"/>
    <w:rsid w:val="00B372AA"/>
    <w:rsid w:val="00B401E8"/>
    <w:rsid w:val="00B40445"/>
    <w:rsid w:val="00B40BEF"/>
    <w:rsid w:val="00B41888"/>
    <w:rsid w:val="00B45A52"/>
    <w:rsid w:val="00B46175"/>
    <w:rsid w:val="00B4647B"/>
    <w:rsid w:val="00B47D59"/>
    <w:rsid w:val="00B51247"/>
    <w:rsid w:val="00B516B9"/>
    <w:rsid w:val="00B56382"/>
    <w:rsid w:val="00B5708D"/>
    <w:rsid w:val="00B60040"/>
    <w:rsid w:val="00B61099"/>
    <w:rsid w:val="00B6188F"/>
    <w:rsid w:val="00B62DD3"/>
    <w:rsid w:val="00B640F3"/>
    <w:rsid w:val="00B64EE4"/>
    <w:rsid w:val="00B664C7"/>
    <w:rsid w:val="00B670E0"/>
    <w:rsid w:val="00B736A9"/>
    <w:rsid w:val="00B739F6"/>
    <w:rsid w:val="00B75816"/>
    <w:rsid w:val="00B80665"/>
    <w:rsid w:val="00B81A6C"/>
    <w:rsid w:val="00B81D97"/>
    <w:rsid w:val="00B85DE5"/>
    <w:rsid w:val="00B90F73"/>
    <w:rsid w:val="00B91EA5"/>
    <w:rsid w:val="00B92F41"/>
    <w:rsid w:val="00B93025"/>
    <w:rsid w:val="00B93B59"/>
    <w:rsid w:val="00B9406A"/>
    <w:rsid w:val="00B94823"/>
    <w:rsid w:val="00B95CD1"/>
    <w:rsid w:val="00B96520"/>
    <w:rsid w:val="00B97752"/>
    <w:rsid w:val="00BA2280"/>
    <w:rsid w:val="00BA2A08"/>
    <w:rsid w:val="00BA4AE3"/>
    <w:rsid w:val="00BA4BF6"/>
    <w:rsid w:val="00BA56D2"/>
    <w:rsid w:val="00BA76E0"/>
    <w:rsid w:val="00BA7CB1"/>
    <w:rsid w:val="00BB2A25"/>
    <w:rsid w:val="00BB2BB3"/>
    <w:rsid w:val="00BB431B"/>
    <w:rsid w:val="00BB51E9"/>
    <w:rsid w:val="00BB7AD1"/>
    <w:rsid w:val="00BC0FDC"/>
    <w:rsid w:val="00BC241F"/>
    <w:rsid w:val="00BC2B5F"/>
    <w:rsid w:val="00BC3053"/>
    <w:rsid w:val="00BC307D"/>
    <w:rsid w:val="00BC44B9"/>
    <w:rsid w:val="00BC4D2E"/>
    <w:rsid w:val="00BC64B4"/>
    <w:rsid w:val="00BC6A79"/>
    <w:rsid w:val="00BC7C9D"/>
    <w:rsid w:val="00BD03D0"/>
    <w:rsid w:val="00BD2E4B"/>
    <w:rsid w:val="00BD3DCB"/>
    <w:rsid w:val="00BD48AC"/>
    <w:rsid w:val="00BD5F1A"/>
    <w:rsid w:val="00BE1234"/>
    <w:rsid w:val="00BE2FA6"/>
    <w:rsid w:val="00BE333F"/>
    <w:rsid w:val="00BE370C"/>
    <w:rsid w:val="00BE4D0D"/>
    <w:rsid w:val="00BE6171"/>
    <w:rsid w:val="00BE67AB"/>
    <w:rsid w:val="00BE7406"/>
    <w:rsid w:val="00BE7603"/>
    <w:rsid w:val="00BF2BF8"/>
    <w:rsid w:val="00BF3279"/>
    <w:rsid w:val="00BF4584"/>
    <w:rsid w:val="00BF74C7"/>
    <w:rsid w:val="00C015F1"/>
    <w:rsid w:val="00C01F33"/>
    <w:rsid w:val="00C02CC6"/>
    <w:rsid w:val="00C0394E"/>
    <w:rsid w:val="00C040F7"/>
    <w:rsid w:val="00C041B0"/>
    <w:rsid w:val="00C044AB"/>
    <w:rsid w:val="00C05706"/>
    <w:rsid w:val="00C07114"/>
    <w:rsid w:val="00C07377"/>
    <w:rsid w:val="00C10478"/>
    <w:rsid w:val="00C12107"/>
    <w:rsid w:val="00C129F5"/>
    <w:rsid w:val="00C146E9"/>
    <w:rsid w:val="00C14D4B"/>
    <w:rsid w:val="00C154BB"/>
    <w:rsid w:val="00C16DB4"/>
    <w:rsid w:val="00C1767C"/>
    <w:rsid w:val="00C22A35"/>
    <w:rsid w:val="00C2333C"/>
    <w:rsid w:val="00C24CC7"/>
    <w:rsid w:val="00C279B5"/>
    <w:rsid w:val="00C27C45"/>
    <w:rsid w:val="00C30097"/>
    <w:rsid w:val="00C30EAC"/>
    <w:rsid w:val="00C33F54"/>
    <w:rsid w:val="00C36C5E"/>
    <w:rsid w:val="00C3719D"/>
    <w:rsid w:val="00C37FFD"/>
    <w:rsid w:val="00C4449D"/>
    <w:rsid w:val="00C44FA3"/>
    <w:rsid w:val="00C460B0"/>
    <w:rsid w:val="00C471E9"/>
    <w:rsid w:val="00C47E5F"/>
    <w:rsid w:val="00C50EE1"/>
    <w:rsid w:val="00C52E84"/>
    <w:rsid w:val="00C538D1"/>
    <w:rsid w:val="00C54995"/>
    <w:rsid w:val="00C54D41"/>
    <w:rsid w:val="00C60783"/>
    <w:rsid w:val="00C60C57"/>
    <w:rsid w:val="00C641EA"/>
    <w:rsid w:val="00C64672"/>
    <w:rsid w:val="00C64721"/>
    <w:rsid w:val="00C64ACA"/>
    <w:rsid w:val="00C64ADF"/>
    <w:rsid w:val="00C666B5"/>
    <w:rsid w:val="00C67DD8"/>
    <w:rsid w:val="00C70697"/>
    <w:rsid w:val="00C7260F"/>
    <w:rsid w:val="00C72971"/>
    <w:rsid w:val="00C72EF4"/>
    <w:rsid w:val="00C75D2F"/>
    <w:rsid w:val="00C75F51"/>
    <w:rsid w:val="00C767BE"/>
    <w:rsid w:val="00C76E3C"/>
    <w:rsid w:val="00C81568"/>
    <w:rsid w:val="00C81A68"/>
    <w:rsid w:val="00C82E34"/>
    <w:rsid w:val="00C9027A"/>
    <w:rsid w:val="00C9068E"/>
    <w:rsid w:val="00C93C4B"/>
    <w:rsid w:val="00C944AB"/>
    <w:rsid w:val="00C95A43"/>
    <w:rsid w:val="00C95B40"/>
    <w:rsid w:val="00CA14E1"/>
    <w:rsid w:val="00CA1ED8"/>
    <w:rsid w:val="00CA3B3D"/>
    <w:rsid w:val="00CA5B6C"/>
    <w:rsid w:val="00CA6DC1"/>
    <w:rsid w:val="00CA7256"/>
    <w:rsid w:val="00CB1F63"/>
    <w:rsid w:val="00CB3553"/>
    <w:rsid w:val="00CB7170"/>
    <w:rsid w:val="00CC040E"/>
    <w:rsid w:val="00CC111F"/>
    <w:rsid w:val="00CC2011"/>
    <w:rsid w:val="00CC294A"/>
    <w:rsid w:val="00CC2D4E"/>
    <w:rsid w:val="00CC3EA0"/>
    <w:rsid w:val="00CC59BF"/>
    <w:rsid w:val="00CC60EE"/>
    <w:rsid w:val="00CC7B45"/>
    <w:rsid w:val="00CD1188"/>
    <w:rsid w:val="00CD2ED1"/>
    <w:rsid w:val="00CD337B"/>
    <w:rsid w:val="00CD415B"/>
    <w:rsid w:val="00CD4BAB"/>
    <w:rsid w:val="00CD5E7E"/>
    <w:rsid w:val="00CE0424"/>
    <w:rsid w:val="00CE3351"/>
    <w:rsid w:val="00CE5FF9"/>
    <w:rsid w:val="00CE7561"/>
    <w:rsid w:val="00CE77B1"/>
    <w:rsid w:val="00CF0F17"/>
    <w:rsid w:val="00CF1354"/>
    <w:rsid w:val="00CF3B1F"/>
    <w:rsid w:val="00CF3BF6"/>
    <w:rsid w:val="00CF55A5"/>
    <w:rsid w:val="00CF5DDB"/>
    <w:rsid w:val="00CF625B"/>
    <w:rsid w:val="00CF687E"/>
    <w:rsid w:val="00CF7671"/>
    <w:rsid w:val="00CF7A17"/>
    <w:rsid w:val="00D0066D"/>
    <w:rsid w:val="00D00D81"/>
    <w:rsid w:val="00D00D9F"/>
    <w:rsid w:val="00D01D95"/>
    <w:rsid w:val="00D0349B"/>
    <w:rsid w:val="00D03B7E"/>
    <w:rsid w:val="00D03B8B"/>
    <w:rsid w:val="00D04D69"/>
    <w:rsid w:val="00D04FB7"/>
    <w:rsid w:val="00D0506B"/>
    <w:rsid w:val="00D0704A"/>
    <w:rsid w:val="00D10249"/>
    <w:rsid w:val="00D10256"/>
    <w:rsid w:val="00D11176"/>
    <w:rsid w:val="00D115C3"/>
    <w:rsid w:val="00D11897"/>
    <w:rsid w:val="00D13135"/>
    <w:rsid w:val="00D13E4E"/>
    <w:rsid w:val="00D149FA"/>
    <w:rsid w:val="00D220C6"/>
    <w:rsid w:val="00D22845"/>
    <w:rsid w:val="00D239A7"/>
    <w:rsid w:val="00D23F47"/>
    <w:rsid w:val="00D27DD4"/>
    <w:rsid w:val="00D325FE"/>
    <w:rsid w:val="00D3460C"/>
    <w:rsid w:val="00D35D3F"/>
    <w:rsid w:val="00D36E71"/>
    <w:rsid w:val="00D37510"/>
    <w:rsid w:val="00D376B3"/>
    <w:rsid w:val="00D37D87"/>
    <w:rsid w:val="00D40B33"/>
    <w:rsid w:val="00D4318F"/>
    <w:rsid w:val="00D438BF"/>
    <w:rsid w:val="00D440F8"/>
    <w:rsid w:val="00D450C9"/>
    <w:rsid w:val="00D45AD7"/>
    <w:rsid w:val="00D45E32"/>
    <w:rsid w:val="00D46B6B"/>
    <w:rsid w:val="00D47CB6"/>
    <w:rsid w:val="00D50F97"/>
    <w:rsid w:val="00D52EEA"/>
    <w:rsid w:val="00D546FF"/>
    <w:rsid w:val="00D55AD5"/>
    <w:rsid w:val="00D57647"/>
    <w:rsid w:val="00D576CA"/>
    <w:rsid w:val="00D5777D"/>
    <w:rsid w:val="00D61A33"/>
    <w:rsid w:val="00D61AF5"/>
    <w:rsid w:val="00D64577"/>
    <w:rsid w:val="00D64FE9"/>
    <w:rsid w:val="00D652B5"/>
    <w:rsid w:val="00D66155"/>
    <w:rsid w:val="00D667CD"/>
    <w:rsid w:val="00D67DBD"/>
    <w:rsid w:val="00D708B0"/>
    <w:rsid w:val="00D74C85"/>
    <w:rsid w:val="00D7576F"/>
    <w:rsid w:val="00D77B1D"/>
    <w:rsid w:val="00D77EF4"/>
    <w:rsid w:val="00D8021F"/>
    <w:rsid w:val="00D80383"/>
    <w:rsid w:val="00D81FE3"/>
    <w:rsid w:val="00D823C6"/>
    <w:rsid w:val="00D86664"/>
    <w:rsid w:val="00D86CA3"/>
    <w:rsid w:val="00D871CE"/>
    <w:rsid w:val="00D87BEE"/>
    <w:rsid w:val="00D91517"/>
    <w:rsid w:val="00D9196D"/>
    <w:rsid w:val="00D91C3E"/>
    <w:rsid w:val="00D92982"/>
    <w:rsid w:val="00D93A11"/>
    <w:rsid w:val="00D94F8D"/>
    <w:rsid w:val="00DA11D4"/>
    <w:rsid w:val="00DA305E"/>
    <w:rsid w:val="00DA5295"/>
    <w:rsid w:val="00DA5417"/>
    <w:rsid w:val="00DA56E8"/>
    <w:rsid w:val="00DA71B1"/>
    <w:rsid w:val="00DB047D"/>
    <w:rsid w:val="00DB0A9F"/>
    <w:rsid w:val="00DB22DB"/>
    <w:rsid w:val="00DB32D0"/>
    <w:rsid w:val="00DB377D"/>
    <w:rsid w:val="00DB37C4"/>
    <w:rsid w:val="00DB5966"/>
    <w:rsid w:val="00DC2D36"/>
    <w:rsid w:val="00DC53EF"/>
    <w:rsid w:val="00DC7089"/>
    <w:rsid w:val="00DD34D6"/>
    <w:rsid w:val="00DD7D61"/>
    <w:rsid w:val="00DE0D3E"/>
    <w:rsid w:val="00DE24C9"/>
    <w:rsid w:val="00DE2681"/>
    <w:rsid w:val="00DE344A"/>
    <w:rsid w:val="00DE35F9"/>
    <w:rsid w:val="00DE44D3"/>
    <w:rsid w:val="00DE5117"/>
    <w:rsid w:val="00DE5608"/>
    <w:rsid w:val="00DE58D0"/>
    <w:rsid w:val="00DE654F"/>
    <w:rsid w:val="00DE7CD0"/>
    <w:rsid w:val="00DF0B6E"/>
    <w:rsid w:val="00DF15E0"/>
    <w:rsid w:val="00DF2A82"/>
    <w:rsid w:val="00DF2B14"/>
    <w:rsid w:val="00DF33A5"/>
    <w:rsid w:val="00DF37A0"/>
    <w:rsid w:val="00DF54E4"/>
    <w:rsid w:val="00DF6744"/>
    <w:rsid w:val="00DF6B18"/>
    <w:rsid w:val="00DF71A0"/>
    <w:rsid w:val="00E007C6"/>
    <w:rsid w:val="00E018B3"/>
    <w:rsid w:val="00E020E9"/>
    <w:rsid w:val="00E02BA4"/>
    <w:rsid w:val="00E03281"/>
    <w:rsid w:val="00E037FD"/>
    <w:rsid w:val="00E063FD"/>
    <w:rsid w:val="00E07669"/>
    <w:rsid w:val="00E110E7"/>
    <w:rsid w:val="00E113EC"/>
    <w:rsid w:val="00E11B20"/>
    <w:rsid w:val="00E14D2A"/>
    <w:rsid w:val="00E14D9A"/>
    <w:rsid w:val="00E17FA2"/>
    <w:rsid w:val="00E20692"/>
    <w:rsid w:val="00E20E3A"/>
    <w:rsid w:val="00E22330"/>
    <w:rsid w:val="00E27868"/>
    <w:rsid w:val="00E3065C"/>
    <w:rsid w:val="00E30B5A"/>
    <w:rsid w:val="00E3123D"/>
    <w:rsid w:val="00E31461"/>
    <w:rsid w:val="00E31D43"/>
    <w:rsid w:val="00E32608"/>
    <w:rsid w:val="00E34188"/>
    <w:rsid w:val="00E34B6E"/>
    <w:rsid w:val="00E353A2"/>
    <w:rsid w:val="00E35559"/>
    <w:rsid w:val="00E3723A"/>
    <w:rsid w:val="00E37860"/>
    <w:rsid w:val="00E40B86"/>
    <w:rsid w:val="00E43C9F"/>
    <w:rsid w:val="00E444C5"/>
    <w:rsid w:val="00E446F1"/>
    <w:rsid w:val="00E44D24"/>
    <w:rsid w:val="00E4525A"/>
    <w:rsid w:val="00E46886"/>
    <w:rsid w:val="00E47AEF"/>
    <w:rsid w:val="00E47CEE"/>
    <w:rsid w:val="00E51D3A"/>
    <w:rsid w:val="00E53B75"/>
    <w:rsid w:val="00E53F59"/>
    <w:rsid w:val="00E54E3B"/>
    <w:rsid w:val="00E561DD"/>
    <w:rsid w:val="00E56AC2"/>
    <w:rsid w:val="00E5726B"/>
    <w:rsid w:val="00E57565"/>
    <w:rsid w:val="00E63838"/>
    <w:rsid w:val="00E64434"/>
    <w:rsid w:val="00E660D3"/>
    <w:rsid w:val="00E670EC"/>
    <w:rsid w:val="00E67C51"/>
    <w:rsid w:val="00E70EB1"/>
    <w:rsid w:val="00E7143B"/>
    <w:rsid w:val="00E7149A"/>
    <w:rsid w:val="00E72EFC"/>
    <w:rsid w:val="00E73FE5"/>
    <w:rsid w:val="00E7446A"/>
    <w:rsid w:val="00E7582C"/>
    <w:rsid w:val="00E758EC"/>
    <w:rsid w:val="00E76EEE"/>
    <w:rsid w:val="00E8029C"/>
    <w:rsid w:val="00E8234C"/>
    <w:rsid w:val="00E83AA9"/>
    <w:rsid w:val="00E85928"/>
    <w:rsid w:val="00E86178"/>
    <w:rsid w:val="00E87822"/>
    <w:rsid w:val="00E87A6E"/>
    <w:rsid w:val="00E90395"/>
    <w:rsid w:val="00E90E49"/>
    <w:rsid w:val="00E917F9"/>
    <w:rsid w:val="00E9291C"/>
    <w:rsid w:val="00E93FFE"/>
    <w:rsid w:val="00E942DC"/>
    <w:rsid w:val="00E94F8A"/>
    <w:rsid w:val="00E952FE"/>
    <w:rsid w:val="00E9736F"/>
    <w:rsid w:val="00E97979"/>
    <w:rsid w:val="00EA0870"/>
    <w:rsid w:val="00EA283F"/>
    <w:rsid w:val="00EA2EDF"/>
    <w:rsid w:val="00EA3E74"/>
    <w:rsid w:val="00EA5FA3"/>
    <w:rsid w:val="00EA7A41"/>
    <w:rsid w:val="00EB01C8"/>
    <w:rsid w:val="00EB077B"/>
    <w:rsid w:val="00EB4EA2"/>
    <w:rsid w:val="00EB55D3"/>
    <w:rsid w:val="00EB67D6"/>
    <w:rsid w:val="00EC0FD9"/>
    <w:rsid w:val="00EC27C6"/>
    <w:rsid w:val="00EC4207"/>
    <w:rsid w:val="00EC5653"/>
    <w:rsid w:val="00EC5F9D"/>
    <w:rsid w:val="00EC660B"/>
    <w:rsid w:val="00EC71CE"/>
    <w:rsid w:val="00ED019A"/>
    <w:rsid w:val="00ED1006"/>
    <w:rsid w:val="00ED5B32"/>
    <w:rsid w:val="00EE04E1"/>
    <w:rsid w:val="00EE09C9"/>
    <w:rsid w:val="00EE3A82"/>
    <w:rsid w:val="00EE3D44"/>
    <w:rsid w:val="00EE4521"/>
    <w:rsid w:val="00EE4A80"/>
    <w:rsid w:val="00EE4B49"/>
    <w:rsid w:val="00EE56D9"/>
    <w:rsid w:val="00EE77BC"/>
    <w:rsid w:val="00EF04AE"/>
    <w:rsid w:val="00EF0A40"/>
    <w:rsid w:val="00EF170C"/>
    <w:rsid w:val="00EF18FE"/>
    <w:rsid w:val="00EF1B7E"/>
    <w:rsid w:val="00EF5787"/>
    <w:rsid w:val="00EF606F"/>
    <w:rsid w:val="00EF60D0"/>
    <w:rsid w:val="00F00C63"/>
    <w:rsid w:val="00F01248"/>
    <w:rsid w:val="00F01772"/>
    <w:rsid w:val="00F023B4"/>
    <w:rsid w:val="00F04593"/>
    <w:rsid w:val="00F0528D"/>
    <w:rsid w:val="00F06C67"/>
    <w:rsid w:val="00F06DFD"/>
    <w:rsid w:val="00F071D1"/>
    <w:rsid w:val="00F07533"/>
    <w:rsid w:val="00F10629"/>
    <w:rsid w:val="00F11976"/>
    <w:rsid w:val="00F14034"/>
    <w:rsid w:val="00F154BD"/>
    <w:rsid w:val="00F156F7"/>
    <w:rsid w:val="00F15FA5"/>
    <w:rsid w:val="00F209B7"/>
    <w:rsid w:val="00F2376F"/>
    <w:rsid w:val="00F24343"/>
    <w:rsid w:val="00F243D8"/>
    <w:rsid w:val="00F24666"/>
    <w:rsid w:val="00F25CEF"/>
    <w:rsid w:val="00F26EBE"/>
    <w:rsid w:val="00F270B8"/>
    <w:rsid w:val="00F27450"/>
    <w:rsid w:val="00F301A6"/>
    <w:rsid w:val="00F30828"/>
    <w:rsid w:val="00F313D6"/>
    <w:rsid w:val="00F32022"/>
    <w:rsid w:val="00F34B88"/>
    <w:rsid w:val="00F36799"/>
    <w:rsid w:val="00F375EE"/>
    <w:rsid w:val="00F37C39"/>
    <w:rsid w:val="00F40DA1"/>
    <w:rsid w:val="00F40F0C"/>
    <w:rsid w:val="00F4188B"/>
    <w:rsid w:val="00F41FB1"/>
    <w:rsid w:val="00F42E23"/>
    <w:rsid w:val="00F4418F"/>
    <w:rsid w:val="00F46EDB"/>
    <w:rsid w:val="00F4766C"/>
    <w:rsid w:val="00F507D1"/>
    <w:rsid w:val="00F511A9"/>
    <w:rsid w:val="00F512B1"/>
    <w:rsid w:val="00F519CE"/>
    <w:rsid w:val="00F51ADA"/>
    <w:rsid w:val="00F52660"/>
    <w:rsid w:val="00F578F5"/>
    <w:rsid w:val="00F6065E"/>
    <w:rsid w:val="00F607C5"/>
    <w:rsid w:val="00F60DEA"/>
    <w:rsid w:val="00F617C3"/>
    <w:rsid w:val="00F6302A"/>
    <w:rsid w:val="00F63B38"/>
    <w:rsid w:val="00F64C06"/>
    <w:rsid w:val="00F64C2B"/>
    <w:rsid w:val="00F651BE"/>
    <w:rsid w:val="00F67F53"/>
    <w:rsid w:val="00F703BE"/>
    <w:rsid w:val="00F717F3"/>
    <w:rsid w:val="00F71F69"/>
    <w:rsid w:val="00F72B72"/>
    <w:rsid w:val="00F74BB9"/>
    <w:rsid w:val="00F75582"/>
    <w:rsid w:val="00F76EFA"/>
    <w:rsid w:val="00F772D1"/>
    <w:rsid w:val="00F77A99"/>
    <w:rsid w:val="00F804BE"/>
    <w:rsid w:val="00F817CE"/>
    <w:rsid w:val="00F8456C"/>
    <w:rsid w:val="00F859D8"/>
    <w:rsid w:val="00F85B4F"/>
    <w:rsid w:val="00F868F5"/>
    <w:rsid w:val="00F9056A"/>
    <w:rsid w:val="00F90C30"/>
    <w:rsid w:val="00F90F8D"/>
    <w:rsid w:val="00F92782"/>
    <w:rsid w:val="00F93355"/>
    <w:rsid w:val="00F934F0"/>
    <w:rsid w:val="00F93AA9"/>
    <w:rsid w:val="00F950EA"/>
    <w:rsid w:val="00F96985"/>
    <w:rsid w:val="00F9733D"/>
    <w:rsid w:val="00F97838"/>
    <w:rsid w:val="00FA0969"/>
    <w:rsid w:val="00FA2BB3"/>
    <w:rsid w:val="00FA2F44"/>
    <w:rsid w:val="00FA6A5F"/>
    <w:rsid w:val="00FA7E98"/>
    <w:rsid w:val="00FB11B3"/>
    <w:rsid w:val="00FB2AEA"/>
    <w:rsid w:val="00FB332F"/>
    <w:rsid w:val="00FB3941"/>
    <w:rsid w:val="00FB4C80"/>
    <w:rsid w:val="00FB50B0"/>
    <w:rsid w:val="00FB5EEF"/>
    <w:rsid w:val="00FB6A6A"/>
    <w:rsid w:val="00FC1794"/>
    <w:rsid w:val="00FC6688"/>
    <w:rsid w:val="00FC7429"/>
    <w:rsid w:val="00FD07F6"/>
    <w:rsid w:val="00FD0E1C"/>
    <w:rsid w:val="00FD1EC8"/>
    <w:rsid w:val="00FD3F8C"/>
    <w:rsid w:val="00FD43A2"/>
    <w:rsid w:val="00FD47ED"/>
    <w:rsid w:val="00FD5770"/>
    <w:rsid w:val="00FD74DB"/>
    <w:rsid w:val="00FD7660"/>
    <w:rsid w:val="00FE0655"/>
    <w:rsid w:val="00FE1B78"/>
    <w:rsid w:val="00FE2365"/>
    <w:rsid w:val="00FE25CC"/>
    <w:rsid w:val="00FE33B7"/>
    <w:rsid w:val="00FE46E3"/>
    <w:rsid w:val="00FE4C7B"/>
    <w:rsid w:val="00FE6400"/>
    <w:rsid w:val="00FE7233"/>
    <w:rsid w:val="00FE7336"/>
    <w:rsid w:val="00FE787C"/>
    <w:rsid w:val="00FF1BF3"/>
    <w:rsid w:val="00FF3258"/>
    <w:rsid w:val="00FF36D5"/>
    <w:rsid w:val="00FF45A5"/>
    <w:rsid w:val="00FF4A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A1BEB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111814"/>
    <w:pPr>
      <w:ind w:left="720"/>
      <w:contextualSpacing/>
    </w:pPr>
  </w:style>
  <w:style w:type="table" w:styleId="TableGrid">
    <w:name w:val="Table Grid"/>
    <w:basedOn w:val="TableNormal"/>
    <w:uiPriority w:val="59"/>
    <w:rsid w:val="00CE3351"/>
    <w:rPr>
      <w:rFonts w:asciiTheme="minorHAnsi" w:eastAsiaTheme="minorEastAsia" w:hAnsiTheme="minorHAnsi" w:cstheme="minorBidi"/>
      <w:sz w:val="22"/>
      <w:szCs w:val="22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C52E8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5NUHHDQN7SK2-1476151046-40970</_dlc_DocId>
    <_dlc_DocIdUrl xmlns="f166a696-7b5b-4ccd-9f0c-ffde0cceec81">
      <Url>https://ericsson.sharepoint.com/sites/star/_layouts/15/DocIdRedir.aspx?ID=5NUHHDQN7SK2-1476151046-40970</Url>
      <Description>5NUHHDQN7SK2-1476151046-40970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B2458EB-701C-47AF-9CA2-5BCEB5E7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E7A2D5D-723C-4C68-A793-3BFC3C46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715</TotalTime>
  <Pages>2</Pages>
  <Words>857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5391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Erik Dahlman</dc:creator>
  <cp:keywords>TDoc; Ericsson; 3GPP</cp:keywords>
  <cp:lastModifiedBy>Erik Dahlman</cp:lastModifiedBy>
  <cp:revision>70</cp:revision>
  <cp:lastPrinted>2019-02-15T07:38:00Z</cp:lastPrinted>
  <dcterms:created xsi:type="dcterms:W3CDTF">2019-02-06T15:19:00Z</dcterms:created>
  <dcterms:modified xsi:type="dcterms:W3CDTF">2019-02-15T18:52:00Z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41b1f2e2-c2e9-4b87-ad8b-ea96d0077f1e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4608">
    <vt:lpwstr>57</vt:lpwstr>
  </property>
</Properties>
</file>