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64ABD" w14:textId="0B3E7F6D" w:rsidR="00E16A46" w:rsidRDefault="00BB7AF0" w:rsidP="00E16A46">
      <w:pPr>
        <w:pStyle w:val="CRCoverPage"/>
        <w:tabs>
          <w:tab w:val="right" w:pos="9639"/>
        </w:tabs>
        <w:spacing w:after="0"/>
        <w:rPr>
          <w:rFonts w:cs="Arial"/>
          <w:b/>
          <w:i/>
          <w:noProof/>
          <w:sz w:val="24"/>
          <w:szCs w:val="24"/>
        </w:rPr>
      </w:pPr>
      <w:bookmarkStart w:id="0" w:name="_Ref399006623"/>
      <w:bookmarkStart w:id="1" w:name="_Toc92513360"/>
      <w:r>
        <w:rPr>
          <w:b/>
          <w:sz w:val="24"/>
          <w:szCs w:val="24"/>
          <w:lang w:val="en-GB"/>
        </w:rPr>
        <w:t>3GPP TSG RAN WG1 Meeting #95</w:t>
      </w:r>
      <w:r w:rsidR="00E16A46" w:rsidRPr="00BA1B20">
        <w:rPr>
          <w:rFonts w:cs="Arial"/>
          <w:b/>
          <w:i/>
          <w:noProof/>
          <w:sz w:val="24"/>
          <w:szCs w:val="24"/>
        </w:rPr>
        <w:tab/>
      </w:r>
      <w:bookmarkStart w:id="2" w:name="_Hlk513535172"/>
      <w:r w:rsidR="00E16A46" w:rsidRPr="00BA1B20">
        <w:rPr>
          <w:rFonts w:cs="Arial"/>
          <w:b/>
          <w:noProof/>
          <w:sz w:val="24"/>
          <w:szCs w:val="24"/>
          <w:lang w:eastAsia="zh-CN"/>
        </w:rPr>
        <w:t>R1-18</w:t>
      </w:r>
      <w:bookmarkEnd w:id="2"/>
      <w:r w:rsidR="00EC77DA">
        <w:rPr>
          <w:rFonts w:cs="Arial"/>
          <w:b/>
          <w:noProof/>
          <w:sz w:val="24"/>
          <w:szCs w:val="24"/>
          <w:lang w:eastAsia="zh-CN"/>
        </w:rPr>
        <w:t>13417</w:t>
      </w:r>
    </w:p>
    <w:p w14:paraId="37BDDF5F" w14:textId="1833A72F" w:rsidR="00E16A46" w:rsidRDefault="0019085E" w:rsidP="00E16A46">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Spokane, USA</w:t>
      </w:r>
      <w:r w:rsidR="007B2A75">
        <w:rPr>
          <w:rFonts w:ascii="Arial" w:eastAsia="MS Mincho" w:hAnsi="Arial"/>
          <w:b/>
          <w:sz w:val="24"/>
          <w:szCs w:val="24"/>
          <w:lang w:eastAsia="x-none"/>
        </w:rPr>
        <w:t>, 12</w:t>
      </w:r>
      <w:r w:rsidR="00E16A46">
        <w:rPr>
          <w:rFonts w:ascii="Arial" w:eastAsia="MS Mincho" w:hAnsi="Arial"/>
          <w:b/>
          <w:sz w:val="24"/>
          <w:szCs w:val="24"/>
          <w:vertAlign w:val="superscript"/>
          <w:lang w:eastAsia="x-none"/>
        </w:rPr>
        <w:t>th</w:t>
      </w:r>
      <w:r w:rsidR="007B2A75">
        <w:rPr>
          <w:rFonts w:ascii="Arial" w:eastAsia="MS Mincho" w:hAnsi="Arial"/>
          <w:b/>
          <w:sz w:val="24"/>
          <w:szCs w:val="24"/>
          <w:lang w:eastAsia="x-none"/>
        </w:rPr>
        <w:t xml:space="preserve"> November – 16</w:t>
      </w:r>
      <w:r w:rsidR="00E16A46">
        <w:rPr>
          <w:rFonts w:ascii="Arial" w:eastAsia="MS Mincho" w:hAnsi="Arial"/>
          <w:b/>
          <w:sz w:val="24"/>
          <w:szCs w:val="24"/>
          <w:vertAlign w:val="superscript"/>
          <w:lang w:eastAsia="x-none"/>
        </w:rPr>
        <w:t>th</w:t>
      </w:r>
      <w:r w:rsidR="007B2A75">
        <w:rPr>
          <w:rFonts w:ascii="Arial" w:eastAsia="MS Mincho" w:hAnsi="Arial"/>
          <w:b/>
          <w:sz w:val="24"/>
          <w:szCs w:val="24"/>
          <w:lang w:eastAsia="x-none"/>
        </w:rPr>
        <w:t xml:space="preserve"> Novem</w:t>
      </w:r>
      <w:r w:rsidR="00E16A46">
        <w:rPr>
          <w:rFonts w:ascii="Arial" w:eastAsia="MS Mincho" w:hAnsi="Arial"/>
          <w:b/>
          <w:sz w:val="24"/>
          <w:szCs w:val="24"/>
          <w:lang w:eastAsia="x-none"/>
        </w:rPr>
        <w:t>ber 2018</w:t>
      </w:r>
    </w:p>
    <w:p w14:paraId="4C3D5F9A" w14:textId="77777777" w:rsidR="00FC657E" w:rsidRDefault="00FC657E" w:rsidP="00652257">
      <w:pPr>
        <w:tabs>
          <w:tab w:val="left" w:pos="1985"/>
        </w:tabs>
        <w:jc w:val="both"/>
        <w:rPr>
          <w:rFonts w:ascii="Arial" w:hAnsi="Arial" w:cs="Arial"/>
          <w:b/>
          <w:sz w:val="24"/>
          <w:szCs w:val="24"/>
        </w:rPr>
      </w:pPr>
    </w:p>
    <w:p w14:paraId="06D2F559" w14:textId="26496645" w:rsidR="00652257" w:rsidRPr="002328F2" w:rsidRDefault="00652257" w:rsidP="00652257">
      <w:pPr>
        <w:tabs>
          <w:tab w:val="left" w:pos="1985"/>
        </w:tabs>
        <w:jc w:val="both"/>
        <w:rPr>
          <w:rFonts w:ascii="Arial" w:eastAsia="SimSun" w:hAnsi="Arial" w:cs="Arial"/>
          <w:sz w:val="24"/>
          <w:szCs w:val="24"/>
        </w:rPr>
      </w:pPr>
      <w:r w:rsidRPr="002328F2">
        <w:rPr>
          <w:rFonts w:ascii="Arial" w:hAnsi="Arial" w:cs="Arial"/>
          <w:b/>
          <w:sz w:val="24"/>
          <w:szCs w:val="24"/>
        </w:rPr>
        <w:t>Agen</w:t>
      </w:r>
      <w:r w:rsidRPr="002328F2">
        <w:rPr>
          <w:rFonts w:ascii="Arial" w:eastAsia="SimSun" w:hAnsi="Arial" w:cs="Arial"/>
          <w:b/>
          <w:sz w:val="24"/>
          <w:szCs w:val="24"/>
        </w:rPr>
        <w:t>d</w:t>
      </w:r>
      <w:r w:rsidRPr="002328F2">
        <w:rPr>
          <w:rFonts w:ascii="Arial" w:hAnsi="Arial" w:cs="Arial"/>
          <w:b/>
          <w:sz w:val="24"/>
          <w:szCs w:val="24"/>
        </w:rPr>
        <w:t>a Item:</w:t>
      </w:r>
      <w:r w:rsidRPr="002328F2">
        <w:rPr>
          <w:rFonts w:ascii="Arial" w:hAnsi="Arial" w:cs="Arial"/>
          <w:sz w:val="24"/>
          <w:szCs w:val="24"/>
        </w:rPr>
        <w:tab/>
      </w:r>
      <w:r w:rsidR="005451E6">
        <w:rPr>
          <w:rFonts w:ascii="Arial" w:hAnsi="Arial" w:cs="Arial"/>
          <w:sz w:val="24"/>
          <w:szCs w:val="24"/>
        </w:rPr>
        <w:t>7</w:t>
      </w:r>
      <w:r w:rsidRPr="002328F2">
        <w:rPr>
          <w:rFonts w:ascii="Arial" w:hAnsi="Arial" w:cs="Arial"/>
          <w:sz w:val="24"/>
          <w:szCs w:val="24"/>
        </w:rPr>
        <w:t>.</w:t>
      </w:r>
      <w:r w:rsidR="007266CB">
        <w:rPr>
          <w:rFonts w:ascii="Arial" w:hAnsi="Arial" w:cs="Arial"/>
          <w:sz w:val="24"/>
          <w:szCs w:val="24"/>
        </w:rPr>
        <w:t>2</w:t>
      </w:r>
      <w:r w:rsidR="005451E6">
        <w:rPr>
          <w:rFonts w:ascii="Arial" w:hAnsi="Arial" w:cs="Arial"/>
          <w:sz w:val="24"/>
          <w:szCs w:val="24"/>
        </w:rPr>
        <w:t>.</w:t>
      </w:r>
      <w:r w:rsidR="007266CB">
        <w:rPr>
          <w:rFonts w:ascii="Arial" w:hAnsi="Arial" w:cs="Arial"/>
          <w:sz w:val="24"/>
          <w:szCs w:val="24"/>
        </w:rPr>
        <w:t>3.</w:t>
      </w:r>
      <w:r w:rsidR="005451E6">
        <w:rPr>
          <w:rFonts w:ascii="Arial" w:hAnsi="Arial" w:cs="Arial"/>
          <w:sz w:val="24"/>
          <w:szCs w:val="24"/>
        </w:rPr>
        <w:t>1</w:t>
      </w:r>
    </w:p>
    <w:p w14:paraId="661B0E67" w14:textId="77777777" w:rsidR="00675C27" w:rsidRPr="002328F2" w:rsidRDefault="00675C27" w:rsidP="00675C27">
      <w:pPr>
        <w:tabs>
          <w:tab w:val="left" w:pos="1985"/>
        </w:tabs>
        <w:jc w:val="both"/>
        <w:rPr>
          <w:rFonts w:ascii="Arial" w:eastAsia="SimSun" w:hAnsi="Arial" w:cs="Arial"/>
          <w:b/>
          <w:sz w:val="24"/>
          <w:szCs w:val="24"/>
        </w:rPr>
      </w:pPr>
      <w:r w:rsidRPr="002328F2">
        <w:rPr>
          <w:rFonts w:ascii="Arial" w:hAnsi="Arial" w:cs="Arial"/>
          <w:b/>
          <w:sz w:val="24"/>
          <w:szCs w:val="24"/>
        </w:rPr>
        <w:t xml:space="preserve">Source: </w:t>
      </w:r>
      <w:r w:rsidRPr="002328F2">
        <w:rPr>
          <w:rFonts w:ascii="Arial" w:hAnsi="Arial" w:cs="Arial"/>
          <w:b/>
          <w:sz w:val="24"/>
          <w:szCs w:val="24"/>
        </w:rPr>
        <w:tab/>
      </w:r>
      <w:r w:rsidR="003753A5" w:rsidRPr="002328F2">
        <w:rPr>
          <w:rFonts w:ascii="Arial" w:hAnsi="Arial" w:cs="Arial"/>
          <w:sz w:val="24"/>
          <w:szCs w:val="24"/>
        </w:rPr>
        <w:t>Qualcomm Incorporated</w:t>
      </w:r>
    </w:p>
    <w:p w14:paraId="370472AA" w14:textId="351BC2B1"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5451E6">
        <w:rPr>
          <w:rFonts w:ascii="Arial" w:hAnsi="Arial" w:cs="Arial"/>
          <w:sz w:val="24"/>
          <w:szCs w:val="24"/>
        </w:rPr>
        <w:t>Enhancemen</w:t>
      </w:r>
      <w:r w:rsidR="00BB7AF0">
        <w:rPr>
          <w:rFonts w:ascii="Arial" w:hAnsi="Arial" w:cs="Arial"/>
          <w:sz w:val="24"/>
          <w:szCs w:val="24"/>
        </w:rPr>
        <w:t>ts to support NR</w:t>
      </w:r>
      <w:r w:rsidR="00072438">
        <w:rPr>
          <w:rFonts w:ascii="Arial" w:hAnsi="Arial" w:cs="Arial"/>
          <w:sz w:val="24"/>
          <w:szCs w:val="24"/>
        </w:rPr>
        <w:t xml:space="preserve"> backhaul links</w:t>
      </w:r>
    </w:p>
    <w:p w14:paraId="40AFB727" w14:textId="77777777" w:rsidR="00BB7889" w:rsidRPr="002328F2" w:rsidRDefault="00675C27" w:rsidP="00BB7889">
      <w:pPr>
        <w:tabs>
          <w:tab w:val="left" w:pos="1985"/>
        </w:tabs>
        <w:jc w:val="both"/>
        <w:rPr>
          <w:rFonts w:ascii="Arial" w:eastAsia="SimSun" w:hAnsi="Arial" w:cs="Arial"/>
          <w:sz w:val="24"/>
          <w:szCs w:val="24"/>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rPr>
        <w:t>Discussion and decision</w:t>
      </w:r>
      <w:bookmarkStart w:id="3" w:name="_GoBack"/>
      <w:bookmarkEnd w:id="3"/>
    </w:p>
    <w:p w14:paraId="30123361" w14:textId="77777777" w:rsidR="00BB7889" w:rsidRPr="007C2F71" w:rsidRDefault="00BB7889" w:rsidP="009A7F3B">
      <w:pPr>
        <w:pStyle w:val="Heading1"/>
        <w:rPr>
          <w:lang w:eastAsia="zh-CN"/>
        </w:rPr>
      </w:pPr>
      <w:r w:rsidRPr="00C23B88">
        <w:t>Introduction</w:t>
      </w:r>
    </w:p>
    <w:p w14:paraId="52918E65" w14:textId="1620A7C7" w:rsidR="00DC306A" w:rsidRDefault="00DC306A" w:rsidP="00DC306A">
      <w:r>
        <w:t>In this contribution</w:t>
      </w:r>
      <w:r w:rsidR="00874CEC">
        <w:t xml:space="preserve"> </w:t>
      </w:r>
      <w:r>
        <w:t xml:space="preserve">we provide </w:t>
      </w:r>
      <w:r w:rsidR="00874CEC">
        <w:t xml:space="preserve">a summary </w:t>
      </w:r>
      <w:r w:rsidR="007266CB">
        <w:t xml:space="preserve">of the </w:t>
      </w:r>
      <w:r w:rsidR="00874CEC">
        <w:t xml:space="preserve">main </w:t>
      </w:r>
      <w:r>
        <w:t>enhancements and modifications required to support NR-IAB</w:t>
      </w:r>
      <w:r w:rsidR="00C57B01">
        <w:t xml:space="preserve">, with focus on design aspects </w:t>
      </w:r>
      <w:r w:rsidR="00C05E57">
        <w:t xml:space="preserve">still </w:t>
      </w:r>
      <w:r w:rsidR="00C57B01">
        <w:t>under study</w:t>
      </w:r>
      <w:r w:rsidR="0071026F">
        <w:t xml:space="preserve"> </w:t>
      </w:r>
      <w:r w:rsidR="000243C0">
        <w:t xml:space="preserve">and hence </w:t>
      </w:r>
      <w:r w:rsidR="0071026F">
        <w:t>requiring further discussion and agreement</w:t>
      </w:r>
      <w:r>
        <w:t xml:space="preserve">. More specifically, </w:t>
      </w:r>
      <w:r w:rsidR="007D45F3">
        <w:t xml:space="preserve">such enhancements are classified in the following categories: </w:t>
      </w:r>
      <w:r>
        <w:t xml:space="preserve"> </w:t>
      </w:r>
    </w:p>
    <w:p w14:paraId="2260B530" w14:textId="7DD13663" w:rsidR="00DC306A" w:rsidRDefault="00DC306A" w:rsidP="009C7DF5">
      <w:pPr>
        <w:pStyle w:val="ListParagraph"/>
        <w:numPr>
          <w:ilvl w:val="0"/>
          <w:numId w:val="6"/>
        </w:numPr>
        <w:ind w:firstLineChars="0"/>
      </w:pPr>
      <w:r>
        <w:t>Random access</w:t>
      </w:r>
      <w:r w:rsidR="00052E91">
        <w:t xml:space="preserve"> </w:t>
      </w:r>
      <w:r>
        <w:t>for backhaul links</w:t>
      </w:r>
    </w:p>
    <w:p w14:paraId="775AE9BA" w14:textId="15B1801F" w:rsidR="00052E91" w:rsidRDefault="003C74D4" w:rsidP="009C7DF5">
      <w:pPr>
        <w:pStyle w:val="ListParagraph"/>
        <w:numPr>
          <w:ilvl w:val="0"/>
          <w:numId w:val="6"/>
        </w:numPr>
        <w:ind w:firstLineChars="0"/>
      </w:pPr>
      <w:r>
        <w:t>Inter-</w:t>
      </w:r>
      <w:r w:rsidR="00A76134">
        <w:t>node</w:t>
      </w:r>
      <w:r>
        <w:t xml:space="preserve"> discovery and measurement</w:t>
      </w:r>
    </w:p>
    <w:p w14:paraId="39D881EC" w14:textId="14FCD776" w:rsidR="00FC0714" w:rsidRPr="00EC77DA" w:rsidRDefault="008530C5">
      <w:pPr>
        <w:pStyle w:val="ListParagraph"/>
        <w:numPr>
          <w:ilvl w:val="0"/>
          <w:numId w:val="6"/>
        </w:numPr>
        <w:ind w:firstLineChars="0"/>
        <w:rPr>
          <w:rFonts w:eastAsia="Arial"/>
        </w:rPr>
      </w:pPr>
      <w:r>
        <w:t>S</w:t>
      </w:r>
      <w:r w:rsidR="003C74D4">
        <w:t>ynchronization</w:t>
      </w:r>
    </w:p>
    <w:p w14:paraId="5A371F23" w14:textId="2A68938A" w:rsidR="003C74D4" w:rsidRDefault="003C74D4" w:rsidP="009C7DF5">
      <w:pPr>
        <w:pStyle w:val="ListParagraph"/>
        <w:numPr>
          <w:ilvl w:val="0"/>
          <w:numId w:val="6"/>
        </w:numPr>
        <w:ind w:firstLineChars="0"/>
      </w:pPr>
      <w:r>
        <w:t xml:space="preserve">Resource </w:t>
      </w:r>
      <w:r w:rsidR="00332C47">
        <w:t>management</w:t>
      </w:r>
    </w:p>
    <w:p w14:paraId="1F91AE9B" w14:textId="77777777" w:rsidR="00332C47" w:rsidRDefault="00332C47" w:rsidP="009C7DF5">
      <w:pPr>
        <w:pStyle w:val="ListParagraph"/>
        <w:numPr>
          <w:ilvl w:val="0"/>
          <w:numId w:val="6"/>
        </w:numPr>
        <w:ind w:firstLineChars="0"/>
      </w:pPr>
      <w:r>
        <w:t>Power control</w:t>
      </w:r>
    </w:p>
    <w:p w14:paraId="37B0A9B4" w14:textId="5712CF4E" w:rsidR="007266CB" w:rsidRDefault="007266CB" w:rsidP="009C7DF5">
      <w:pPr>
        <w:pStyle w:val="ListParagraph"/>
        <w:numPr>
          <w:ilvl w:val="0"/>
          <w:numId w:val="6"/>
        </w:numPr>
        <w:ind w:firstLineChars="0"/>
      </w:pPr>
      <w:r>
        <w:t>Cross-link interference</w:t>
      </w:r>
    </w:p>
    <w:p w14:paraId="07A7C6C5" w14:textId="42E2885C" w:rsidR="00332C47" w:rsidRDefault="00332C47" w:rsidP="009C7DF5">
      <w:pPr>
        <w:pStyle w:val="ListParagraph"/>
        <w:numPr>
          <w:ilvl w:val="0"/>
          <w:numId w:val="6"/>
        </w:numPr>
        <w:ind w:firstLineChars="0"/>
      </w:pPr>
      <w:r>
        <w:t>Link management</w:t>
      </w:r>
    </w:p>
    <w:p w14:paraId="5C726AB0" w14:textId="2C98995D" w:rsidR="00FC657E" w:rsidRDefault="00FC657E" w:rsidP="000360A3">
      <w:r>
        <w:t>Our companion contributions [</w:t>
      </w:r>
      <w:r w:rsidR="00312B4B">
        <w:t>1</w:t>
      </w:r>
      <w:r>
        <w:t>]</w:t>
      </w:r>
      <w:r w:rsidR="00052E91">
        <w:t xml:space="preserve"> </w:t>
      </w:r>
      <w:r w:rsidR="00117DFB">
        <w:t>and [</w:t>
      </w:r>
      <w:r w:rsidR="00312B4B">
        <w:t>2</w:t>
      </w:r>
      <w:r w:rsidR="00117DFB">
        <w:t>]</w:t>
      </w:r>
      <w:r>
        <w:t xml:space="preserve"> discuss </w:t>
      </w:r>
      <w:r w:rsidR="00052E91">
        <w:t xml:space="preserve">in </w:t>
      </w:r>
      <w:r>
        <w:t xml:space="preserve">more detail </w:t>
      </w:r>
      <w:r w:rsidR="00052E91">
        <w:t>the enhancements for</w:t>
      </w:r>
      <w:r>
        <w:t xml:space="preserve"> </w:t>
      </w:r>
      <w:r w:rsidR="007266CB">
        <w:t>“</w:t>
      </w:r>
      <w:r w:rsidR="00052E91">
        <w:t>R</w:t>
      </w:r>
      <w:r w:rsidR="007266CB">
        <w:t xml:space="preserve">esource </w:t>
      </w:r>
      <w:r w:rsidR="00ED51F1">
        <w:t>management</w:t>
      </w:r>
      <w:r w:rsidR="007266CB">
        <w:t>”</w:t>
      </w:r>
      <w:r w:rsidR="00052E91">
        <w:t xml:space="preserve"> </w:t>
      </w:r>
      <w:r w:rsidR="00117DFB">
        <w:t>and “</w:t>
      </w:r>
      <w:r w:rsidR="00312B4B">
        <w:t>Network</w:t>
      </w:r>
      <w:r w:rsidR="00117DFB">
        <w:t xml:space="preserve"> synchronization”. </w:t>
      </w:r>
    </w:p>
    <w:p w14:paraId="17581F9A" w14:textId="12C8A7A7" w:rsidR="00DE0CBB" w:rsidRPr="0068004C" w:rsidRDefault="005E713B" w:rsidP="00EC77DA">
      <w:pPr>
        <w:pStyle w:val="Heading1"/>
      </w:pPr>
      <w:r w:rsidRPr="0068004C">
        <w:t>R</w:t>
      </w:r>
      <w:r w:rsidR="005B6D07">
        <w:t>andom access for backhaul links</w:t>
      </w:r>
    </w:p>
    <w:p w14:paraId="56509BCE" w14:textId="4700B836" w:rsidR="003E7DEE" w:rsidRPr="00141EFE" w:rsidRDefault="00F411A3" w:rsidP="003E7DEE">
      <w:r>
        <w:t xml:space="preserve">RAN1 #94 recognized and agreed that backhaul RACH requires some different </w:t>
      </w:r>
      <w:r w:rsidR="004F7027">
        <w:t>parameters</w:t>
      </w:r>
      <w:r>
        <w:t xml:space="preserve"> as compared to RACH for the access links (see section </w:t>
      </w:r>
      <w:r>
        <w:fldChar w:fldCharType="begin"/>
      </w:r>
      <w:r>
        <w:instrText xml:space="preserve"> REF _Ref528792422 \r \h </w:instrText>
      </w:r>
      <w:r>
        <w:fldChar w:fldCharType="separate"/>
      </w:r>
      <w:r w:rsidR="00E050EE">
        <w:t>11.1.2</w:t>
      </w:r>
      <w:r>
        <w:fldChar w:fldCharType="end"/>
      </w:r>
      <w:r>
        <w:t xml:space="preserve">). </w:t>
      </w:r>
      <w:r w:rsidR="003E7DEE" w:rsidRPr="00141EFE">
        <w:t>RAN1 #9</w:t>
      </w:r>
      <w:r w:rsidR="00AC1013">
        <w:t xml:space="preserve">4bis </w:t>
      </w:r>
      <w:r>
        <w:t xml:space="preserve">further </w:t>
      </w:r>
      <w:r w:rsidR="00AC1013" w:rsidRPr="00AC1013">
        <w:t xml:space="preserve">agreed that the backhaul RACH resources can </w:t>
      </w:r>
      <w:r w:rsidR="00CE4384">
        <w:t xml:space="preserve">be </w:t>
      </w:r>
      <w:r w:rsidR="00AC1013" w:rsidRPr="00AC1013">
        <w:t>configured with longer RACH periodicity, different preamble formats and additional timing offset compared to the Rel-15 RACH configurations</w:t>
      </w:r>
      <w:r w:rsidR="006D7B0F">
        <w:t xml:space="preserve">. Further to that it was agreed that </w:t>
      </w:r>
      <w:r w:rsidR="004F7027">
        <w:t>orthogonalization</w:t>
      </w:r>
      <w:r w:rsidR="006D7B0F">
        <w:t xml:space="preserve"> in time is needed</w:t>
      </w:r>
      <w:r w:rsidR="00B84816">
        <w:t xml:space="preserve"> for RACH resources across multiple hops</w:t>
      </w:r>
      <w:r w:rsidR="00AC1013">
        <w:t xml:space="preserve"> (see section </w:t>
      </w:r>
      <w:r w:rsidR="00AC1013">
        <w:fldChar w:fldCharType="begin"/>
      </w:r>
      <w:r w:rsidR="00AC1013">
        <w:instrText xml:space="preserve"> REF _Ref528790779 \r \h </w:instrText>
      </w:r>
      <w:r w:rsidR="00AC1013">
        <w:fldChar w:fldCharType="separate"/>
      </w:r>
      <w:r w:rsidR="00E050EE">
        <w:t>11.1.1</w:t>
      </w:r>
      <w:r w:rsidR="00AC1013">
        <w:fldChar w:fldCharType="end"/>
      </w:r>
      <w:r w:rsidR="00AC1013">
        <w:t>)</w:t>
      </w:r>
      <w:r w:rsidR="00AC1013" w:rsidRPr="00AC1013">
        <w:t>.</w:t>
      </w:r>
    </w:p>
    <w:p w14:paraId="53B631DC" w14:textId="302E27F2" w:rsidR="00F86068" w:rsidRDefault="007C2B34" w:rsidP="00F86068">
      <w:r>
        <w:t>The aforementioned</w:t>
      </w:r>
      <w:r w:rsidR="00F86068">
        <w:t xml:space="preserve"> agreement</w:t>
      </w:r>
      <w:r>
        <w:t>s</w:t>
      </w:r>
      <w:r w:rsidR="00F86068">
        <w:t xml:space="preserve"> allow</w:t>
      </w:r>
      <w:r>
        <w:t xml:space="preserve"> the</w:t>
      </w:r>
      <w:r w:rsidR="00F86068">
        <w:t xml:space="preserve"> network to increase the periodicity of backhaul RACH resources and configure an offset to backhaul RACH locations, compared to the values supported in Rel-15 PRACH configuration. However, entries of PRACH configuration table in Rel-15 configure UEs with many information, e.g., the number of time domain PRACH occasions within a PRACH slot, PRACH preamble format, etc., along with the periodicity and time location of PRACH resources. RAN1 should try to leverage those parameters as much as possible to expedite discussion time while configuring backhaul links with higher periodicity and time location offset. On the other hand, since Rel-15 RACH configuration entries explicitly indicate PRACH preamble format for short sequences, new PRACH configuration index would be needed to support new PRACH preamble formats.</w:t>
      </w:r>
    </w:p>
    <w:p w14:paraId="0FA3ACC7" w14:textId="76926CC2" w:rsidR="00F86068" w:rsidRPr="00EC0868" w:rsidRDefault="00F86068" w:rsidP="00F86068">
      <w:pPr>
        <w:rPr>
          <w:b/>
          <w:bCs/>
        </w:rPr>
      </w:pPr>
      <w:r w:rsidRPr="00EC0868">
        <w:rPr>
          <w:b/>
          <w:bCs/>
        </w:rPr>
        <w:lastRenderedPageBreak/>
        <w:t xml:space="preserve">Observation </w:t>
      </w:r>
      <w:r w:rsidR="00722A3F">
        <w:rPr>
          <w:b/>
          <w:bCs/>
        </w:rPr>
        <w:t>2.</w:t>
      </w:r>
      <w:r w:rsidRPr="00EC0868">
        <w:rPr>
          <w:b/>
          <w:bCs/>
        </w:rPr>
        <w:t>1: RAN1 should try to leverage the entries of Rel-15 RACH configuration table as much as possible while configuring backhaul links with higher periodicity and time location offset.</w:t>
      </w:r>
    </w:p>
    <w:p w14:paraId="1527F855" w14:textId="77777777" w:rsidR="00F86068" w:rsidRPr="00EC0868" w:rsidRDefault="00F86068" w:rsidP="00312B4B">
      <w:pPr>
        <w:pStyle w:val="ListParagraph"/>
        <w:numPr>
          <w:ilvl w:val="0"/>
          <w:numId w:val="36"/>
        </w:numPr>
        <w:ind w:firstLineChars="0"/>
        <w:contextualSpacing/>
        <w:rPr>
          <w:b/>
          <w:bCs/>
        </w:rPr>
      </w:pPr>
      <w:r w:rsidRPr="00EC0868">
        <w:rPr>
          <w:b/>
          <w:bCs/>
        </w:rPr>
        <w:t>New PRACH configuration index does not need to be introduced to support longer RACH periodicity.</w:t>
      </w:r>
    </w:p>
    <w:p w14:paraId="396E8489" w14:textId="77777777" w:rsidR="00F86068" w:rsidRPr="00EC0868" w:rsidRDefault="00F86068" w:rsidP="00312B4B">
      <w:pPr>
        <w:pStyle w:val="ListParagraph"/>
        <w:numPr>
          <w:ilvl w:val="0"/>
          <w:numId w:val="36"/>
        </w:numPr>
        <w:ind w:firstLineChars="0"/>
        <w:contextualSpacing/>
        <w:rPr>
          <w:b/>
          <w:bCs/>
        </w:rPr>
      </w:pPr>
      <w:r w:rsidRPr="00EC0868">
        <w:rPr>
          <w:b/>
          <w:bCs/>
        </w:rPr>
        <w:t xml:space="preserve">New PRACH configuration </w:t>
      </w:r>
      <w:r>
        <w:rPr>
          <w:b/>
          <w:bCs/>
        </w:rPr>
        <w:t xml:space="preserve">index </w:t>
      </w:r>
      <w:r w:rsidRPr="00EC0868">
        <w:rPr>
          <w:b/>
          <w:bCs/>
        </w:rPr>
        <w:t xml:space="preserve">can be introduced to support additional preamble formats.  </w:t>
      </w:r>
    </w:p>
    <w:p w14:paraId="5FDF4353" w14:textId="77777777" w:rsidR="00F86068" w:rsidRDefault="00F86068" w:rsidP="00F86068">
      <w:r>
        <w:t xml:space="preserve">The periodicity of backhaul RACH resources can be extended while leveraging existing RACH configuration entries, by using a periodicity scaling factor. The scaling factor can scale the value of x, i.e. the periodicity of the RACH configuration index in terms of radio frame. </w:t>
      </w:r>
    </w:p>
    <w:p w14:paraId="1326B2E7" w14:textId="7DF2B6AE" w:rsidR="00F86068" w:rsidRPr="00B74460" w:rsidRDefault="00F86068" w:rsidP="00F86068">
      <w:pPr>
        <w:pStyle w:val="Caption"/>
        <w:jc w:val="center"/>
      </w:pPr>
      <w:r>
        <w:t xml:space="preserve">Table </w:t>
      </w:r>
      <w:r>
        <w:rPr>
          <w:noProof/>
        </w:rPr>
        <w:fldChar w:fldCharType="begin"/>
      </w:r>
      <w:r>
        <w:rPr>
          <w:noProof/>
        </w:rPr>
        <w:instrText xml:space="preserve"> SEQ Table \* ARABIC </w:instrText>
      </w:r>
      <w:r>
        <w:rPr>
          <w:noProof/>
        </w:rPr>
        <w:fldChar w:fldCharType="separate"/>
      </w:r>
      <w:r w:rsidR="00E050EE">
        <w:rPr>
          <w:noProof/>
        </w:rPr>
        <w:t>1</w:t>
      </w:r>
      <w:r>
        <w:rPr>
          <w:noProof/>
        </w:rPr>
        <w:fldChar w:fldCharType="end"/>
      </w:r>
      <w:r>
        <w:t>: Details of Rel-15 FR2 PRACH Configuration Index 0</w:t>
      </w:r>
    </w:p>
    <w:tbl>
      <w:tblPr>
        <w:tblStyle w:val="GridTable4-Accent1"/>
        <w:tblW w:w="10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247"/>
        <w:gridCol w:w="533"/>
        <w:gridCol w:w="411"/>
        <w:gridCol w:w="2413"/>
        <w:gridCol w:w="1074"/>
        <w:gridCol w:w="1106"/>
        <w:gridCol w:w="1247"/>
        <w:gridCol w:w="1151"/>
      </w:tblGrid>
      <w:tr w:rsidR="0010724F" w:rsidRPr="00B74460" w14:paraId="12F1E436" w14:textId="77777777" w:rsidTr="0011018C">
        <w:trPr>
          <w:cnfStyle w:val="100000000000" w:firstRow="1" w:lastRow="0" w:firstColumn="0" w:lastColumn="0" w:oddVBand="0" w:evenVBand="0" w:oddHBand="0" w:evenHBand="0" w:firstRowFirstColumn="0" w:firstRowLastColumn="0" w:lastRowFirstColumn="0" w:lastRowLastColumn="0"/>
          <w:trHeight w:val="1013"/>
        </w:trPr>
        <w:tc>
          <w:tcPr>
            <w:cnfStyle w:val="001000000000" w:firstRow="0" w:lastRow="0" w:firstColumn="1" w:lastColumn="0" w:oddVBand="0" w:evenVBand="0" w:oddHBand="0" w:evenHBand="0" w:firstRowFirstColumn="0" w:firstRowLastColumn="0" w:lastRowFirstColumn="0" w:lastRowLastColumn="0"/>
            <w:tcW w:w="0" w:type="dxa"/>
            <w:vMerge w:val="restart"/>
            <w:tcBorders>
              <w:top w:val="none" w:sz="0" w:space="0" w:color="auto"/>
              <w:left w:val="none" w:sz="0" w:space="0" w:color="auto"/>
              <w:bottom w:val="none" w:sz="0" w:space="0" w:color="auto"/>
              <w:right w:val="none" w:sz="0" w:space="0" w:color="auto"/>
            </w:tcBorders>
            <w:hideMark/>
          </w:tcPr>
          <w:p w14:paraId="6D630A65" w14:textId="77777777" w:rsidR="00B6480D" w:rsidRPr="0011018C" w:rsidRDefault="00B6480D" w:rsidP="00312B4B">
            <w:pPr>
              <w:jc w:val="center"/>
              <w:rPr>
                <w:color w:val="auto"/>
                <w:sz w:val="18"/>
                <w:szCs w:val="18"/>
              </w:rPr>
            </w:pPr>
            <w:r w:rsidRPr="0011018C">
              <w:rPr>
                <w:color w:val="auto"/>
                <w:sz w:val="18"/>
                <w:szCs w:val="18"/>
                <w:lang w:val="en-GB"/>
              </w:rPr>
              <w:t>PRACH</w:t>
            </w:r>
            <w:r w:rsidRPr="0011018C">
              <w:rPr>
                <w:color w:val="auto"/>
                <w:sz w:val="18"/>
                <w:szCs w:val="18"/>
                <w:lang w:val="en-GB"/>
              </w:rPr>
              <w:br/>
              <w:t xml:space="preserve">Config. </w:t>
            </w:r>
            <w:r w:rsidRPr="0011018C">
              <w:rPr>
                <w:color w:val="auto"/>
                <w:sz w:val="18"/>
                <w:szCs w:val="18"/>
                <w:lang w:val="en-GB"/>
              </w:rPr>
              <w:br/>
              <w:t>Index</w:t>
            </w:r>
          </w:p>
        </w:tc>
        <w:tc>
          <w:tcPr>
            <w:tcW w:w="0" w:type="dxa"/>
            <w:vMerge w:val="restart"/>
            <w:tcBorders>
              <w:top w:val="none" w:sz="0" w:space="0" w:color="auto"/>
              <w:left w:val="none" w:sz="0" w:space="0" w:color="auto"/>
              <w:bottom w:val="none" w:sz="0" w:space="0" w:color="auto"/>
              <w:right w:val="none" w:sz="0" w:space="0" w:color="auto"/>
            </w:tcBorders>
            <w:hideMark/>
          </w:tcPr>
          <w:p w14:paraId="0B92BA42" w14:textId="77777777" w:rsidR="00B6480D" w:rsidRPr="0011018C" w:rsidRDefault="00B6480D" w:rsidP="00312B4B">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Preamble format</w:t>
            </w:r>
          </w:p>
        </w:tc>
        <w:tc>
          <w:tcPr>
            <w:tcW w:w="0" w:type="dxa"/>
            <w:gridSpan w:val="2"/>
            <w:tcBorders>
              <w:top w:val="none" w:sz="0" w:space="0" w:color="auto"/>
              <w:left w:val="none" w:sz="0" w:space="0" w:color="auto"/>
              <w:bottom w:val="none" w:sz="0" w:space="0" w:color="auto"/>
              <w:right w:val="none" w:sz="0" w:space="0" w:color="auto"/>
            </w:tcBorders>
            <w:hideMark/>
          </w:tcPr>
          <w:p w14:paraId="1700294E" w14:textId="77777777" w:rsidR="00B6480D" w:rsidRPr="0011018C" w:rsidRDefault="00B6480D" w:rsidP="00312B4B">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proofErr w:type="spellStart"/>
            <w:r w:rsidRPr="0011018C">
              <w:rPr>
                <w:color w:val="auto"/>
                <w:sz w:val="18"/>
                <w:szCs w:val="18"/>
                <w:lang w:val="en-GB"/>
              </w:rPr>
              <w:t>n_SFN</w:t>
            </w:r>
            <w:proofErr w:type="spellEnd"/>
            <w:r w:rsidRPr="0011018C">
              <w:rPr>
                <w:color w:val="auto"/>
                <w:sz w:val="18"/>
                <w:szCs w:val="18"/>
                <w:lang w:val="en-GB"/>
              </w:rPr>
              <w:t xml:space="preserve"> mod x = y</w:t>
            </w:r>
          </w:p>
        </w:tc>
        <w:tc>
          <w:tcPr>
            <w:tcW w:w="0" w:type="dxa"/>
            <w:vMerge w:val="restart"/>
            <w:tcBorders>
              <w:top w:val="none" w:sz="0" w:space="0" w:color="auto"/>
              <w:left w:val="none" w:sz="0" w:space="0" w:color="auto"/>
              <w:bottom w:val="none" w:sz="0" w:space="0" w:color="auto"/>
              <w:right w:val="none" w:sz="0" w:space="0" w:color="auto"/>
            </w:tcBorders>
            <w:hideMark/>
          </w:tcPr>
          <w:p w14:paraId="7C3D5911" w14:textId="77777777" w:rsidR="00B6480D" w:rsidRPr="0011018C" w:rsidRDefault="00B6480D" w:rsidP="00312B4B">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Slot number</w:t>
            </w:r>
          </w:p>
        </w:tc>
        <w:tc>
          <w:tcPr>
            <w:tcW w:w="0" w:type="dxa"/>
            <w:vMerge w:val="restart"/>
            <w:tcBorders>
              <w:top w:val="none" w:sz="0" w:space="0" w:color="auto"/>
              <w:left w:val="none" w:sz="0" w:space="0" w:color="auto"/>
              <w:bottom w:val="none" w:sz="0" w:space="0" w:color="auto"/>
              <w:right w:val="none" w:sz="0" w:space="0" w:color="auto"/>
            </w:tcBorders>
            <w:hideMark/>
          </w:tcPr>
          <w:p w14:paraId="588EE92B" w14:textId="77777777" w:rsidR="00B6480D" w:rsidRPr="0011018C" w:rsidRDefault="00B6480D" w:rsidP="00312B4B">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Starting symbol</w:t>
            </w:r>
          </w:p>
        </w:tc>
        <w:tc>
          <w:tcPr>
            <w:tcW w:w="0" w:type="dxa"/>
            <w:vMerge w:val="restart"/>
            <w:tcBorders>
              <w:top w:val="none" w:sz="0" w:space="0" w:color="auto"/>
              <w:left w:val="none" w:sz="0" w:space="0" w:color="auto"/>
              <w:bottom w:val="none" w:sz="0" w:space="0" w:color="auto"/>
              <w:right w:val="none" w:sz="0" w:space="0" w:color="auto"/>
            </w:tcBorders>
            <w:hideMark/>
          </w:tcPr>
          <w:p w14:paraId="7D940A88" w14:textId="77777777" w:rsidR="00B6480D" w:rsidRPr="0011018C" w:rsidRDefault="00B6480D" w:rsidP="00312B4B">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Number of PRACH slots within a 60 kHz slot</w:t>
            </w:r>
          </w:p>
        </w:tc>
        <w:tc>
          <w:tcPr>
            <w:tcW w:w="0" w:type="dxa"/>
            <w:vMerge w:val="restart"/>
            <w:tcBorders>
              <w:top w:val="none" w:sz="0" w:space="0" w:color="auto"/>
              <w:left w:val="none" w:sz="0" w:space="0" w:color="auto"/>
              <w:bottom w:val="none" w:sz="0" w:space="0" w:color="auto"/>
              <w:right w:val="none" w:sz="0" w:space="0" w:color="auto"/>
            </w:tcBorders>
            <w:hideMark/>
          </w:tcPr>
          <w:p w14:paraId="33650389" w14:textId="77777777" w:rsidR="00B6480D" w:rsidRPr="0011018C" w:rsidRDefault="00B6480D" w:rsidP="00312B4B">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 of time-domain PRACH occasions within a PRACH slot</w:t>
            </w:r>
          </w:p>
        </w:tc>
        <w:tc>
          <w:tcPr>
            <w:tcW w:w="0" w:type="dxa"/>
            <w:vMerge w:val="restart"/>
            <w:tcBorders>
              <w:top w:val="none" w:sz="0" w:space="0" w:color="auto"/>
              <w:left w:val="none" w:sz="0" w:space="0" w:color="auto"/>
              <w:bottom w:val="none" w:sz="0" w:space="0" w:color="auto"/>
              <w:right w:val="none" w:sz="0" w:space="0" w:color="auto"/>
            </w:tcBorders>
            <w:hideMark/>
          </w:tcPr>
          <w:p w14:paraId="4545699F" w14:textId="77777777" w:rsidR="00B6480D" w:rsidRPr="0011018C" w:rsidRDefault="00B6480D" w:rsidP="00312B4B">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PRACH duration</w:t>
            </w:r>
          </w:p>
        </w:tc>
      </w:tr>
      <w:tr w:rsidR="0010724F" w:rsidRPr="00B74460" w14:paraId="5B1A1441" w14:textId="77777777" w:rsidTr="0011018C">
        <w:trPr>
          <w:cnfStyle w:val="000000100000" w:firstRow="0" w:lastRow="0" w:firstColumn="0" w:lastColumn="0" w:oddVBand="0" w:evenVBand="0" w:oddHBand="1" w:evenHBand="0"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0" w:type="dxa"/>
            <w:vMerge/>
            <w:hideMark/>
          </w:tcPr>
          <w:p w14:paraId="64CCB139" w14:textId="77777777" w:rsidR="00B6480D" w:rsidRPr="0011018C" w:rsidRDefault="00B6480D" w:rsidP="00312B4B">
            <w:pPr>
              <w:jc w:val="center"/>
              <w:rPr>
                <w:sz w:val="18"/>
                <w:szCs w:val="18"/>
              </w:rPr>
            </w:pPr>
          </w:p>
        </w:tc>
        <w:tc>
          <w:tcPr>
            <w:tcW w:w="0" w:type="dxa"/>
            <w:vMerge/>
            <w:hideMark/>
          </w:tcPr>
          <w:p w14:paraId="1BB7CE19" w14:textId="77777777" w:rsidR="00B6480D" w:rsidRPr="0011018C" w:rsidRDefault="00B6480D" w:rsidP="00312B4B">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0" w:type="dxa"/>
            <w:hideMark/>
          </w:tcPr>
          <w:p w14:paraId="756A4841" w14:textId="77777777" w:rsidR="00B6480D" w:rsidRPr="0011018C" w:rsidRDefault="00B6480D" w:rsidP="00312B4B">
            <w:pPr>
              <w:jc w:val="center"/>
              <w:cnfStyle w:val="000000100000" w:firstRow="0" w:lastRow="0" w:firstColumn="0" w:lastColumn="0" w:oddVBand="0" w:evenVBand="0" w:oddHBand="1" w:evenHBand="0" w:firstRowFirstColumn="0" w:firstRowLastColumn="0" w:lastRowFirstColumn="0" w:lastRowLastColumn="0"/>
              <w:rPr>
                <w:sz w:val="18"/>
                <w:szCs w:val="18"/>
              </w:rPr>
            </w:pPr>
            <w:r w:rsidRPr="0011018C">
              <w:rPr>
                <w:b/>
                <w:bCs/>
                <w:sz w:val="18"/>
                <w:szCs w:val="18"/>
                <w:lang w:val="en-GB"/>
              </w:rPr>
              <w:t>x</w:t>
            </w:r>
          </w:p>
        </w:tc>
        <w:tc>
          <w:tcPr>
            <w:tcW w:w="0" w:type="dxa"/>
            <w:hideMark/>
          </w:tcPr>
          <w:p w14:paraId="0962E824" w14:textId="77777777" w:rsidR="00B6480D" w:rsidRPr="0011018C" w:rsidRDefault="00B6480D" w:rsidP="00312B4B">
            <w:pPr>
              <w:jc w:val="center"/>
              <w:cnfStyle w:val="000000100000" w:firstRow="0" w:lastRow="0" w:firstColumn="0" w:lastColumn="0" w:oddVBand="0" w:evenVBand="0" w:oddHBand="1" w:evenHBand="0" w:firstRowFirstColumn="0" w:firstRowLastColumn="0" w:lastRowFirstColumn="0" w:lastRowLastColumn="0"/>
              <w:rPr>
                <w:sz w:val="18"/>
                <w:szCs w:val="18"/>
              </w:rPr>
            </w:pPr>
            <w:r w:rsidRPr="0011018C">
              <w:rPr>
                <w:b/>
                <w:bCs/>
                <w:sz w:val="18"/>
                <w:szCs w:val="18"/>
                <w:lang w:val="en-GB"/>
              </w:rPr>
              <w:t>y</w:t>
            </w:r>
          </w:p>
        </w:tc>
        <w:tc>
          <w:tcPr>
            <w:tcW w:w="0" w:type="dxa"/>
            <w:vMerge/>
            <w:hideMark/>
          </w:tcPr>
          <w:p w14:paraId="327070BD" w14:textId="77777777" w:rsidR="00B6480D" w:rsidRPr="0011018C" w:rsidRDefault="00B6480D" w:rsidP="00312B4B">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0" w:type="dxa"/>
            <w:vMerge/>
            <w:hideMark/>
          </w:tcPr>
          <w:p w14:paraId="1EA1DD53" w14:textId="77777777" w:rsidR="00B6480D" w:rsidRPr="0011018C" w:rsidRDefault="00B6480D" w:rsidP="00312B4B">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0" w:type="dxa"/>
            <w:vMerge/>
            <w:hideMark/>
          </w:tcPr>
          <w:p w14:paraId="42B48AC0" w14:textId="77777777" w:rsidR="00B6480D" w:rsidRPr="0011018C" w:rsidRDefault="00B6480D" w:rsidP="00312B4B">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0" w:type="dxa"/>
            <w:vMerge/>
            <w:hideMark/>
          </w:tcPr>
          <w:p w14:paraId="233BBA2C" w14:textId="77777777" w:rsidR="00B6480D" w:rsidRPr="0011018C" w:rsidRDefault="00B6480D" w:rsidP="00312B4B">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0" w:type="dxa"/>
            <w:vMerge/>
            <w:hideMark/>
          </w:tcPr>
          <w:p w14:paraId="4561FC55" w14:textId="77777777" w:rsidR="00B6480D" w:rsidRPr="0011018C" w:rsidRDefault="00B6480D" w:rsidP="00312B4B">
            <w:pPr>
              <w:jc w:val="center"/>
              <w:cnfStyle w:val="000000100000" w:firstRow="0" w:lastRow="0" w:firstColumn="0" w:lastColumn="0" w:oddVBand="0" w:evenVBand="0" w:oddHBand="1" w:evenHBand="0" w:firstRowFirstColumn="0" w:firstRowLastColumn="0" w:lastRowFirstColumn="0" w:lastRowLastColumn="0"/>
              <w:rPr>
                <w:sz w:val="18"/>
                <w:szCs w:val="18"/>
              </w:rPr>
            </w:pPr>
          </w:p>
        </w:tc>
      </w:tr>
      <w:tr w:rsidR="00EC77DA" w:rsidRPr="00B74460" w14:paraId="277AED7E" w14:textId="77777777" w:rsidTr="0011018C">
        <w:trPr>
          <w:trHeight w:val="375"/>
        </w:trPr>
        <w:tc>
          <w:tcPr>
            <w:cnfStyle w:val="001000000000" w:firstRow="0" w:lastRow="0" w:firstColumn="1" w:lastColumn="0" w:oddVBand="0" w:evenVBand="0" w:oddHBand="0" w:evenHBand="0" w:firstRowFirstColumn="0" w:firstRowLastColumn="0" w:lastRowFirstColumn="0" w:lastRowLastColumn="0"/>
            <w:tcW w:w="0" w:type="dxa"/>
            <w:hideMark/>
          </w:tcPr>
          <w:p w14:paraId="1287F77B" w14:textId="77777777" w:rsidR="00B6480D" w:rsidRPr="0011018C" w:rsidRDefault="00B6480D" w:rsidP="00312B4B">
            <w:pPr>
              <w:jc w:val="center"/>
              <w:rPr>
                <w:sz w:val="18"/>
                <w:szCs w:val="18"/>
              </w:rPr>
            </w:pPr>
            <w:r w:rsidRPr="0011018C">
              <w:rPr>
                <w:sz w:val="18"/>
                <w:szCs w:val="18"/>
                <w:lang w:val="en-GB"/>
              </w:rPr>
              <w:t>0</w:t>
            </w:r>
          </w:p>
        </w:tc>
        <w:tc>
          <w:tcPr>
            <w:tcW w:w="0" w:type="dxa"/>
            <w:hideMark/>
          </w:tcPr>
          <w:p w14:paraId="052DD273" w14:textId="77777777" w:rsidR="00B6480D" w:rsidRPr="0011018C" w:rsidRDefault="00B6480D" w:rsidP="00312B4B">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A1</w:t>
            </w:r>
          </w:p>
        </w:tc>
        <w:tc>
          <w:tcPr>
            <w:tcW w:w="0" w:type="dxa"/>
            <w:hideMark/>
          </w:tcPr>
          <w:p w14:paraId="49EF320F" w14:textId="77777777" w:rsidR="00B6480D" w:rsidRPr="0011018C" w:rsidRDefault="00B6480D" w:rsidP="00312B4B">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16</w:t>
            </w:r>
          </w:p>
        </w:tc>
        <w:tc>
          <w:tcPr>
            <w:tcW w:w="0" w:type="dxa"/>
            <w:hideMark/>
          </w:tcPr>
          <w:p w14:paraId="786050B3" w14:textId="77777777" w:rsidR="00B6480D" w:rsidRPr="0011018C" w:rsidRDefault="00B6480D" w:rsidP="00312B4B">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1</w:t>
            </w:r>
          </w:p>
        </w:tc>
        <w:tc>
          <w:tcPr>
            <w:tcW w:w="0" w:type="dxa"/>
            <w:hideMark/>
          </w:tcPr>
          <w:p w14:paraId="2204C868" w14:textId="77777777" w:rsidR="00B6480D" w:rsidRPr="0011018C" w:rsidRDefault="00B6480D" w:rsidP="00312B4B">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4,9,14,</w:t>
            </w:r>
            <w:r w:rsidRPr="0011018C">
              <w:rPr>
                <w:b/>
                <w:bCs/>
                <w:sz w:val="18"/>
                <w:szCs w:val="18"/>
                <w:lang w:val="en-GB"/>
              </w:rPr>
              <w:t>19</w:t>
            </w:r>
            <w:r w:rsidRPr="0011018C">
              <w:rPr>
                <w:sz w:val="18"/>
                <w:szCs w:val="18"/>
                <w:lang w:val="en-GB"/>
              </w:rPr>
              <w:t>,24,29,34,</w:t>
            </w:r>
            <w:r w:rsidRPr="0011018C">
              <w:rPr>
                <w:b/>
                <w:bCs/>
                <w:sz w:val="18"/>
                <w:szCs w:val="18"/>
                <w:lang w:val="en-GB"/>
              </w:rPr>
              <w:t>39</w:t>
            </w:r>
          </w:p>
        </w:tc>
        <w:tc>
          <w:tcPr>
            <w:tcW w:w="0" w:type="dxa"/>
            <w:hideMark/>
          </w:tcPr>
          <w:p w14:paraId="2C890E7B" w14:textId="77777777" w:rsidR="00B6480D" w:rsidRPr="0011018C" w:rsidRDefault="00B6480D" w:rsidP="00312B4B">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0</w:t>
            </w:r>
          </w:p>
        </w:tc>
        <w:tc>
          <w:tcPr>
            <w:tcW w:w="0" w:type="dxa"/>
            <w:hideMark/>
          </w:tcPr>
          <w:p w14:paraId="20FD5037" w14:textId="77777777" w:rsidR="00B6480D" w:rsidRPr="0011018C" w:rsidRDefault="00B6480D" w:rsidP="00312B4B">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2</w:t>
            </w:r>
          </w:p>
        </w:tc>
        <w:tc>
          <w:tcPr>
            <w:tcW w:w="0" w:type="dxa"/>
            <w:hideMark/>
          </w:tcPr>
          <w:p w14:paraId="30FB050E" w14:textId="77777777" w:rsidR="00B6480D" w:rsidRPr="0011018C" w:rsidRDefault="00B6480D" w:rsidP="00312B4B">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6</w:t>
            </w:r>
          </w:p>
        </w:tc>
        <w:tc>
          <w:tcPr>
            <w:tcW w:w="0" w:type="dxa"/>
            <w:hideMark/>
          </w:tcPr>
          <w:p w14:paraId="28FDB0F8" w14:textId="77777777" w:rsidR="00B6480D" w:rsidRPr="0011018C" w:rsidRDefault="00B6480D" w:rsidP="00312B4B">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2</w:t>
            </w:r>
          </w:p>
        </w:tc>
      </w:tr>
    </w:tbl>
    <w:p w14:paraId="3F96612F" w14:textId="77777777" w:rsidR="00B6480D" w:rsidRDefault="00B6480D" w:rsidP="00F86068"/>
    <w:p w14:paraId="69BA947D" w14:textId="7F3F6F1B" w:rsidR="00F86068" w:rsidRDefault="00F86068" w:rsidP="00F86068">
      <w:r>
        <w:t xml:space="preserve">Table 1 shows that the periodicity of RACH resources of PRACH configuration index 0 is 160 </w:t>
      </w:r>
      <w:proofErr w:type="spellStart"/>
      <w:r>
        <w:t>ms.</w:t>
      </w:r>
      <w:proofErr w:type="spellEnd"/>
      <w:r>
        <w:t xml:space="preserve"> By using a scaling factor of 4, e.g., network reuse many parameters of PRACH configuration index 0 but still increase the backhaul PRACH periodicity to 640 </w:t>
      </w:r>
      <w:proofErr w:type="spellStart"/>
      <w:r>
        <w:t>ms.</w:t>
      </w:r>
      <w:proofErr w:type="spellEnd"/>
    </w:p>
    <w:p w14:paraId="42DC10B5" w14:textId="4499335D" w:rsidR="00DF38E0" w:rsidRPr="00DF38E0" w:rsidRDefault="00F86068" w:rsidP="00194A9F">
      <w:pPr>
        <w:rPr>
          <w:b/>
        </w:rPr>
      </w:pPr>
      <w:r w:rsidRPr="00EC0868">
        <w:rPr>
          <w:b/>
          <w:bCs/>
        </w:rPr>
        <w:t xml:space="preserve">Proposal </w:t>
      </w:r>
      <w:r w:rsidR="00722A3F">
        <w:rPr>
          <w:b/>
          <w:bCs/>
        </w:rPr>
        <w:t>2.</w:t>
      </w:r>
      <w:r w:rsidRPr="00EC0868">
        <w:rPr>
          <w:b/>
          <w:bCs/>
        </w:rPr>
        <w:t xml:space="preserve">1: </w:t>
      </w:r>
      <w:r w:rsidRPr="00EC0868">
        <w:rPr>
          <w:b/>
          <w:bCs/>
          <w:szCs w:val="20"/>
        </w:rPr>
        <w:t>Based on Rel-15 PRACH configurations, NR allows network to configure scaling factor to extend the periodicities of PRACH occasions for MT IAB node(s).</w:t>
      </w:r>
    </w:p>
    <w:p w14:paraId="204A3C2A" w14:textId="77777777" w:rsidR="00194A9F" w:rsidRDefault="00194A9F" w:rsidP="00194A9F"/>
    <w:p w14:paraId="40EEF2C3" w14:textId="1C25890F" w:rsidR="00FC0714" w:rsidRPr="0088737B" w:rsidRDefault="00FC0714" w:rsidP="00312B4B">
      <w:pPr>
        <w:pStyle w:val="Heading1"/>
      </w:pPr>
      <w:r w:rsidRPr="0088737B">
        <w:t>Inter-</w:t>
      </w:r>
      <w:r w:rsidR="00A76134">
        <w:t>node</w:t>
      </w:r>
      <w:r w:rsidRPr="0088737B">
        <w:t xml:space="preserve"> discovery and measurements</w:t>
      </w:r>
    </w:p>
    <w:p w14:paraId="7ED57CA0" w14:textId="20328229" w:rsidR="00CC0D94" w:rsidRPr="00CC0D94" w:rsidRDefault="00F74044" w:rsidP="00CC0D94">
      <w:pPr>
        <w:rPr>
          <w:lang w:val="en-GB"/>
        </w:rPr>
      </w:pPr>
      <w:r>
        <w:t>RAN1 #9</w:t>
      </w:r>
      <w:r w:rsidR="00332C47">
        <w:t>4</w:t>
      </w:r>
      <w:r w:rsidR="00C56892">
        <w:t>bis</w:t>
      </w:r>
      <w:r w:rsidR="0065338B">
        <w:t xml:space="preserve"> agreed on the avoidance of any muting of SSB intended for UEs during inter-node cell search and link measurements</w:t>
      </w:r>
      <w:r w:rsidR="00496435">
        <w:t xml:space="preserve"> during stage 2. Further to that it was agreed that the proposed solutions for stage 2</w:t>
      </w:r>
      <w:r w:rsidR="00C56892">
        <w:t xml:space="preserve"> </w:t>
      </w:r>
      <w:r w:rsidR="00496435">
        <w:t xml:space="preserve">(SSB based solutions 1-A and 1-B, and CSI-RS solution) are supported as defined for the appropriate mode of operation: SA vs NSA, as well as </w:t>
      </w:r>
      <w:r w:rsidR="004F7027">
        <w:t>synchronous</w:t>
      </w:r>
      <w:r w:rsidR="00496435">
        <w:t xml:space="preserve"> vs asynchronous networks </w:t>
      </w:r>
      <w:r w:rsidR="00C56892">
        <w:t xml:space="preserve">(see section </w:t>
      </w:r>
      <w:r w:rsidR="00C56892">
        <w:fldChar w:fldCharType="begin"/>
      </w:r>
      <w:r w:rsidR="00C56892">
        <w:instrText xml:space="preserve"> REF _Ref528844030 \r \h </w:instrText>
      </w:r>
      <w:r w:rsidR="00C56892">
        <w:fldChar w:fldCharType="separate"/>
      </w:r>
      <w:r w:rsidR="00E050EE">
        <w:t>11.2.1</w:t>
      </w:r>
      <w:r w:rsidR="00C56892">
        <w:fldChar w:fldCharType="end"/>
      </w:r>
      <w:r w:rsidR="00C56892">
        <w:t>).</w:t>
      </w:r>
    </w:p>
    <w:p w14:paraId="49AEB85C" w14:textId="7966A172" w:rsidR="00B3160B" w:rsidRPr="0011018C" w:rsidRDefault="0011018C" w:rsidP="0011018C">
      <w:pPr>
        <w:pStyle w:val="Heading2"/>
        <w:spacing w:after="240"/>
        <w:rPr>
          <w:rStyle w:val="Strong"/>
          <w:b w:val="0"/>
          <w:bCs w:val="0"/>
          <w:sz w:val="28"/>
        </w:rPr>
      </w:pPr>
      <w:r>
        <w:rPr>
          <w:rStyle w:val="Strong"/>
          <w:b w:val="0"/>
          <w:bCs w:val="0"/>
          <w:sz w:val="28"/>
        </w:rPr>
        <w:t xml:space="preserve"> </w:t>
      </w:r>
      <w:r w:rsidR="00B3160B" w:rsidRPr="0011018C">
        <w:rPr>
          <w:rStyle w:val="Strong"/>
          <w:b w:val="0"/>
          <w:bCs w:val="0"/>
          <w:sz w:val="28"/>
        </w:rPr>
        <w:t>Half-duplex constraint and TX/RX coordination</w:t>
      </w:r>
    </w:p>
    <w:p w14:paraId="4EE38D05" w14:textId="63AECEBE" w:rsidR="00B3160B" w:rsidRDefault="00B3160B" w:rsidP="00B3160B">
      <w:r>
        <w:t>A</w:t>
      </w:r>
      <w:r w:rsidR="00C95310">
        <w:t>t the basis</w:t>
      </w:r>
      <w:r>
        <w:t xml:space="preserve"> </w:t>
      </w:r>
      <w:r w:rsidR="00C95310">
        <w:t>of the aforementioned</w:t>
      </w:r>
      <w:r>
        <w:t xml:space="preserve"> agreement</w:t>
      </w:r>
      <w:r w:rsidR="00C95310">
        <w:t>s</w:t>
      </w:r>
      <w:r>
        <w:t xml:space="preserve">, a major design consideration for the IAB discovery and measurements is the </w:t>
      </w:r>
      <w:r w:rsidRPr="00F74044">
        <w:rPr>
          <w:b/>
        </w:rPr>
        <w:t>half-duplex constraint</w:t>
      </w:r>
      <w:r>
        <w:t xml:space="preserve"> of the IAB-nodes. To address the issue, IAB-nodes should coordinate their TX and RX </w:t>
      </w:r>
      <w:r w:rsidRPr="00725AE8">
        <w:rPr>
          <w:b/>
        </w:rPr>
        <w:t xml:space="preserve">(TX/RX </w:t>
      </w:r>
      <w:r>
        <w:rPr>
          <w:b/>
        </w:rPr>
        <w:t>c</w:t>
      </w:r>
      <w:r w:rsidRPr="00725AE8">
        <w:rPr>
          <w:b/>
        </w:rPr>
        <w:t xml:space="preserve">oordination, or </w:t>
      </w:r>
      <w:r w:rsidRPr="004F2DB1">
        <w:rPr>
          <w:b/>
        </w:rPr>
        <w:t>muting pattern</w:t>
      </w:r>
      <w:r w:rsidRPr="00725AE8">
        <w:rPr>
          <w:b/>
        </w:rPr>
        <w:t xml:space="preserve">) </w:t>
      </w:r>
      <w:r>
        <w:t>to enable discovering/measuring other IAB-nodes while being discoverable/measurable by other IAB-nodes.</w:t>
      </w:r>
    </w:p>
    <w:p w14:paraId="0AA5CC5D" w14:textId="77777777" w:rsidR="00B3160B" w:rsidRDefault="00B3160B" w:rsidP="00B3160B">
      <w:r>
        <w:t>We note that half-duplex is a general constraint, irrespective of the exact discovery/measurement solution being SSB based or CSI-RS based. However, how half-duplex is handled may depend on the adopted discovery/measurement solution.</w:t>
      </w:r>
    </w:p>
    <w:p w14:paraId="159DD392" w14:textId="77777777" w:rsidR="00B3160B" w:rsidRDefault="00B3160B" w:rsidP="00B3160B">
      <w:pPr>
        <w:keepNext/>
        <w:jc w:val="center"/>
      </w:pPr>
      <w:r>
        <w:rPr>
          <w:noProof/>
        </w:rPr>
        <w:lastRenderedPageBreak/>
        <w:drawing>
          <wp:inline distT="0" distB="0" distL="0" distR="0" wp14:anchorId="38B22478" wp14:editId="252DE936">
            <wp:extent cx="5310836" cy="167445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50084" cy="1686827"/>
                    </a:xfrm>
                    <a:prstGeom prst="rect">
                      <a:avLst/>
                    </a:prstGeom>
                    <a:noFill/>
                  </pic:spPr>
                </pic:pic>
              </a:graphicData>
            </a:graphic>
          </wp:inline>
        </w:drawing>
      </w:r>
    </w:p>
    <w:p w14:paraId="62CA3BF6" w14:textId="3F8DE6FF" w:rsidR="00B3160B" w:rsidRDefault="00B3160B" w:rsidP="00B3160B">
      <w:pPr>
        <w:pStyle w:val="Caption"/>
        <w:jc w:val="center"/>
      </w:pPr>
      <w:bookmarkStart w:id="4" w:name="_Ref521587100"/>
      <w:r>
        <w:t xml:space="preserve">Figure </w:t>
      </w:r>
      <w:r>
        <w:rPr>
          <w:noProof/>
        </w:rPr>
        <w:fldChar w:fldCharType="begin"/>
      </w:r>
      <w:r>
        <w:rPr>
          <w:noProof/>
        </w:rPr>
        <w:instrText xml:space="preserve"> SEQ Figure \* ARABIC </w:instrText>
      </w:r>
      <w:r>
        <w:rPr>
          <w:noProof/>
        </w:rPr>
        <w:fldChar w:fldCharType="separate"/>
      </w:r>
      <w:r w:rsidR="00E050EE">
        <w:rPr>
          <w:noProof/>
        </w:rPr>
        <w:t>1</w:t>
      </w:r>
      <w:r>
        <w:rPr>
          <w:noProof/>
        </w:rPr>
        <w:fldChar w:fldCharType="end"/>
      </w:r>
      <w:bookmarkEnd w:id="4"/>
      <w:r>
        <w:t>: an example of TX/RX coordination to enable IAB discovery and measurements</w:t>
      </w:r>
    </w:p>
    <w:p w14:paraId="036B47DA" w14:textId="77777777" w:rsidR="00B3160B" w:rsidRDefault="00B3160B" w:rsidP="00B3160B"/>
    <w:p w14:paraId="45B036DC" w14:textId="2EE4AE9C" w:rsidR="00B3160B" w:rsidRDefault="00B3160B" w:rsidP="00B3160B">
      <w:r>
        <w:fldChar w:fldCharType="begin"/>
      </w:r>
      <w:r>
        <w:instrText xml:space="preserve"> REF _Ref521587100 \h </w:instrText>
      </w:r>
      <w:r>
        <w:fldChar w:fldCharType="separate"/>
      </w:r>
      <w:r w:rsidR="00E050EE">
        <w:t xml:space="preserve">Figure </w:t>
      </w:r>
      <w:r w:rsidR="00E050EE">
        <w:rPr>
          <w:noProof/>
        </w:rPr>
        <w:t>1</w:t>
      </w:r>
      <w:r>
        <w:fldChar w:fldCharType="end"/>
      </w:r>
      <w:r>
        <w:t xml:space="preserve"> shows an example of a TX/RX coordination pattern that is determined based on the hop-count (i.e. distance to the IAB-donor in terms of number of links) and allows measurement of the neighboring IAB-nodes that are 1 hop away (i.e. parent and children).</w:t>
      </w:r>
    </w:p>
    <w:p w14:paraId="14356666" w14:textId="6362EC86" w:rsidR="00B3160B" w:rsidRDefault="00B3160B" w:rsidP="00B3160B">
      <w:r>
        <w:t xml:space="preserve">In practice, different patterns may be adopted. These patterns can be divided into different categories, as shown in </w:t>
      </w:r>
      <w:r>
        <w:fldChar w:fldCharType="begin"/>
      </w:r>
      <w:r>
        <w:instrText xml:space="preserve"> REF _Ref521587658 \h </w:instrText>
      </w:r>
      <w:r>
        <w:fldChar w:fldCharType="separate"/>
      </w:r>
      <w:r w:rsidR="00E050EE">
        <w:t xml:space="preserve">Table </w:t>
      </w:r>
      <w:r w:rsidR="00E050EE">
        <w:rPr>
          <w:noProof/>
        </w:rPr>
        <w:t>2</w:t>
      </w:r>
      <w:r>
        <w:fldChar w:fldCharType="end"/>
      </w:r>
      <w:r>
        <w:t xml:space="preserve">. </w:t>
      </w:r>
      <w:r>
        <w:fldChar w:fldCharType="begin"/>
      </w:r>
      <w:r>
        <w:instrText xml:space="preserve"> REF _Ref521587100 \h </w:instrText>
      </w:r>
      <w:r>
        <w:fldChar w:fldCharType="separate"/>
      </w:r>
      <w:r w:rsidR="00E050EE">
        <w:t xml:space="preserve">Figure </w:t>
      </w:r>
      <w:r w:rsidR="00E050EE">
        <w:rPr>
          <w:noProof/>
        </w:rPr>
        <w:t>1</w:t>
      </w:r>
      <w:r>
        <w:fldChar w:fldCharType="end"/>
      </w:r>
      <w:r>
        <w:t xml:space="preserve"> shows an example of a </w:t>
      </w:r>
      <w:r w:rsidRPr="006F0375">
        <w:rPr>
          <w:b/>
        </w:rPr>
        <w:t>periodic</w:t>
      </w:r>
      <w:r>
        <w:t xml:space="preserve"> pattern, that would provide multiple periodic opportunities for </w:t>
      </w:r>
      <w:r w:rsidRPr="006F0375">
        <w:rPr>
          <w:i/>
        </w:rPr>
        <w:t>measurements and tracking</w:t>
      </w:r>
      <w:r>
        <w:t xml:space="preserve">. A </w:t>
      </w:r>
      <w:r w:rsidRPr="006F0375">
        <w:rPr>
          <w:b/>
        </w:rPr>
        <w:t>pseudo-random</w:t>
      </w:r>
      <w:r>
        <w:t xml:space="preserve"> pattern, where an IAB-node chooses the resources for TX and RX more randomly, seems more suitable to increase the chance of </w:t>
      </w:r>
      <w:r w:rsidRPr="006F0375">
        <w:rPr>
          <w:i/>
        </w:rPr>
        <w:t>discovery</w:t>
      </w:r>
      <w:r>
        <w:t xml:space="preserve">. On the other hand, the coordination can be done more </w:t>
      </w:r>
      <w:r w:rsidRPr="00D63913">
        <w:rPr>
          <w:b/>
        </w:rPr>
        <w:t>dynamically</w:t>
      </w:r>
      <w:r>
        <w:t xml:space="preserve"> (e.g. when a CSI-RS based solution is adopted) to provide </w:t>
      </w:r>
      <w:r w:rsidRPr="00D63913">
        <w:rPr>
          <w:i/>
        </w:rPr>
        <w:t>flexibility</w:t>
      </w:r>
      <w:r>
        <w:t xml:space="preserve"> to (re)select an efficient pattern.</w:t>
      </w:r>
    </w:p>
    <w:p w14:paraId="5FA60DAD" w14:textId="0B010D76" w:rsidR="00B3160B" w:rsidRDefault="00B3160B" w:rsidP="00B3160B">
      <w:pPr>
        <w:pStyle w:val="Caption"/>
        <w:keepNext/>
        <w:jc w:val="center"/>
      </w:pPr>
      <w:bookmarkStart w:id="5" w:name="_Ref521587658"/>
      <w:r>
        <w:t xml:space="preserve">Table </w:t>
      </w:r>
      <w:r>
        <w:rPr>
          <w:noProof/>
        </w:rPr>
        <w:fldChar w:fldCharType="begin"/>
      </w:r>
      <w:r>
        <w:rPr>
          <w:noProof/>
        </w:rPr>
        <w:instrText xml:space="preserve"> SEQ Table \* ARABIC </w:instrText>
      </w:r>
      <w:r>
        <w:rPr>
          <w:noProof/>
        </w:rPr>
        <w:fldChar w:fldCharType="separate"/>
      </w:r>
      <w:r w:rsidR="00E050EE">
        <w:rPr>
          <w:noProof/>
        </w:rPr>
        <w:t>2</w:t>
      </w:r>
      <w:r>
        <w:rPr>
          <w:noProof/>
        </w:rPr>
        <w:fldChar w:fldCharType="end"/>
      </w:r>
      <w:bookmarkEnd w:id="5"/>
      <w:r>
        <w:t>: TX/RX coordination pattern</w:t>
      </w:r>
    </w:p>
    <w:tbl>
      <w:tblPr>
        <w:tblStyle w:val="GridTable4"/>
        <w:tblW w:w="8122" w:type="dxa"/>
        <w:jc w:val="center"/>
        <w:tblLook w:val="0420" w:firstRow="1" w:lastRow="0" w:firstColumn="0" w:lastColumn="0" w:noHBand="0" w:noVBand="1"/>
      </w:tblPr>
      <w:tblGrid>
        <w:gridCol w:w="2247"/>
        <w:gridCol w:w="2382"/>
        <w:gridCol w:w="1212"/>
        <w:gridCol w:w="2281"/>
      </w:tblGrid>
      <w:tr w:rsidR="00B3160B" w:rsidRPr="00E42E33" w14:paraId="6D2E7626" w14:textId="77777777" w:rsidTr="00117DFB">
        <w:trPr>
          <w:cnfStyle w:val="100000000000" w:firstRow="1" w:lastRow="0" w:firstColumn="0" w:lastColumn="0" w:oddVBand="0" w:evenVBand="0" w:oddHBand="0" w:evenHBand="0" w:firstRowFirstColumn="0" w:firstRowLastColumn="0" w:lastRowFirstColumn="0" w:lastRowLastColumn="0"/>
          <w:trHeight w:val="340"/>
          <w:jc w:val="center"/>
        </w:trPr>
        <w:tc>
          <w:tcPr>
            <w:tcW w:w="22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0678FA7" w14:textId="77777777" w:rsidR="00B3160B" w:rsidRPr="00E42E33" w:rsidRDefault="00B3160B" w:rsidP="00117DFB">
            <w:pPr>
              <w:spacing w:after="0" w:line="240" w:lineRule="auto"/>
              <w:jc w:val="center"/>
              <w:rPr>
                <w:rFonts w:ascii="Arial" w:eastAsia="Times New Roman" w:hAnsi="Arial" w:cs="Arial"/>
                <w:sz w:val="24"/>
                <w:szCs w:val="24"/>
              </w:rPr>
            </w:pPr>
            <w:r w:rsidRPr="00E42E33">
              <w:rPr>
                <w:rFonts w:ascii="Microsoft Sans Serif" w:eastAsia="Times New Roman" w:hAnsi="Microsoft Sans Serif" w:cs="Microsoft Sans Serif"/>
                <w:color w:val="FFFFFF" w:themeColor="light1"/>
                <w:kern w:val="24"/>
                <w:sz w:val="24"/>
                <w:szCs w:val="24"/>
              </w:rPr>
              <w:t>Pattern</w:t>
            </w:r>
          </w:p>
        </w:tc>
        <w:tc>
          <w:tcPr>
            <w:tcW w:w="23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FFE9911" w14:textId="77777777" w:rsidR="00B3160B" w:rsidRPr="00E42E33" w:rsidRDefault="00B3160B" w:rsidP="00117DFB">
            <w:pPr>
              <w:spacing w:after="0" w:line="240" w:lineRule="auto"/>
              <w:jc w:val="center"/>
              <w:rPr>
                <w:rFonts w:ascii="Arial" w:eastAsia="Times New Roman" w:hAnsi="Arial" w:cs="Arial"/>
                <w:sz w:val="24"/>
                <w:szCs w:val="24"/>
              </w:rPr>
            </w:pPr>
            <w:r w:rsidRPr="00E42E33">
              <w:rPr>
                <w:rFonts w:ascii="Microsoft Sans Serif" w:eastAsia="Times New Roman" w:hAnsi="Microsoft Sans Serif" w:cs="Microsoft Sans Serif"/>
                <w:color w:val="FFFFFF" w:themeColor="light1"/>
                <w:kern w:val="24"/>
                <w:sz w:val="24"/>
                <w:szCs w:val="24"/>
              </w:rPr>
              <w:t>Signaling overhead</w:t>
            </w:r>
          </w:p>
        </w:tc>
        <w:tc>
          <w:tcPr>
            <w:tcW w:w="12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542D8C7" w14:textId="77777777" w:rsidR="00B3160B" w:rsidRPr="00E42E33" w:rsidRDefault="00B3160B" w:rsidP="00117DFB">
            <w:pPr>
              <w:spacing w:after="0" w:line="240" w:lineRule="auto"/>
              <w:jc w:val="center"/>
              <w:rPr>
                <w:rFonts w:ascii="Arial" w:eastAsia="Times New Roman" w:hAnsi="Arial" w:cs="Arial"/>
                <w:sz w:val="24"/>
                <w:szCs w:val="24"/>
              </w:rPr>
            </w:pPr>
            <w:r w:rsidRPr="00E42E33">
              <w:rPr>
                <w:rFonts w:ascii="Microsoft Sans Serif" w:eastAsia="Times New Roman" w:hAnsi="Microsoft Sans Serif" w:cs="Microsoft Sans Serif"/>
                <w:color w:val="FFFFFF" w:themeColor="light1"/>
                <w:kern w:val="24"/>
                <w:sz w:val="24"/>
                <w:szCs w:val="24"/>
              </w:rPr>
              <w:t>Flexibility</w:t>
            </w:r>
          </w:p>
        </w:tc>
        <w:tc>
          <w:tcPr>
            <w:tcW w:w="22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083039C" w14:textId="77777777" w:rsidR="00B3160B" w:rsidRPr="00E42E33" w:rsidRDefault="00B3160B" w:rsidP="00117DFB">
            <w:pPr>
              <w:spacing w:after="0" w:line="240" w:lineRule="auto"/>
              <w:jc w:val="center"/>
              <w:rPr>
                <w:rFonts w:ascii="Arial" w:eastAsia="Times New Roman" w:hAnsi="Arial" w:cs="Arial"/>
                <w:sz w:val="24"/>
                <w:szCs w:val="24"/>
              </w:rPr>
            </w:pPr>
            <w:r w:rsidRPr="00E42E33">
              <w:rPr>
                <w:rFonts w:ascii="Microsoft Sans Serif" w:eastAsia="Times New Roman" w:hAnsi="Microsoft Sans Serif" w:cs="Microsoft Sans Serif"/>
                <w:color w:val="FFFFFF" w:themeColor="light1"/>
                <w:kern w:val="24"/>
                <w:sz w:val="24"/>
                <w:szCs w:val="24"/>
              </w:rPr>
              <w:t xml:space="preserve">Main use case </w:t>
            </w:r>
          </w:p>
        </w:tc>
      </w:tr>
      <w:tr w:rsidR="00B3160B" w:rsidRPr="00E42E33" w14:paraId="6DC5BCBB" w14:textId="77777777" w:rsidTr="00117DFB">
        <w:trPr>
          <w:cnfStyle w:val="000000100000" w:firstRow="0" w:lastRow="0" w:firstColumn="0" w:lastColumn="0" w:oddVBand="0" w:evenVBand="0" w:oddHBand="1" w:evenHBand="0" w:firstRowFirstColumn="0" w:firstRowLastColumn="0" w:lastRowFirstColumn="0" w:lastRowLastColumn="0"/>
          <w:trHeight w:val="340"/>
          <w:jc w:val="center"/>
        </w:trPr>
        <w:tc>
          <w:tcPr>
            <w:tcW w:w="2247" w:type="dxa"/>
            <w:tcBorders>
              <w:top w:val="single" w:sz="4" w:space="0" w:color="FFFFFF" w:themeColor="background1"/>
            </w:tcBorders>
            <w:hideMark/>
          </w:tcPr>
          <w:p w14:paraId="2A778106"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b/>
                <w:bCs/>
                <w:color w:val="000000" w:themeColor="dark1"/>
                <w:kern w:val="24"/>
                <w:sz w:val="24"/>
                <w:szCs w:val="24"/>
              </w:rPr>
              <w:t>Semi-persistent/periodic</w:t>
            </w:r>
          </w:p>
        </w:tc>
        <w:tc>
          <w:tcPr>
            <w:tcW w:w="2382" w:type="dxa"/>
            <w:tcBorders>
              <w:top w:val="single" w:sz="4" w:space="0" w:color="FFFFFF" w:themeColor="background1"/>
            </w:tcBorders>
            <w:hideMark/>
          </w:tcPr>
          <w:p w14:paraId="459D8857"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None (spec’d) to medium</w:t>
            </w:r>
          </w:p>
        </w:tc>
        <w:tc>
          <w:tcPr>
            <w:tcW w:w="1212" w:type="dxa"/>
            <w:tcBorders>
              <w:top w:val="single" w:sz="4" w:space="0" w:color="FFFFFF" w:themeColor="background1"/>
            </w:tcBorders>
            <w:hideMark/>
          </w:tcPr>
          <w:p w14:paraId="47843E2F"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Medium</w:t>
            </w:r>
          </w:p>
        </w:tc>
        <w:tc>
          <w:tcPr>
            <w:tcW w:w="2281" w:type="dxa"/>
            <w:tcBorders>
              <w:top w:val="single" w:sz="4" w:space="0" w:color="FFFFFF" w:themeColor="background1"/>
            </w:tcBorders>
            <w:hideMark/>
          </w:tcPr>
          <w:p w14:paraId="37525CFA"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Measurement</w:t>
            </w:r>
          </w:p>
        </w:tc>
      </w:tr>
      <w:tr w:rsidR="00B3160B" w:rsidRPr="00E42E33" w14:paraId="238E0C50" w14:textId="77777777" w:rsidTr="00117DFB">
        <w:trPr>
          <w:trHeight w:val="340"/>
          <w:jc w:val="center"/>
        </w:trPr>
        <w:tc>
          <w:tcPr>
            <w:tcW w:w="2247" w:type="dxa"/>
            <w:hideMark/>
          </w:tcPr>
          <w:p w14:paraId="55E650F0"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b/>
                <w:bCs/>
                <w:color w:val="000000" w:themeColor="dark1"/>
                <w:kern w:val="24"/>
                <w:sz w:val="24"/>
                <w:szCs w:val="24"/>
              </w:rPr>
              <w:t>Pseudo-random</w:t>
            </w:r>
          </w:p>
        </w:tc>
        <w:tc>
          <w:tcPr>
            <w:tcW w:w="2382" w:type="dxa"/>
            <w:hideMark/>
          </w:tcPr>
          <w:p w14:paraId="7FBBDC87"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None (spec’d) to low</w:t>
            </w:r>
          </w:p>
        </w:tc>
        <w:tc>
          <w:tcPr>
            <w:tcW w:w="1212" w:type="dxa"/>
            <w:hideMark/>
          </w:tcPr>
          <w:p w14:paraId="650822F9"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Low</w:t>
            </w:r>
          </w:p>
        </w:tc>
        <w:tc>
          <w:tcPr>
            <w:tcW w:w="2281" w:type="dxa"/>
            <w:hideMark/>
          </w:tcPr>
          <w:p w14:paraId="04329515"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Discovery</w:t>
            </w:r>
          </w:p>
        </w:tc>
      </w:tr>
      <w:tr w:rsidR="00B3160B" w:rsidRPr="00E42E33" w14:paraId="1DE3D66B" w14:textId="77777777" w:rsidTr="00117DFB">
        <w:trPr>
          <w:cnfStyle w:val="000000100000" w:firstRow="0" w:lastRow="0" w:firstColumn="0" w:lastColumn="0" w:oddVBand="0" w:evenVBand="0" w:oddHBand="1" w:evenHBand="0" w:firstRowFirstColumn="0" w:firstRowLastColumn="0" w:lastRowFirstColumn="0" w:lastRowLastColumn="0"/>
          <w:trHeight w:val="340"/>
          <w:jc w:val="center"/>
        </w:trPr>
        <w:tc>
          <w:tcPr>
            <w:tcW w:w="2247" w:type="dxa"/>
            <w:hideMark/>
          </w:tcPr>
          <w:p w14:paraId="1B7B300F"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b/>
                <w:bCs/>
                <w:color w:val="000000" w:themeColor="dark1"/>
                <w:kern w:val="24"/>
                <w:sz w:val="24"/>
                <w:szCs w:val="24"/>
              </w:rPr>
              <w:t>Dynamic</w:t>
            </w:r>
          </w:p>
        </w:tc>
        <w:tc>
          <w:tcPr>
            <w:tcW w:w="2382" w:type="dxa"/>
            <w:hideMark/>
          </w:tcPr>
          <w:p w14:paraId="5FEF5E81"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High</w:t>
            </w:r>
          </w:p>
        </w:tc>
        <w:tc>
          <w:tcPr>
            <w:tcW w:w="1212" w:type="dxa"/>
            <w:hideMark/>
          </w:tcPr>
          <w:p w14:paraId="7D095765"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High</w:t>
            </w:r>
          </w:p>
        </w:tc>
        <w:tc>
          <w:tcPr>
            <w:tcW w:w="2281" w:type="dxa"/>
            <w:hideMark/>
          </w:tcPr>
          <w:p w14:paraId="6A6ACA68" w14:textId="77777777" w:rsidR="00B3160B" w:rsidRPr="00E42E33" w:rsidRDefault="00B3160B" w:rsidP="00117DFB">
            <w:pPr>
              <w:spacing w:after="0" w:line="240" w:lineRule="auto"/>
              <w:rPr>
                <w:rFonts w:ascii="Arial" w:eastAsia="Times New Roman" w:hAnsi="Arial" w:cs="Arial"/>
                <w:sz w:val="24"/>
                <w:szCs w:val="24"/>
              </w:rPr>
            </w:pPr>
            <w:r w:rsidRPr="00E42E33">
              <w:rPr>
                <w:rFonts w:ascii="Microsoft Sans Serif" w:eastAsia="Times New Roman" w:hAnsi="Microsoft Sans Serif" w:cs="Microsoft Sans Serif"/>
                <w:color w:val="000000" w:themeColor="dark1"/>
                <w:kern w:val="24"/>
                <w:sz w:val="24"/>
                <w:szCs w:val="24"/>
              </w:rPr>
              <w:t>Discovery/ measurement</w:t>
            </w:r>
          </w:p>
        </w:tc>
      </w:tr>
    </w:tbl>
    <w:p w14:paraId="48A58A28" w14:textId="77777777" w:rsidR="00B3160B" w:rsidRDefault="00B3160B" w:rsidP="00B3160B"/>
    <w:p w14:paraId="11B1FEB8" w14:textId="77CE9AB8" w:rsidR="00B3160B" w:rsidRDefault="00B3160B" w:rsidP="00B3160B">
      <w:pPr>
        <w:rPr>
          <w:b/>
        </w:rPr>
      </w:pPr>
      <w:bookmarkStart w:id="6" w:name="_Hlk525834030"/>
      <w:r>
        <w:rPr>
          <w:b/>
        </w:rPr>
        <w:t>Proposal</w:t>
      </w:r>
      <w:r w:rsidRPr="00F74140">
        <w:rPr>
          <w:b/>
        </w:rPr>
        <w:t xml:space="preserve"> </w:t>
      </w:r>
      <w:r w:rsidR="0011018C">
        <w:rPr>
          <w:b/>
        </w:rPr>
        <w:t>3</w:t>
      </w:r>
      <w:r>
        <w:rPr>
          <w:b/>
        </w:rPr>
        <w:t>.</w:t>
      </w:r>
      <w:r w:rsidR="003604FB">
        <w:rPr>
          <w:b/>
        </w:rPr>
        <w:t>1</w:t>
      </w:r>
      <w:r w:rsidRPr="00F74140">
        <w:rPr>
          <w:b/>
        </w:rPr>
        <w:t xml:space="preserve">: </w:t>
      </w:r>
      <w:r>
        <w:rPr>
          <w:b/>
        </w:rPr>
        <w:t>to address the half-duplex constraint in the IAB-node discovery and measurements, support different TX/RX coordination</w:t>
      </w:r>
      <w:r w:rsidRPr="00C916BF">
        <w:rPr>
          <w:b/>
        </w:rPr>
        <w:t xml:space="preserve"> pattern</w:t>
      </w:r>
      <w:r>
        <w:rPr>
          <w:b/>
        </w:rPr>
        <w:t xml:space="preserve">s. The patterns may be (pseudo-)random, semi-persistent/periodic, or dynamically configured. </w:t>
      </w:r>
    </w:p>
    <w:bookmarkEnd w:id="6"/>
    <w:p w14:paraId="748598AE" w14:textId="77777777" w:rsidR="00B3160B" w:rsidRDefault="00B3160B" w:rsidP="00B3160B"/>
    <w:p w14:paraId="443F421F" w14:textId="50C47AD8" w:rsidR="00B3160B" w:rsidRDefault="00B3160B" w:rsidP="00B3160B">
      <w:r>
        <w:t xml:space="preserve">There are also different ways to configure the coordination pattern. In general, the configuration may be done in a centralized manner by the network (e.g. IAB-donor’s CU), or in a distributed way. Centralized schemes allow better optimizations but may impose more signaling overhead and a slower operation. In the distributed schemes, we may either consider distributed coordination among IAB-nodes to determine a TX/RX pattern or predefine some rules that can be followed by each IAB-node individually, with no need to do explicit coordination. The required signaling to enable these different schemes should be further studied. </w:t>
      </w:r>
    </w:p>
    <w:p w14:paraId="1CA991E1" w14:textId="77777777" w:rsidR="00117DFB" w:rsidRDefault="00117DFB" w:rsidP="00B3160B"/>
    <w:p w14:paraId="49D8834A" w14:textId="5008AF17" w:rsidR="00B3160B" w:rsidRDefault="00B3160B" w:rsidP="00B3160B">
      <w:pPr>
        <w:pStyle w:val="Caption"/>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sidR="00E050EE">
        <w:rPr>
          <w:noProof/>
        </w:rPr>
        <w:t>3</w:t>
      </w:r>
      <w:r>
        <w:rPr>
          <w:noProof/>
        </w:rPr>
        <w:fldChar w:fldCharType="end"/>
      </w:r>
      <w:r>
        <w:t>: Configuration of TX/RX pattern</w:t>
      </w:r>
    </w:p>
    <w:tbl>
      <w:tblPr>
        <w:tblStyle w:val="GridTable4"/>
        <w:tblW w:w="97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20" w:firstRow="1" w:lastRow="0" w:firstColumn="0" w:lastColumn="0" w:noHBand="0" w:noVBand="1"/>
      </w:tblPr>
      <w:tblGrid>
        <w:gridCol w:w="1507"/>
        <w:gridCol w:w="3168"/>
        <w:gridCol w:w="2425"/>
        <w:gridCol w:w="2680"/>
      </w:tblGrid>
      <w:tr w:rsidR="00B3160B" w:rsidRPr="00DB2223" w14:paraId="13B2B55B" w14:textId="77777777" w:rsidTr="00117DFB">
        <w:trPr>
          <w:cnfStyle w:val="100000000000" w:firstRow="1" w:lastRow="0" w:firstColumn="0" w:lastColumn="0" w:oddVBand="0" w:evenVBand="0" w:oddHBand="0" w:evenHBand="0" w:firstRowFirstColumn="0" w:firstRowLastColumn="0" w:lastRowFirstColumn="0" w:lastRowLastColumn="0"/>
          <w:trHeight w:val="432"/>
        </w:trPr>
        <w:tc>
          <w:tcPr>
            <w:tcW w:w="1507" w:type="dxa"/>
            <w:tcBorders>
              <w:top w:val="none" w:sz="0" w:space="0" w:color="auto"/>
              <w:left w:val="none" w:sz="0" w:space="0" w:color="auto"/>
              <w:bottom w:val="single" w:sz="4" w:space="0" w:color="FFFFFF" w:themeColor="background1"/>
              <w:right w:val="none" w:sz="0" w:space="0" w:color="auto"/>
            </w:tcBorders>
            <w:hideMark/>
          </w:tcPr>
          <w:p w14:paraId="12319A88" w14:textId="77777777" w:rsidR="00B3160B" w:rsidRPr="00DB2223" w:rsidRDefault="00B3160B" w:rsidP="00117DFB">
            <w:pPr>
              <w:spacing w:after="0" w:line="240" w:lineRule="auto"/>
              <w:jc w:val="center"/>
              <w:rPr>
                <w:rFonts w:ascii="Arial" w:eastAsia="Times New Roman" w:hAnsi="Arial" w:cs="Arial"/>
                <w:sz w:val="24"/>
                <w:szCs w:val="24"/>
              </w:rPr>
            </w:pPr>
            <w:r>
              <w:rPr>
                <w:rFonts w:ascii="Microsoft Sans Serif" w:eastAsia="Times New Roman" w:hAnsi="Microsoft Sans Serif" w:cs="Microsoft Sans Serif"/>
                <w:color w:val="FFFFFF" w:themeColor="light1"/>
                <w:kern w:val="24"/>
                <w:sz w:val="24"/>
                <w:szCs w:val="24"/>
              </w:rPr>
              <w:t>Method</w:t>
            </w:r>
          </w:p>
        </w:tc>
        <w:tc>
          <w:tcPr>
            <w:tcW w:w="3168" w:type="dxa"/>
            <w:tcBorders>
              <w:top w:val="none" w:sz="0" w:space="0" w:color="auto"/>
              <w:left w:val="none" w:sz="0" w:space="0" w:color="auto"/>
              <w:bottom w:val="single" w:sz="4" w:space="0" w:color="FFFFFF" w:themeColor="background1"/>
              <w:right w:val="none" w:sz="0" w:space="0" w:color="auto"/>
            </w:tcBorders>
            <w:hideMark/>
          </w:tcPr>
          <w:p w14:paraId="1402156C" w14:textId="77777777" w:rsidR="00B3160B" w:rsidRPr="00DB2223" w:rsidRDefault="00B3160B" w:rsidP="00117DFB">
            <w:pPr>
              <w:spacing w:after="0" w:line="240" w:lineRule="auto"/>
              <w:jc w:val="center"/>
              <w:rPr>
                <w:rFonts w:ascii="Arial" w:eastAsia="Times New Roman" w:hAnsi="Arial" w:cs="Arial"/>
                <w:sz w:val="24"/>
                <w:szCs w:val="24"/>
              </w:rPr>
            </w:pPr>
            <w:r w:rsidRPr="00DB2223">
              <w:rPr>
                <w:rFonts w:ascii="Microsoft Sans Serif" w:eastAsia="Times New Roman" w:hAnsi="Microsoft Sans Serif" w:cs="Microsoft Sans Serif"/>
                <w:color w:val="FFFFFF" w:themeColor="light1"/>
                <w:kern w:val="24"/>
                <w:sz w:val="24"/>
                <w:szCs w:val="24"/>
              </w:rPr>
              <w:t>Description</w:t>
            </w:r>
          </w:p>
        </w:tc>
        <w:tc>
          <w:tcPr>
            <w:tcW w:w="2425" w:type="dxa"/>
            <w:tcBorders>
              <w:top w:val="none" w:sz="0" w:space="0" w:color="auto"/>
              <w:left w:val="none" w:sz="0" w:space="0" w:color="auto"/>
              <w:bottom w:val="single" w:sz="4" w:space="0" w:color="FFFFFF" w:themeColor="background1"/>
              <w:right w:val="none" w:sz="0" w:space="0" w:color="auto"/>
            </w:tcBorders>
            <w:hideMark/>
          </w:tcPr>
          <w:p w14:paraId="2EFC84B0" w14:textId="77777777" w:rsidR="00B3160B" w:rsidRPr="00DB2223" w:rsidRDefault="00B3160B" w:rsidP="00117DFB">
            <w:pPr>
              <w:spacing w:after="0" w:line="240" w:lineRule="auto"/>
              <w:jc w:val="center"/>
              <w:rPr>
                <w:rFonts w:ascii="Arial" w:eastAsia="Times New Roman" w:hAnsi="Arial" w:cs="Arial"/>
                <w:sz w:val="24"/>
                <w:szCs w:val="24"/>
              </w:rPr>
            </w:pPr>
            <w:r w:rsidRPr="00DB2223">
              <w:rPr>
                <w:rFonts w:ascii="Microsoft Sans Serif" w:eastAsia="Times New Roman" w:hAnsi="Microsoft Sans Serif" w:cs="Microsoft Sans Serif"/>
                <w:color w:val="FFFFFF" w:themeColor="light1"/>
                <w:kern w:val="24"/>
                <w:sz w:val="24"/>
                <w:szCs w:val="24"/>
              </w:rPr>
              <w:t>Determination</w:t>
            </w:r>
          </w:p>
        </w:tc>
        <w:tc>
          <w:tcPr>
            <w:tcW w:w="2680" w:type="dxa"/>
            <w:tcBorders>
              <w:top w:val="none" w:sz="0" w:space="0" w:color="auto"/>
              <w:left w:val="none" w:sz="0" w:space="0" w:color="auto"/>
              <w:bottom w:val="single" w:sz="4" w:space="0" w:color="FFFFFF" w:themeColor="background1"/>
              <w:right w:val="none" w:sz="0" w:space="0" w:color="auto"/>
            </w:tcBorders>
            <w:hideMark/>
          </w:tcPr>
          <w:p w14:paraId="287B0D1C" w14:textId="77777777" w:rsidR="00B3160B" w:rsidRPr="00DB2223" w:rsidRDefault="00B3160B" w:rsidP="00117DFB">
            <w:pPr>
              <w:spacing w:after="0" w:line="240" w:lineRule="auto"/>
              <w:jc w:val="center"/>
              <w:rPr>
                <w:rFonts w:ascii="Arial" w:eastAsia="Times New Roman" w:hAnsi="Arial" w:cs="Arial"/>
                <w:sz w:val="24"/>
                <w:szCs w:val="24"/>
              </w:rPr>
            </w:pPr>
            <w:r w:rsidRPr="00DB2223">
              <w:rPr>
                <w:rFonts w:ascii="Microsoft Sans Serif" w:eastAsia="Times New Roman" w:hAnsi="Microsoft Sans Serif" w:cs="Microsoft Sans Serif"/>
                <w:color w:val="FFFFFF" w:themeColor="light1"/>
                <w:kern w:val="24"/>
                <w:sz w:val="24"/>
                <w:szCs w:val="24"/>
              </w:rPr>
              <w:t>Signaling</w:t>
            </w:r>
          </w:p>
        </w:tc>
      </w:tr>
      <w:tr w:rsidR="00B3160B" w:rsidRPr="00DB2223" w14:paraId="7217ED55" w14:textId="77777777" w:rsidTr="00117DFB">
        <w:trPr>
          <w:cnfStyle w:val="000000100000" w:firstRow="0" w:lastRow="0" w:firstColumn="0" w:lastColumn="0" w:oddVBand="0" w:evenVBand="0" w:oddHBand="1" w:evenHBand="0" w:firstRowFirstColumn="0" w:firstRowLastColumn="0" w:lastRowFirstColumn="0" w:lastRowLastColumn="0"/>
          <w:trHeight w:val="432"/>
        </w:trPr>
        <w:tc>
          <w:tcPr>
            <w:tcW w:w="1507" w:type="dxa"/>
            <w:tcBorders>
              <w:top w:val="single" w:sz="4" w:space="0" w:color="FFFFFF" w:themeColor="background1"/>
              <w:left w:val="single" w:sz="4" w:space="0" w:color="auto"/>
              <w:bottom w:val="single" w:sz="4" w:space="0" w:color="auto"/>
              <w:right w:val="single" w:sz="4" w:space="0" w:color="auto"/>
            </w:tcBorders>
            <w:vAlign w:val="center"/>
            <w:hideMark/>
          </w:tcPr>
          <w:p w14:paraId="49E410CA"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b/>
                <w:bCs/>
                <w:color w:val="000000" w:themeColor="dark1"/>
                <w:kern w:val="24"/>
                <w:sz w:val="24"/>
                <w:szCs w:val="24"/>
              </w:rPr>
              <w:t>Centralized</w:t>
            </w:r>
          </w:p>
        </w:tc>
        <w:tc>
          <w:tcPr>
            <w:tcW w:w="3168" w:type="dxa"/>
            <w:tcBorders>
              <w:top w:val="single" w:sz="4" w:space="0" w:color="FFFFFF" w:themeColor="background1"/>
              <w:left w:val="single" w:sz="4" w:space="0" w:color="auto"/>
              <w:bottom w:val="single" w:sz="4" w:space="0" w:color="auto"/>
              <w:right w:val="single" w:sz="4" w:space="0" w:color="auto"/>
            </w:tcBorders>
            <w:vAlign w:val="center"/>
            <w:hideMark/>
          </w:tcPr>
          <w:p w14:paraId="4D650015"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Determined by the NW, and indicated to IAB-nodes</w:t>
            </w:r>
          </w:p>
        </w:tc>
        <w:tc>
          <w:tcPr>
            <w:tcW w:w="2425" w:type="dxa"/>
            <w:tcBorders>
              <w:top w:val="single" w:sz="4" w:space="0" w:color="FFFFFF" w:themeColor="background1"/>
              <w:left w:val="single" w:sz="4" w:space="0" w:color="auto"/>
              <w:bottom w:val="single" w:sz="4" w:space="0" w:color="auto"/>
              <w:right w:val="single" w:sz="4" w:space="0" w:color="auto"/>
            </w:tcBorders>
            <w:vAlign w:val="center"/>
            <w:hideMark/>
          </w:tcPr>
          <w:p w14:paraId="36C0F248"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Left to implementation</w:t>
            </w:r>
          </w:p>
        </w:tc>
        <w:tc>
          <w:tcPr>
            <w:tcW w:w="2680" w:type="dxa"/>
            <w:tcBorders>
              <w:top w:val="single" w:sz="4" w:space="0" w:color="FFFFFF" w:themeColor="background1"/>
              <w:left w:val="single" w:sz="4" w:space="0" w:color="auto"/>
              <w:bottom w:val="single" w:sz="4" w:space="0" w:color="auto"/>
              <w:right w:val="single" w:sz="4" w:space="0" w:color="auto"/>
            </w:tcBorders>
            <w:vAlign w:val="center"/>
            <w:hideMark/>
          </w:tcPr>
          <w:p w14:paraId="231B8707"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 xml:space="preserve">Measurements + </w:t>
            </w:r>
            <w:r w:rsidRPr="00DB2223">
              <w:rPr>
                <w:rFonts w:ascii="Microsoft Sans Serif" w:eastAsia="Times New Roman" w:hAnsi="Microsoft Sans Serif" w:cs="Microsoft Sans Serif"/>
                <w:color w:val="C00000"/>
                <w:kern w:val="24"/>
                <w:sz w:val="24"/>
                <w:szCs w:val="24"/>
              </w:rPr>
              <w:t>configuration (</w:t>
            </w:r>
            <w:r>
              <w:rPr>
                <w:rFonts w:ascii="Microsoft Sans Serif" w:eastAsia="Times New Roman" w:hAnsi="Microsoft Sans Serif" w:cs="Microsoft Sans Serif"/>
                <w:color w:val="C00000"/>
                <w:kern w:val="24"/>
                <w:sz w:val="24"/>
                <w:szCs w:val="24"/>
              </w:rPr>
              <w:t>FFS</w:t>
            </w:r>
            <w:r w:rsidRPr="00DB2223">
              <w:rPr>
                <w:rFonts w:ascii="Microsoft Sans Serif" w:eastAsia="Times New Roman" w:hAnsi="Microsoft Sans Serif" w:cs="Microsoft Sans Serif"/>
                <w:color w:val="C00000"/>
                <w:kern w:val="24"/>
                <w:sz w:val="24"/>
                <w:szCs w:val="24"/>
              </w:rPr>
              <w:t>)</w:t>
            </w:r>
          </w:p>
        </w:tc>
      </w:tr>
      <w:tr w:rsidR="00B3160B" w:rsidRPr="00DB2223" w14:paraId="3FD447C9" w14:textId="77777777" w:rsidTr="00117DFB">
        <w:trPr>
          <w:trHeight w:val="432"/>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F8D542"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b/>
                <w:bCs/>
                <w:color w:val="000000" w:themeColor="dark1"/>
                <w:kern w:val="24"/>
                <w:sz w:val="24"/>
                <w:szCs w:val="24"/>
              </w:rPr>
              <w:t>Distributed</w:t>
            </w:r>
          </w:p>
        </w:tc>
        <w:tc>
          <w:tcPr>
            <w:tcW w:w="3168" w:type="dxa"/>
            <w:tcBorders>
              <w:top w:val="single" w:sz="4" w:space="0" w:color="auto"/>
              <w:left w:val="single" w:sz="4" w:space="0" w:color="auto"/>
              <w:bottom w:val="single" w:sz="4" w:space="0" w:color="auto"/>
              <w:right w:val="single" w:sz="4" w:space="0" w:color="auto"/>
            </w:tcBorders>
            <w:vAlign w:val="center"/>
            <w:hideMark/>
          </w:tcPr>
          <w:p w14:paraId="571A16B9"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Distributed coordination</w:t>
            </w:r>
          </w:p>
        </w:tc>
        <w:tc>
          <w:tcPr>
            <w:tcW w:w="2425" w:type="dxa"/>
            <w:tcBorders>
              <w:top w:val="single" w:sz="4" w:space="0" w:color="auto"/>
              <w:left w:val="single" w:sz="4" w:space="0" w:color="auto"/>
              <w:bottom w:val="single" w:sz="4" w:space="0" w:color="auto"/>
              <w:right w:val="single" w:sz="4" w:space="0" w:color="auto"/>
            </w:tcBorders>
            <w:vAlign w:val="center"/>
            <w:hideMark/>
          </w:tcPr>
          <w:p w14:paraId="1EE69791"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To be spec</w:t>
            </w:r>
            <w:r>
              <w:rPr>
                <w:rFonts w:ascii="Microsoft Sans Serif" w:eastAsia="Times New Roman" w:hAnsi="Microsoft Sans Serif" w:cs="Microsoft Sans Serif"/>
                <w:color w:val="000000" w:themeColor="dark1"/>
                <w:kern w:val="24"/>
                <w:sz w:val="24"/>
                <w:szCs w:val="24"/>
              </w:rPr>
              <w:t>ified</w:t>
            </w:r>
            <w:r w:rsidRPr="00DB2223">
              <w:rPr>
                <w:rFonts w:ascii="Microsoft Sans Serif" w:eastAsia="Times New Roman" w:hAnsi="Microsoft Sans Serif" w:cs="Microsoft Sans Serif"/>
                <w:color w:val="000000" w:themeColor="dark1"/>
                <w:kern w:val="24"/>
                <w:sz w:val="24"/>
                <w:szCs w:val="24"/>
              </w:rPr>
              <w:t xml:space="preserve"> </w:t>
            </w:r>
            <w:r w:rsidRPr="00DB2223">
              <w:rPr>
                <w:rFonts w:ascii="Microsoft Sans Serif" w:eastAsia="Times New Roman" w:hAnsi="Microsoft Sans Serif" w:cs="Microsoft Sans Serif"/>
                <w:color w:val="C00000"/>
                <w:kern w:val="24"/>
                <w:sz w:val="24"/>
                <w:szCs w:val="24"/>
              </w:rPr>
              <w:t>(</w:t>
            </w:r>
            <w:r>
              <w:rPr>
                <w:rFonts w:ascii="Microsoft Sans Serif" w:eastAsia="Times New Roman" w:hAnsi="Microsoft Sans Serif" w:cs="Microsoft Sans Serif"/>
                <w:color w:val="C00000"/>
                <w:kern w:val="24"/>
                <w:sz w:val="24"/>
                <w:szCs w:val="24"/>
              </w:rPr>
              <w:t>FFS</w:t>
            </w:r>
            <w:r w:rsidRPr="00DB2223">
              <w:rPr>
                <w:rFonts w:ascii="Microsoft Sans Serif" w:eastAsia="Times New Roman" w:hAnsi="Microsoft Sans Serif" w:cs="Microsoft Sans Serif"/>
                <w:color w:val="C00000"/>
                <w:kern w:val="24"/>
                <w:sz w:val="24"/>
                <w:szCs w:val="24"/>
              </w:rPr>
              <w:t>)</w:t>
            </w:r>
          </w:p>
        </w:tc>
        <w:tc>
          <w:tcPr>
            <w:tcW w:w="2680" w:type="dxa"/>
            <w:tcBorders>
              <w:top w:val="single" w:sz="4" w:space="0" w:color="auto"/>
              <w:left w:val="single" w:sz="4" w:space="0" w:color="auto"/>
              <w:bottom w:val="single" w:sz="4" w:space="0" w:color="auto"/>
              <w:right w:val="single" w:sz="4" w:space="0" w:color="auto"/>
            </w:tcBorders>
            <w:vAlign w:val="center"/>
            <w:hideMark/>
          </w:tcPr>
          <w:p w14:paraId="0F515FC8"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C00000"/>
                <w:kern w:val="24"/>
                <w:sz w:val="24"/>
                <w:szCs w:val="24"/>
              </w:rPr>
              <w:t>Coordination + configuration (</w:t>
            </w:r>
            <w:r>
              <w:rPr>
                <w:rFonts w:ascii="Microsoft Sans Serif" w:eastAsia="Times New Roman" w:hAnsi="Microsoft Sans Serif" w:cs="Microsoft Sans Serif"/>
                <w:color w:val="C00000"/>
                <w:kern w:val="24"/>
                <w:sz w:val="24"/>
                <w:szCs w:val="24"/>
              </w:rPr>
              <w:t>FFS</w:t>
            </w:r>
            <w:r w:rsidRPr="00DB2223">
              <w:rPr>
                <w:rFonts w:ascii="Microsoft Sans Serif" w:eastAsia="Times New Roman" w:hAnsi="Microsoft Sans Serif" w:cs="Microsoft Sans Serif"/>
                <w:color w:val="C00000"/>
                <w:kern w:val="24"/>
                <w:sz w:val="24"/>
                <w:szCs w:val="24"/>
              </w:rPr>
              <w:t>)</w:t>
            </w:r>
          </w:p>
        </w:tc>
      </w:tr>
      <w:tr w:rsidR="00B3160B" w:rsidRPr="00DB2223" w14:paraId="7DF08BB2" w14:textId="77777777" w:rsidTr="00117DFB">
        <w:trPr>
          <w:cnfStyle w:val="000000100000" w:firstRow="0" w:lastRow="0" w:firstColumn="0" w:lastColumn="0" w:oddVBand="0" w:evenVBand="0" w:oddHBand="1" w:evenHBand="0" w:firstRowFirstColumn="0" w:firstRowLastColumn="0" w:lastRowFirstColumn="0" w:lastRowLastColumn="0"/>
          <w:trHeight w:val="14"/>
        </w:trPr>
        <w:tc>
          <w:tcPr>
            <w:tcW w:w="1507" w:type="dxa"/>
            <w:vMerge/>
            <w:tcBorders>
              <w:top w:val="single" w:sz="4" w:space="0" w:color="auto"/>
              <w:left w:val="single" w:sz="4" w:space="0" w:color="auto"/>
              <w:bottom w:val="single" w:sz="4" w:space="0" w:color="auto"/>
              <w:right w:val="single" w:sz="4" w:space="0" w:color="auto"/>
            </w:tcBorders>
            <w:vAlign w:val="center"/>
            <w:hideMark/>
          </w:tcPr>
          <w:p w14:paraId="4DD2B27A" w14:textId="77777777" w:rsidR="00B3160B" w:rsidRPr="00DB2223" w:rsidRDefault="00B3160B" w:rsidP="00117DFB">
            <w:pPr>
              <w:spacing w:after="0" w:line="240" w:lineRule="auto"/>
              <w:rPr>
                <w:rFonts w:ascii="Arial" w:eastAsia="Times New Roman" w:hAnsi="Arial" w:cs="Arial"/>
                <w:sz w:val="24"/>
                <w:szCs w:val="24"/>
              </w:rPr>
            </w:pPr>
          </w:p>
        </w:tc>
        <w:tc>
          <w:tcPr>
            <w:tcW w:w="3168" w:type="dxa"/>
            <w:tcBorders>
              <w:top w:val="single" w:sz="4" w:space="0" w:color="auto"/>
              <w:left w:val="single" w:sz="4" w:space="0" w:color="auto"/>
              <w:bottom w:val="single" w:sz="4" w:space="0" w:color="auto"/>
              <w:right w:val="single" w:sz="4" w:space="0" w:color="auto"/>
            </w:tcBorders>
            <w:vAlign w:val="center"/>
            <w:hideMark/>
          </w:tcPr>
          <w:p w14:paraId="2715BE99"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 xml:space="preserve">Following </w:t>
            </w:r>
            <w:r>
              <w:rPr>
                <w:rFonts w:ascii="Microsoft Sans Serif" w:eastAsia="Times New Roman" w:hAnsi="Microsoft Sans Serif" w:cs="Microsoft Sans Serif"/>
                <w:color w:val="000000" w:themeColor="dark1"/>
                <w:kern w:val="24"/>
                <w:sz w:val="24"/>
                <w:szCs w:val="24"/>
              </w:rPr>
              <w:t xml:space="preserve">a </w:t>
            </w:r>
            <w:r w:rsidRPr="00DB2223">
              <w:rPr>
                <w:rFonts w:ascii="Microsoft Sans Serif" w:eastAsia="Times New Roman" w:hAnsi="Microsoft Sans Serif" w:cs="Microsoft Sans Serif"/>
                <w:color w:val="000000" w:themeColor="dark1"/>
                <w:kern w:val="24"/>
                <w:sz w:val="24"/>
                <w:szCs w:val="24"/>
              </w:rPr>
              <w:t>pre-conf</w:t>
            </w:r>
            <w:r>
              <w:rPr>
                <w:rFonts w:ascii="Microsoft Sans Serif" w:eastAsia="Times New Roman" w:hAnsi="Microsoft Sans Serif" w:cs="Microsoft Sans Serif"/>
                <w:color w:val="000000" w:themeColor="dark1"/>
                <w:kern w:val="24"/>
                <w:sz w:val="24"/>
                <w:szCs w:val="24"/>
              </w:rPr>
              <w:t xml:space="preserve">igured rule </w:t>
            </w:r>
            <w:r w:rsidRPr="00DB2223">
              <w:rPr>
                <w:rFonts w:ascii="Microsoft Sans Serif" w:eastAsia="Times New Roman" w:hAnsi="Microsoft Sans Serif" w:cs="Microsoft Sans Serif"/>
                <w:color w:val="000000" w:themeColor="dark1"/>
                <w:kern w:val="24"/>
                <w:sz w:val="24"/>
                <w:szCs w:val="24"/>
              </w:rPr>
              <w:t>(e.g. hop-based, pseudo-random)</w:t>
            </w:r>
          </w:p>
        </w:tc>
        <w:tc>
          <w:tcPr>
            <w:tcW w:w="2425" w:type="dxa"/>
            <w:tcBorders>
              <w:top w:val="single" w:sz="4" w:space="0" w:color="auto"/>
              <w:left w:val="single" w:sz="4" w:space="0" w:color="auto"/>
              <w:bottom w:val="single" w:sz="4" w:space="0" w:color="auto"/>
              <w:right w:val="single" w:sz="4" w:space="0" w:color="auto"/>
            </w:tcBorders>
            <w:vAlign w:val="center"/>
            <w:hideMark/>
          </w:tcPr>
          <w:p w14:paraId="083DC9FA" w14:textId="77777777" w:rsidR="00B3160B" w:rsidRPr="00DB2223" w:rsidRDefault="00B3160B" w:rsidP="00117DFB">
            <w:pPr>
              <w:spacing w:after="0" w:line="240" w:lineRule="auto"/>
              <w:rPr>
                <w:rFonts w:ascii="Arial" w:eastAsia="Times New Roman" w:hAnsi="Arial" w:cs="Arial"/>
                <w:sz w:val="24"/>
                <w:szCs w:val="24"/>
              </w:rPr>
            </w:pPr>
            <w:r>
              <w:rPr>
                <w:rFonts w:ascii="Microsoft Sans Serif" w:eastAsia="Times New Roman" w:hAnsi="Microsoft Sans Serif" w:cs="Microsoft Sans Serif"/>
                <w:color w:val="000000" w:themeColor="dark1"/>
                <w:kern w:val="24"/>
                <w:sz w:val="24"/>
                <w:szCs w:val="24"/>
              </w:rPr>
              <w:t>To be specified</w:t>
            </w:r>
            <w:r w:rsidRPr="00DB2223">
              <w:rPr>
                <w:rFonts w:ascii="Microsoft Sans Serif" w:eastAsia="Times New Roman" w:hAnsi="Microsoft Sans Serif" w:cs="Microsoft Sans Serif"/>
                <w:color w:val="000000" w:themeColor="dark1"/>
                <w:kern w:val="24"/>
                <w:sz w:val="24"/>
                <w:szCs w:val="24"/>
              </w:rPr>
              <w:t xml:space="preserve"> </w:t>
            </w:r>
            <w:r w:rsidRPr="00DB2223">
              <w:rPr>
                <w:rFonts w:ascii="Microsoft Sans Serif" w:eastAsia="Times New Roman" w:hAnsi="Microsoft Sans Serif" w:cs="Microsoft Sans Serif"/>
                <w:color w:val="C00000"/>
                <w:kern w:val="24"/>
                <w:sz w:val="24"/>
                <w:szCs w:val="24"/>
              </w:rPr>
              <w:t>(</w:t>
            </w:r>
            <w:r>
              <w:rPr>
                <w:rFonts w:ascii="Microsoft Sans Serif" w:eastAsia="Times New Roman" w:hAnsi="Microsoft Sans Serif" w:cs="Microsoft Sans Serif"/>
                <w:color w:val="C00000"/>
                <w:kern w:val="24"/>
                <w:sz w:val="24"/>
                <w:szCs w:val="24"/>
              </w:rPr>
              <w:t>FFS</w:t>
            </w:r>
            <w:r w:rsidRPr="00DB2223">
              <w:rPr>
                <w:rFonts w:ascii="Microsoft Sans Serif" w:eastAsia="Times New Roman" w:hAnsi="Microsoft Sans Serif" w:cs="Microsoft Sans Serif"/>
                <w:color w:val="C00000"/>
                <w:kern w:val="24"/>
                <w:sz w:val="24"/>
                <w:szCs w:val="24"/>
              </w:rPr>
              <w:t>)</w:t>
            </w:r>
          </w:p>
        </w:tc>
        <w:tc>
          <w:tcPr>
            <w:tcW w:w="2680" w:type="dxa"/>
            <w:tcBorders>
              <w:top w:val="single" w:sz="4" w:space="0" w:color="auto"/>
              <w:left w:val="single" w:sz="4" w:space="0" w:color="auto"/>
              <w:bottom w:val="single" w:sz="4" w:space="0" w:color="auto"/>
              <w:right w:val="single" w:sz="4" w:space="0" w:color="auto"/>
            </w:tcBorders>
            <w:vAlign w:val="center"/>
            <w:hideMark/>
          </w:tcPr>
          <w:p w14:paraId="457A3FDB" w14:textId="77777777" w:rsidR="00B3160B" w:rsidRPr="00DB2223" w:rsidRDefault="00B3160B" w:rsidP="00117DFB">
            <w:pPr>
              <w:spacing w:after="0" w:line="240" w:lineRule="auto"/>
              <w:rPr>
                <w:rFonts w:ascii="Arial" w:eastAsia="Times New Roman" w:hAnsi="Arial" w:cs="Arial"/>
                <w:sz w:val="24"/>
                <w:szCs w:val="24"/>
              </w:rPr>
            </w:pPr>
            <w:r w:rsidRPr="00DB2223">
              <w:rPr>
                <w:rFonts w:ascii="Microsoft Sans Serif" w:eastAsia="Times New Roman" w:hAnsi="Microsoft Sans Serif" w:cs="Microsoft Sans Serif"/>
                <w:color w:val="000000" w:themeColor="dark1"/>
                <w:kern w:val="24"/>
                <w:sz w:val="24"/>
                <w:szCs w:val="24"/>
              </w:rPr>
              <w:t>None</w:t>
            </w:r>
          </w:p>
        </w:tc>
      </w:tr>
    </w:tbl>
    <w:p w14:paraId="102C3563" w14:textId="77777777" w:rsidR="00B3160B" w:rsidRDefault="00B3160B" w:rsidP="00B3160B"/>
    <w:p w14:paraId="0B08C50D" w14:textId="7C563CD0" w:rsidR="00B3160B" w:rsidRDefault="00B3160B" w:rsidP="00B3160B">
      <w:pPr>
        <w:rPr>
          <w:b/>
        </w:rPr>
      </w:pPr>
      <w:bookmarkStart w:id="7" w:name="_Hlk525834015"/>
      <w:r>
        <w:rPr>
          <w:b/>
        </w:rPr>
        <w:t>Proposal</w:t>
      </w:r>
      <w:r w:rsidRPr="00F74140">
        <w:rPr>
          <w:b/>
        </w:rPr>
        <w:t xml:space="preserve"> </w:t>
      </w:r>
      <w:r w:rsidR="0011018C">
        <w:rPr>
          <w:b/>
        </w:rPr>
        <w:t>3</w:t>
      </w:r>
      <w:r>
        <w:rPr>
          <w:b/>
        </w:rPr>
        <w:t>.</w:t>
      </w:r>
      <w:r w:rsidR="003604FB">
        <w:rPr>
          <w:b/>
        </w:rPr>
        <w:t>2</w:t>
      </w:r>
      <w:r w:rsidRPr="00F74140">
        <w:rPr>
          <w:b/>
        </w:rPr>
        <w:t xml:space="preserve">: </w:t>
      </w:r>
      <w:r>
        <w:rPr>
          <w:b/>
        </w:rPr>
        <w:t>support configuring the TX/RX pattern both centrally (baseline) and in a distributed manner.</w:t>
      </w:r>
    </w:p>
    <w:p w14:paraId="6A7C2C08" w14:textId="77777777" w:rsidR="00B3160B" w:rsidRPr="001B637A" w:rsidRDefault="00B3160B" w:rsidP="00B3160B">
      <w:pPr>
        <w:pStyle w:val="ListParagraph"/>
        <w:numPr>
          <w:ilvl w:val="0"/>
          <w:numId w:val="6"/>
        </w:numPr>
        <w:ind w:firstLineChars="0"/>
        <w:rPr>
          <w:b/>
        </w:rPr>
      </w:pPr>
      <w:r>
        <w:rPr>
          <w:b/>
        </w:rPr>
        <w:t>FFS the required signaling.</w:t>
      </w:r>
    </w:p>
    <w:bookmarkEnd w:id="7"/>
    <w:p w14:paraId="16976948" w14:textId="1486E9D4" w:rsidR="00B3160B" w:rsidRDefault="00B3160B" w:rsidP="009D315D">
      <w:pPr>
        <w:pStyle w:val="Caption"/>
        <w:rPr>
          <w:rStyle w:val="Strong"/>
          <w:b/>
          <w:sz w:val="24"/>
        </w:rPr>
      </w:pPr>
    </w:p>
    <w:p w14:paraId="225144B9" w14:textId="051245AF" w:rsidR="003604FB" w:rsidRPr="0011018C" w:rsidRDefault="0011018C" w:rsidP="0011018C">
      <w:pPr>
        <w:pStyle w:val="Heading2"/>
        <w:spacing w:after="240"/>
        <w:rPr>
          <w:rStyle w:val="Strong"/>
          <w:b w:val="0"/>
          <w:bCs w:val="0"/>
          <w:sz w:val="28"/>
        </w:rPr>
      </w:pPr>
      <w:r>
        <w:rPr>
          <w:rStyle w:val="Strong"/>
          <w:b w:val="0"/>
          <w:bCs w:val="0"/>
          <w:sz w:val="28"/>
        </w:rPr>
        <w:t xml:space="preserve"> </w:t>
      </w:r>
      <w:r w:rsidR="004F7027" w:rsidRPr="0011018C">
        <w:rPr>
          <w:rStyle w:val="Strong"/>
          <w:b w:val="0"/>
          <w:bCs w:val="0"/>
          <w:sz w:val="28"/>
        </w:rPr>
        <w:t>Enhancements</w:t>
      </w:r>
      <w:r w:rsidR="003604FB" w:rsidRPr="0011018C">
        <w:rPr>
          <w:rStyle w:val="Strong"/>
          <w:b w:val="0"/>
          <w:bCs w:val="0"/>
          <w:sz w:val="28"/>
        </w:rPr>
        <w:t xml:space="preserve"> to Rel-15 RRM design for IAB discovery and measurements</w:t>
      </w:r>
    </w:p>
    <w:p w14:paraId="22C641CE" w14:textId="1DC46B9B" w:rsidR="003604FB" w:rsidRDefault="003604FB" w:rsidP="003604FB">
      <w:pPr>
        <w:rPr>
          <w:rFonts w:eastAsia="Arial"/>
        </w:rPr>
      </w:pPr>
      <w:r>
        <w:rPr>
          <w:rFonts w:eastAsia="Arial"/>
        </w:rPr>
        <w:t xml:space="preserve">Both SSB based (SMTC) and CSI-RS based RRM can be used for IAB discovery and measurements. In [3], we compared the two methods and identified a few simple modifications that can enhance design of Rel-15 RRM for IAB. This is shown in </w:t>
      </w:r>
      <w:r>
        <w:rPr>
          <w:rFonts w:eastAsia="Arial"/>
        </w:rPr>
        <w:fldChar w:fldCharType="begin"/>
      </w:r>
      <w:r>
        <w:rPr>
          <w:rFonts w:eastAsia="Arial"/>
        </w:rPr>
        <w:instrText xml:space="preserve"> REF _Ref521594882 \h </w:instrText>
      </w:r>
      <w:r>
        <w:rPr>
          <w:rFonts w:eastAsia="Arial"/>
        </w:rPr>
      </w:r>
      <w:r>
        <w:rPr>
          <w:rFonts w:eastAsia="Arial"/>
        </w:rPr>
        <w:fldChar w:fldCharType="separate"/>
      </w:r>
      <w:r w:rsidR="00E050EE">
        <w:t xml:space="preserve">Table </w:t>
      </w:r>
      <w:r w:rsidR="00E050EE">
        <w:rPr>
          <w:noProof/>
        </w:rPr>
        <w:t>4</w:t>
      </w:r>
      <w:r>
        <w:rPr>
          <w:rFonts w:eastAsia="Arial"/>
        </w:rPr>
        <w:fldChar w:fldCharType="end"/>
      </w:r>
      <w:r>
        <w:rPr>
          <w:rFonts w:eastAsia="Arial"/>
        </w:rPr>
        <w:t>.</w:t>
      </w:r>
    </w:p>
    <w:p w14:paraId="2AD73216" w14:textId="3586B2F8" w:rsidR="003604FB" w:rsidRDefault="003604FB" w:rsidP="003604FB">
      <w:pPr>
        <w:pStyle w:val="Caption"/>
        <w:keepNext/>
        <w:jc w:val="center"/>
      </w:pPr>
      <w:bookmarkStart w:id="8" w:name="_Ref521594882"/>
      <w:r>
        <w:t xml:space="preserve">Table </w:t>
      </w:r>
      <w:r>
        <w:rPr>
          <w:noProof/>
        </w:rPr>
        <w:fldChar w:fldCharType="begin"/>
      </w:r>
      <w:r>
        <w:rPr>
          <w:noProof/>
        </w:rPr>
        <w:instrText xml:space="preserve"> SEQ Table \* ARABIC </w:instrText>
      </w:r>
      <w:r>
        <w:rPr>
          <w:noProof/>
        </w:rPr>
        <w:fldChar w:fldCharType="separate"/>
      </w:r>
      <w:r w:rsidR="00E050EE">
        <w:rPr>
          <w:noProof/>
        </w:rPr>
        <w:t>4</w:t>
      </w:r>
      <w:r>
        <w:rPr>
          <w:noProof/>
        </w:rPr>
        <w:fldChar w:fldCharType="end"/>
      </w:r>
      <w:bookmarkEnd w:id="8"/>
      <w:r>
        <w:t>: RRM design enhancement</w:t>
      </w:r>
    </w:p>
    <w:tbl>
      <w:tblPr>
        <w:tblStyle w:val="GridTable4"/>
        <w:tblW w:w="9780" w:type="dxa"/>
        <w:tblLook w:val="04A0" w:firstRow="1" w:lastRow="0" w:firstColumn="1" w:lastColumn="0" w:noHBand="0" w:noVBand="1"/>
      </w:tblPr>
      <w:tblGrid>
        <w:gridCol w:w="2420"/>
        <w:gridCol w:w="4140"/>
        <w:gridCol w:w="3220"/>
      </w:tblGrid>
      <w:tr w:rsidR="003604FB" w:rsidRPr="00955E4C" w14:paraId="354A3FAA" w14:textId="77777777" w:rsidTr="00117DFB">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CA93CF4" w14:textId="77777777" w:rsidR="003604FB" w:rsidRPr="00955E4C" w:rsidRDefault="003604FB" w:rsidP="00117DFB">
            <w:pPr>
              <w:spacing w:line="256" w:lineRule="auto"/>
              <w:jc w:val="center"/>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FFFFFF" w:themeColor="light1"/>
                <w:kern w:val="24"/>
                <w:sz w:val="24"/>
                <w:szCs w:val="24"/>
              </w:rPr>
              <w:t>Aspects</w:t>
            </w:r>
          </w:p>
        </w:tc>
        <w:tc>
          <w:tcPr>
            <w:tcW w:w="4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39410A5" w14:textId="77777777" w:rsidR="003604FB" w:rsidRPr="00955E4C" w:rsidRDefault="003604FB" w:rsidP="00117DFB">
            <w:pPr>
              <w:spacing w:line="256" w:lineRule="auto"/>
              <w:jc w:val="center"/>
              <w:cnfStyle w:val="100000000000" w:firstRow="1" w:lastRow="0" w:firstColumn="0" w:lastColumn="0" w:oddVBand="0" w:evenVBand="0" w:oddHBand="0"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FFFFFF" w:themeColor="light1"/>
                <w:kern w:val="24"/>
                <w:sz w:val="24"/>
                <w:szCs w:val="24"/>
              </w:rPr>
              <w:t>Rel-15</w:t>
            </w:r>
          </w:p>
        </w:tc>
        <w:tc>
          <w:tcPr>
            <w:tcW w:w="32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24F3FAB" w14:textId="77777777" w:rsidR="003604FB" w:rsidRPr="00955E4C" w:rsidRDefault="003604FB" w:rsidP="00117DFB">
            <w:pPr>
              <w:spacing w:line="256" w:lineRule="auto"/>
              <w:jc w:val="center"/>
              <w:cnfStyle w:val="100000000000" w:firstRow="1" w:lastRow="0" w:firstColumn="0" w:lastColumn="0" w:oddVBand="0" w:evenVBand="0" w:oddHBand="0"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FFFFFF" w:themeColor="light1"/>
                <w:kern w:val="24"/>
                <w:sz w:val="24"/>
                <w:szCs w:val="24"/>
              </w:rPr>
              <w:t>Rel-16</w:t>
            </w:r>
            <w:r>
              <w:rPr>
                <w:rFonts w:ascii="Microsoft Sans Serif" w:eastAsia="Times New Roman" w:hAnsi="Microsoft Sans Serif" w:cs="Microsoft Sans Serif"/>
                <w:color w:val="FFFFFF" w:themeColor="light1"/>
                <w:kern w:val="24"/>
                <w:sz w:val="24"/>
                <w:szCs w:val="24"/>
              </w:rPr>
              <w:t xml:space="preserve"> IAB proposal</w:t>
            </w:r>
          </w:p>
        </w:tc>
      </w:tr>
      <w:tr w:rsidR="003604FB" w:rsidRPr="00955E4C" w14:paraId="43471478" w14:textId="77777777" w:rsidTr="00117DFB">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2420" w:type="dxa"/>
            <w:tcBorders>
              <w:top w:val="single" w:sz="4" w:space="0" w:color="FFFFFF" w:themeColor="background1"/>
            </w:tcBorders>
            <w:hideMark/>
          </w:tcPr>
          <w:p w14:paraId="7C792D9B" w14:textId="77777777" w:rsidR="003604FB" w:rsidRPr="00955E4C" w:rsidRDefault="003604FB" w:rsidP="00117DFB">
            <w:pPr>
              <w:spacing w:line="256" w:lineRule="auto"/>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000000" w:themeColor="dark1"/>
                <w:kern w:val="24"/>
                <w:sz w:val="24"/>
                <w:szCs w:val="24"/>
              </w:rPr>
              <w:t xml:space="preserve">Periodicity </w:t>
            </w:r>
          </w:p>
        </w:tc>
        <w:tc>
          <w:tcPr>
            <w:tcW w:w="4140" w:type="dxa"/>
            <w:tcBorders>
              <w:top w:val="single" w:sz="4" w:space="0" w:color="FFFFFF" w:themeColor="background1"/>
            </w:tcBorders>
            <w:hideMark/>
          </w:tcPr>
          <w:p w14:paraId="4FD783C6" w14:textId="77777777" w:rsidR="003604FB" w:rsidRPr="00955E4C" w:rsidRDefault="003604FB" w:rsidP="00117DFB">
            <w:pPr>
              <w:spacing w:line="256" w:lineRule="auto"/>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b/>
                <w:kern w:val="24"/>
                <w:sz w:val="24"/>
                <w:szCs w:val="24"/>
              </w:rPr>
              <w:t>SMTC:</w:t>
            </w:r>
            <w:r w:rsidRPr="00955E4C">
              <w:rPr>
                <w:rFonts w:ascii="Microsoft Sans Serif" w:eastAsia="Times New Roman" w:hAnsi="Microsoft Sans Serif" w:cs="Microsoft Sans Serif"/>
                <w:kern w:val="24"/>
                <w:sz w:val="24"/>
                <w:szCs w:val="24"/>
              </w:rPr>
              <w:t xml:space="preserve">   up to 160 </w:t>
            </w:r>
            <w:proofErr w:type="spellStart"/>
            <w:r w:rsidRPr="00955E4C">
              <w:rPr>
                <w:rFonts w:ascii="Microsoft Sans Serif" w:eastAsia="Times New Roman" w:hAnsi="Microsoft Sans Serif" w:cs="Microsoft Sans Serif"/>
                <w:kern w:val="24"/>
                <w:sz w:val="24"/>
                <w:szCs w:val="24"/>
              </w:rPr>
              <w:t>msec</w:t>
            </w:r>
            <w:proofErr w:type="spellEnd"/>
          </w:p>
          <w:p w14:paraId="19E7357F" w14:textId="77777777" w:rsidR="003604FB" w:rsidRPr="00955E4C" w:rsidRDefault="003604FB" w:rsidP="00117DFB">
            <w:pPr>
              <w:spacing w:line="256" w:lineRule="auto"/>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Calibri" w:hAnsi="Microsoft Sans Serif" w:cs="Microsoft Sans Serif"/>
                <w:b/>
                <w:kern w:val="24"/>
                <w:sz w:val="24"/>
                <w:szCs w:val="24"/>
              </w:rPr>
              <w:t>CSI-RS:</w:t>
            </w:r>
            <w:r w:rsidRPr="00955E4C">
              <w:rPr>
                <w:rFonts w:ascii="Microsoft Sans Serif" w:eastAsia="Calibri" w:hAnsi="Microsoft Sans Serif" w:cs="Microsoft Sans Serif"/>
                <w:kern w:val="24"/>
                <w:sz w:val="24"/>
                <w:szCs w:val="24"/>
              </w:rPr>
              <w:t xml:space="preserve"> </w:t>
            </w:r>
            <w:r w:rsidRPr="00CA2E7E">
              <w:rPr>
                <w:rFonts w:ascii="Microsoft Sans Serif" w:eastAsia="Calibri" w:hAnsi="Microsoft Sans Serif" w:cs="Microsoft Sans Serif"/>
                <w:kern w:val="24"/>
                <w:sz w:val="24"/>
                <w:szCs w:val="24"/>
              </w:rPr>
              <w:t xml:space="preserve"> </w:t>
            </w:r>
            <w:r w:rsidRPr="00955E4C">
              <w:rPr>
                <w:rFonts w:ascii="Microsoft Sans Serif" w:eastAsia="Calibri" w:hAnsi="Microsoft Sans Serif" w:cs="Microsoft Sans Serif"/>
                <w:kern w:val="24"/>
                <w:sz w:val="24"/>
                <w:szCs w:val="24"/>
              </w:rPr>
              <w:t xml:space="preserve">up to 40 </w:t>
            </w:r>
            <w:proofErr w:type="spellStart"/>
            <w:r w:rsidRPr="00955E4C">
              <w:rPr>
                <w:rFonts w:ascii="Microsoft Sans Serif" w:eastAsia="Calibri" w:hAnsi="Microsoft Sans Serif" w:cs="Microsoft Sans Serif"/>
                <w:kern w:val="24"/>
                <w:sz w:val="24"/>
                <w:szCs w:val="24"/>
              </w:rPr>
              <w:t>msec</w:t>
            </w:r>
            <w:proofErr w:type="spellEnd"/>
          </w:p>
        </w:tc>
        <w:tc>
          <w:tcPr>
            <w:tcW w:w="3220" w:type="dxa"/>
            <w:tcBorders>
              <w:top w:val="single" w:sz="4" w:space="0" w:color="FFFFFF" w:themeColor="background1"/>
            </w:tcBorders>
            <w:hideMark/>
          </w:tcPr>
          <w:p w14:paraId="55FC188F" w14:textId="77777777" w:rsidR="003604FB" w:rsidRPr="00955E4C" w:rsidRDefault="003604FB" w:rsidP="00117DFB">
            <w:pPr>
              <w:spacing w:line="256" w:lineRule="auto"/>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Calibri" w:hAnsi="Microsoft Sans Serif" w:cs="Microsoft Sans Serif"/>
                <w:color w:val="C00000"/>
                <w:kern w:val="24"/>
                <w:sz w:val="24"/>
                <w:szCs w:val="24"/>
              </w:rPr>
              <w:t xml:space="preserve">Support longer periods </w:t>
            </w:r>
            <w:r w:rsidRPr="00955E4C">
              <w:rPr>
                <w:rFonts w:ascii="Microsoft Sans Serif" w:eastAsia="Calibri" w:hAnsi="Microsoft Sans Serif" w:cs="Microsoft Sans Serif"/>
                <w:color w:val="000000" w:themeColor="text1"/>
                <w:kern w:val="24"/>
                <w:sz w:val="24"/>
                <w:szCs w:val="24"/>
              </w:rPr>
              <w:t>(</w:t>
            </w:r>
            <w:r>
              <w:rPr>
                <w:rFonts w:ascii="Microsoft Sans Serif" w:eastAsia="Calibri" w:hAnsi="Microsoft Sans Serif" w:cs="Microsoft Sans Serif"/>
                <w:color w:val="000000" w:themeColor="text1"/>
                <w:kern w:val="24"/>
                <w:sz w:val="24"/>
                <w:szCs w:val="24"/>
              </w:rPr>
              <w:t>considering semi-</w:t>
            </w:r>
            <w:r w:rsidRPr="00955E4C">
              <w:rPr>
                <w:rFonts w:ascii="Microsoft Sans Serif" w:eastAsia="Calibri" w:hAnsi="Microsoft Sans Serif" w:cs="Microsoft Sans Serif"/>
                <w:color w:val="000000" w:themeColor="text1"/>
                <w:kern w:val="24"/>
                <w:sz w:val="24"/>
                <w:szCs w:val="24"/>
              </w:rPr>
              <w:t>static IAB network)</w:t>
            </w:r>
          </w:p>
        </w:tc>
      </w:tr>
      <w:tr w:rsidR="003604FB" w:rsidRPr="00955E4C" w14:paraId="7D7B3D43" w14:textId="77777777" w:rsidTr="00117DFB">
        <w:trPr>
          <w:trHeight w:val="394"/>
        </w:trPr>
        <w:tc>
          <w:tcPr>
            <w:cnfStyle w:val="001000000000" w:firstRow="0" w:lastRow="0" w:firstColumn="1" w:lastColumn="0" w:oddVBand="0" w:evenVBand="0" w:oddHBand="0" w:evenHBand="0" w:firstRowFirstColumn="0" w:firstRowLastColumn="0" w:lastRowFirstColumn="0" w:lastRowLastColumn="0"/>
            <w:tcW w:w="2420" w:type="dxa"/>
            <w:hideMark/>
          </w:tcPr>
          <w:p w14:paraId="18E9165D" w14:textId="77777777" w:rsidR="003604FB" w:rsidRPr="00955E4C" w:rsidRDefault="003604FB" w:rsidP="00117DFB">
            <w:pPr>
              <w:spacing w:line="256" w:lineRule="auto"/>
              <w:rPr>
                <w:rFonts w:ascii="Microsoft Sans Serif" w:eastAsia="Times New Roman" w:hAnsi="Microsoft Sans Serif" w:cs="Microsoft Sans Serif"/>
                <w:sz w:val="24"/>
                <w:szCs w:val="24"/>
              </w:rPr>
            </w:pPr>
            <w:r w:rsidRPr="00955E4C">
              <w:rPr>
                <w:rFonts w:ascii="Microsoft Sans Serif" w:eastAsia="Calibri" w:hAnsi="Microsoft Sans Serif" w:cs="Microsoft Sans Serif"/>
                <w:color w:val="000000" w:themeColor="dark1"/>
                <w:kern w:val="24"/>
                <w:sz w:val="24"/>
                <w:szCs w:val="24"/>
              </w:rPr>
              <w:t>Time-domain configuration</w:t>
            </w:r>
          </w:p>
        </w:tc>
        <w:tc>
          <w:tcPr>
            <w:tcW w:w="4140" w:type="dxa"/>
            <w:hideMark/>
          </w:tcPr>
          <w:p w14:paraId="410BAE4C" w14:textId="77777777" w:rsidR="003604FB" w:rsidRPr="00955E4C" w:rsidRDefault="003604FB" w:rsidP="00117DFB">
            <w:pPr>
              <w:spacing w:line="256" w:lineRule="auto"/>
              <w:cnfStyle w:val="000000000000" w:firstRow="0" w:lastRow="0" w:firstColumn="0" w:lastColumn="0" w:oddVBand="0" w:evenVBand="0" w:oddHBand="0"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b/>
                <w:kern w:val="24"/>
                <w:sz w:val="24"/>
                <w:szCs w:val="24"/>
              </w:rPr>
              <w:t>SMTC:</w:t>
            </w:r>
            <w:r w:rsidRPr="00955E4C">
              <w:rPr>
                <w:rFonts w:ascii="Microsoft Sans Serif" w:eastAsia="Times New Roman" w:hAnsi="Microsoft Sans Serif" w:cs="Microsoft Sans Serif"/>
                <w:kern w:val="24"/>
                <w:sz w:val="24"/>
                <w:szCs w:val="24"/>
              </w:rPr>
              <w:t xml:space="preserve">  follow SS burst set pattern</w:t>
            </w:r>
          </w:p>
          <w:p w14:paraId="782A8282" w14:textId="77777777" w:rsidR="003604FB" w:rsidRPr="00955E4C" w:rsidRDefault="003604FB" w:rsidP="00117DFB">
            <w:pPr>
              <w:spacing w:line="256" w:lineRule="auto"/>
              <w:cnfStyle w:val="000000000000" w:firstRow="0" w:lastRow="0" w:firstColumn="0" w:lastColumn="0" w:oddVBand="0" w:evenVBand="0" w:oddHBand="0"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Calibri" w:hAnsi="Microsoft Sans Serif" w:cs="Microsoft Sans Serif"/>
                <w:b/>
                <w:color w:val="A6A6A6" w:themeColor="background1" w:themeShade="A6"/>
                <w:kern w:val="24"/>
                <w:sz w:val="24"/>
                <w:szCs w:val="24"/>
              </w:rPr>
              <w:t>CSI-RS:</w:t>
            </w:r>
            <w:r w:rsidRPr="00955E4C">
              <w:rPr>
                <w:rFonts w:ascii="Microsoft Sans Serif" w:eastAsia="Calibri" w:hAnsi="Microsoft Sans Serif" w:cs="Microsoft Sans Serif"/>
                <w:color w:val="A6A6A6" w:themeColor="background1" w:themeShade="A6"/>
                <w:kern w:val="24"/>
                <w:sz w:val="24"/>
                <w:szCs w:val="24"/>
              </w:rPr>
              <w:t xml:space="preserve"> </w:t>
            </w:r>
            <w:r w:rsidRPr="00CA2E7E">
              <w:rPr>
                <w:rFonts w:ascii="Microsoft Sans Serif" w:eastAsia="Calibri" w:hAnsi="Microsoft Sans Serif" w:cs="Microsoft Sans Serif"/>
                <w:color w:val="A6A6A6" w:themeColor="background1" w:themeShade="A6"/>
                <w:kern w:val="24"/>
                <w:sz w:val="24"/>
                <w:szCs w:val="24"/>
              </w:rPr>
              <w:t xml:space="preserve"> </w:t>
            </w:r>
            <w:r w:rsidRPr="00955E4C">
              <w:rPr>
                <w:rFonts w:ascii="Microsoft Sans Serif" w:eastAsia="Calibri" w:hAnsi="Microsoft Sans Serif" w:cs="Microsoft Sans Serif"/>
                <w:color w:val="A6A6A6" w:themeColor="background1" w:themeShade="A6"/>
                <w:kern w:val="24"/>
                <w:sz w:val="24"/>
                <w:szCs w:val="24"/>
              </w:rPr>
              <w:t>symbol-level flexibility</w:t>
            </w:r>
          </w:p>
        </w:tc>
        <w:tc>
          <w:tcPr>
            <w:tcW w:w="3220" w:type="dxa"/>
            <w:hideMark/>
          </w:tcPr>
          <w:p w14:paraId="11DD9A75" w14:textId="77777777" w:rsidR="003604FB" w:rsidRPr="00955E4C" w:rsidRDefault="003604FB" w:rsidP="00117DFB">
            <w:pPr>
              <w:spacing w:line="256" w:lineRule="auto"/>
              <w:cnfStyle w:val="000000000000" w:firstRow="0" w:lastRow="0" w:firstColumn="0" w:lastColumn="0" w:oddVBand="0" w:evenVBand="0" w:oddHBand="0"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C00000"/>
                <w:kern w:val="24"/>
                <w:sz w:val="24"/>
                <w:szCs w:val="24"/>
              </w:rPr>
              <w:t xml:space="preserve">Allow more flexibility for SSB TD locations </w:t>
            </w:r>
          </w:p>
        </w:tc>
      </w:tr>
      <w:tr w:rsidR="003604FB" w:rsidRPr="00955E4C" w14:paraId="20203597" w14:textId="77777777" w:rsidTr="00117DFB">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2420" w:type="dxa"/>
            <w:hideMark/>
          </w:tcPr>
          <w:p w14:paraId="7BEA2D78" w14:textId="77777777" w:rsidR="003604FB" w:rsidRPr="00955E4C" w:rsidRDefault="003604FB" w:rsidP="00117DFB">
            <w:pPr>
              <w:spacing w:line="256" w:lineRule="auto"/>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000000" w:themeColor="dark1"/>
                <w:kern w:val="24"/>
                <w:sz w:val="24"/>
                <w:szCs w:val="24"/>
              </w:rPr>
              <w:t>Flexibility of measurement config</w:t>
            </w:r>
          </w:p>
        </w:tc>
        <w:tc>
          <w:tcPr>
            <w:tcW w:w="4140" w:type="dxa"/>
            <w:hideMark/>
          </w:tcPr>
          <w:p w14:paraId="61DF57CB" w14:textId="77777777" w:rsidR="003604FB" w:rsidRPr="00955E4C" w:rsidRDefault="003604FB" w:rsidP="00117DFB">
            <w:pPr>
              <w:spacing w:line="256" w:lineRule="auto"/>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b/>
                <w:kern w:val="24"/>
                <w:sz w:val="24"/>
                <w:szCs w:val="24"/>
              </w:rPr>
              <w:t>SMTC:</w:t>
            </w:r>
            <w:r w:rsidRPr="00955E4C">
              <w:rPr>
                <w:rFonts w:ascii="Microsoft Sans Serif" w:eastAsia="Times New Roman" w:hAnsi="Microsoft Sans Serif" w:cs="Microsoft Sans Serif"/>
                <w:kern w:val="24"/>
                <w:sz w:val="24"/>
                <w:szCs w:val="24"/>
              </w:rPr>
              <w:t xml:space="preserve"> 1 window per </w:t>
            </w:r>
            <w:proofErr w:type="spellStart"/>
            <w:r w:rsidRPr="00955E4C">
              <w:rPr>
                <w:rFonts w:ascii="Microsoft Sans Serif" w:eastAsia="Times New Roman" w:hAnsi="Microsoft Sans Serif" w:cs="Microsoft Sans Serif"/>
                <w:kern w:val="24"/>
                <w:sz w:val="24"/>
                <w:szCs w:val="24"/>
              </w:rPr>
              <w:t>freq</w:t>
            </w:r>
            <w:proofErr w:type="spellEnd"/>
            <w:r w:rsidRPr="00955E4C">
              <w:rPr>
                <w:rFonts w:ascii="Microsoft Sans Serif" w:eastAsia="Times New Roman" w:hAnsi="Microsoft Sans Serif" w:cs="Microsoft Sans Serif"/>
                <w:kern w:val="24"/>
                <w:sz w:val="24"/>
                <w:szCs w:val="24"/>
              </w:rPr>
              <w:t xml:space="preserve"> (inter-</w:t>
            </w:r>
            <w:proofErr w:type="spellStart"/>
            <w:r w:rsidRPr="00955E4C">
              <w:rPr>
                <w:rFonts w:ascii="Microsoft Sans Serif" w:eastAsia="Times New Roman" w:hAnsi="Microsoft Sans Serif" w:cs="Microsoft Sans Serif"/>
                <w:kern w:val="24"/>
                <w:sz w:val="24"/>
                <w:szCs w:val="24"/>
              </w:rPr>
              <w:t>freq</w:t>
            </w:r>
            <w:proofErr w:type="spellEnd"/>
            <w:r w:rsidRPr="00955E4C">
              <w:rPr>
                <w:rFonts w:ascii="Microsoft Sans Serif" w:eastAsia="Times New Roman" w:hAnsi="Microsoft Sans Serif" w:cs="Microsoft Sans Serif"/>
                <w:kern w:val="24"/>
                <w:sz w:val="24"/>
                <w:szCs w:val="24"/>
              </w:rPr>
              <w:t>)</w:t>
            </w:r>
          </w:p>
          <w:p w14:paraId="5037E2AF" w14:textId="77777777" w:rsidR="003604FB" w:rsidRPr="00955E4C" w:rsidRDefault="003604FB" w:rsidP="00117DFB">
            <w:pPr>
              <w:spacing w:line="256" w:lineRule="auto"/>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Calibri" w:hAnsi="Microsoft Sans Serif" w:cs="Microsoft Sans Serif"/>
                <w:b/>
                <w:color w:val="808080" w:themeColor="background1" w:themeShade="80"/>
                <w:kern w:val="24"/>
                <w:sz w:val="24"/>
                <w:szCs w:val="24"/>
              </w:rPr>
              <w:t>CSI-RS:</w:t>
            </w:r>
            <w:r w:rsidRPr="00955E4C">
              <w:rPr>
                <w:rFonts w:ascii="Microsoft Sans Serif" w:eastAsia="Calibri" w:hAnsi="Microsoft Sans Serif" w:cs="Microsoft Sans Serif"/>
                <w:color w:val="808080" w:themeColor="background1" w:themeShade="80"/>
                <w:kern w:val="24"/>
                <w:sz w:val="24"/>
                <w:szCs w:val="24"/>
              </w:rPr>
              <w:t xml:space="preserve"> </w:t>
            </w:r>
            <w:r w:rsidRPr="00CA2E7E">
              <w:rPr>
                <w:rFonts w:ascii="Microsoft Sans Serif" w:eastAsia="Calibri" w:hAnsi="Microsoft Sans Serif" w:cs="Microsoft Sans Serif"/>
                <w:color w:val="808080" w:themeColor="background1" w:themeShade="80"/>
                <w:kern w:val="24"/>
                <w:sz w:val="24"/>
                <w:szCs w:val="24"/>
              </w:rPr>
              <w:t xml:space="preserve"> </w:t>
            </w:r>
            <w:r w:rsidRPr="00955E4C">
              <w:rPr>
                <w:rFonts w:ascii="Microsoft Sans Serif" w:eastAsia="Calibri" w:hAnsi="Microsoft Sans Serif" w:cs="Microsoft Sans Serif"/>
                <w:color w:val="808080" w:themeColor="background1" w:themeShade="80"/>
                <w:kern w:val="24"/>
                <w:sz w:val="24"/>
                <w:szCs w:val="24"/>
              </w:rPr>
              <w:t>can configure multiple windows</w:t>
            </w:r>
          </w:p>
        </w:tc>
        <w:tc>
          <w:tcPr>
            <w:tcW w:w="3220" w:type="dxa"/>
            <w:hideMark/>
          </w:tcPr>
          <w:p w14:paraId="0B00288C" w14:textId="77777777" w:rsidR="003604FB" w:rsidRPr="00955E4C" w:rsidRDefault="003604FB" w:rsidP="00117DFB">
            <w:pPr>
              <w:spacing w:line="256" w:lineRule="auto"/>
              <w:cnfStyle w:val="000000100000" w:firstRow="0" w:lastRow="0" w:firstColumn="0" w:lastColumn="0" w:oddVBand="0" w:evenVBand="0" w:oddHBand="1" w:evenHBand="0" w:firstRowFirstColumn="0" w:firstRowLastColumn="0" w:lastRowFirstColumn="0" w:lastRowLastColumn="0"/>
              <w:rPr>
                <w:rFonts w:ascii="Microsoft Sans Serif" w:eastAsia="Times New Roman" w:hAnsi="Microsoft Sans Serif" w:cs="Microsoft Sans Serif"/>
                <w:sz w:val="24"/>
                <w:szCs w:val="24"/>
              </w:rPr>
            </w:pPr>
            <w:r w:rsidRPr="00955E4C">
              <w:rPr>
                <w:rFonts w:ascii="Microsoft Sans Serif" w:eastAsia="Times New Roman" w:hAnsi="Microsoft Sans Serif" w:cs="Microsoft Sans Serif"/>
                <w:color w:val="C00000"/>
                <w:kern w:val="24"/>
                <w:sz w:val="24"/>
                <w:szCs w:val="24"/>
              </w:rPr>
              <w:t xml:space="preserve">Allow more flexible SMTC config </w:t>
            </w:r>
            <w:r w:rsidRPr="00955E4C">
              <w:rPr>
                <w:rFonts w:ascii="Microsoft Sans Serif" w:eastAsia="Times New Roman" w:hAnsi="Microsoft Sans Serif" w:cs="Microsoft Sans Serif"/>
                <w:color w:val="000000" w:themeColor="text1"/>
                <w:kern w:val="24"/>
                <w:sz w:val="24"/>
                <w:szCs w:val="24"/>
              </w:rPr>
              <w:t>(to configure TX/RX coordination pattern)</w:t>
            </w:r>
          </w:p>
        </w:tc>
      </w:tr>
    </w:tbl>
    <w:p w14:paraId="0EB49436" w14:textId="77777777" w:rsidR="003604FB" w:rsidRDefault="003604FB" w:rsidP="003604FB">
      <w:pPr>
        <w:rPr>
          <w:rFonts w:eastAsia="Arial"/>
        </w:rPr>
      </w:pPr>
    </w:p>
    <w:p w14:paraId="40A6917E" w14:textId="77777777" w:rsidR="003604FB" w:rsidRDefault="003604FB" w:rsidP="003604FB">
      <w:pPr>
        <w:rPr>
          <w:rFonts w:eastAsia="Arial"/>
        </w:rPr>
      </w:pPr>
      <w:r>
        <w:rPr>
          <w:rFonts w:eastAsia="Arial"/>
        </w:rPr>
        <w:t xml:space="preserve">Rel-15 RRM limits the periodicity to 160 </w:t>
      </w:r>
      <w:proofErr w:type="spellStart"/>
      <w:r>
        <w:rPr>
          <w:rFonts w:eastAsia="Arial"/>
        </w:rPr>
        <w:t>msec</w:t>
      </w:r>
      <w:proofErr w:type="spellEnd"/>
      <w:r>
        <w:rPr>
          <w:rFonts w:eastAsia="Arial"/>
        </w:rPr>
        <w:t xml:space="preserve"> and 40 </w:t>
      </w:r>
      <w:proofErr w:type="spellStart"/>
      <w:r>
        <w:rPr>
          <w:rFonts w:eastAsia="Arial"/>
        </w:rPr>
        <w:t>msec</w:t>
      </w:r>
      <w:proofErr w:type="spellEnd"/>
      <w:r>
        <w:rPr>
          <w:rFonts w:eastAsia="Arial"/>
        </w:rPr>
        <w:t xml:space="preserve"> respectively for SMTC and CSI-RS based methods. Allowing larger values of periodicity for IAB will be beneficial in reducing the resource overhead, considering the semi-static nature of IAB network. </w:t>
      </w:r>
    </w:p>
    <w:p w14:paraId="51285940" w14:textId="77777777" w:rsidR="003604FB" w:rsidRDefault="003604FB" w:rsidP="003604FB">
      <w:pPr>
        <w:rPr>
          <w:rFonts w:eastAsia="Arial"/>
        </w:rPr>
      </w:pPr>
      <w:r>
        <w:rPr>
          <w:rFonts w:eastAsia="Arial"/>
        </w:rPr>
        <w:t xml:space="preserve">Currently in Rel-15, the SSBs transmitted within SMTC for RRM must follow the same SS burst set pattern as the cell-defining SSBs. Such a restriction can be relaxed for IAB to allow more flexible arrangement of SSBs to reduce the overhead. This in turn may need more signaling overhead to configure the SMTC. </w:t>
      </w:r>
    </w:p>
    <w:p w14:paraId="13F4DB39" w14:textId="6977CEDF" w:rsidR="003604FB" w:rsidRDefault="003604FB" w:rsidP="003604FB">
      <w:pPr>
        <w:rPr>
          <w:rFonts w:eastAsia="Arial"/>
        </w:rPr>
      </w:pPr>
      <w:r>
        <w:rPr>
          <w:rFonts w:eastAsia="Arial"/>
        </w:rPr>
        <w:lastRenderedPageBreak/>
        <w:t xml:space="preserve">Rel-15 allows configuring only 1 SMTC window per frequency for inter-frequency RRM </w:t>
      </w:r>
      <w:r w:rsidRPr="009C288B">
        <w:rPr>
          <w:rFonts w:eastAsia="Arial"/>
        </w:rPr>
        <w:t>and 2 for intra-frequency</w:t>
      </w:r>
      <w:r>
        <w:rPr>
          <w:rFonts w:eastAsia="Arial"/>
        </w:rPr>
        <w:t xml:space="preserve">. This will limit the TX/RX coordination patterns that we can configure to address the half-duplex issue. Hence, we propose more flexible SMTC configuration such as (see </w:t>
      </w:r>
      <w:r>
        <w:rPr>
          <w:rFonts w:eastAsia="Arial"/>
        </w:rPr>
        <w:fldChar w:fldCharType="begin"/>
      </w:r>
      <w:r>
        <w:rPr>
          <w:rFonts w:eastAsia="Arial"/>
        </w:rPr>
        <w:instrText xml:space="preserve"> REF _Ref521672822 \h </w:instrText>
      </w:r>
      <w:r>
        <w:rPr>
          <w:rFonts w:eastAsia="Arial"/>
        </w:rPr>
      </w:r>
      <w:r>
        <w:rPr>
          <w:rFonts w:eastAsia="Arial"/>
        </w:rPr>
        <w:fldChar w:fldCharType="separate"/>
      </w:r>
      <w:r w:rsidR="00E050EE">
        <w:t xml:space="preserve">Figure </w:t>
      </w:r>
      <w:r w:rsidR="00E050EE">
        <w:rPr>
          <w:noProof/>
        </w:rPr>
        <w:t>2</w:t>
      </w:r>
      <w:r>
        <w:rPr>
          <w:rFonts w:eastAsia="Arial"/>
        </w:rPr>
        <w:fldChar w:fldCharType="end"/>
      </w:r>
      <w:r>
        <w:rPr>
          <w:rFonts w:eastAsia="Arial"/>
        </w:rPr>
        <w:t>)</w:t>
      </w:r>
    </w:p>
    <w:p w14:paraId="338ACD8F" w14:textId="77777777" w:rsidR="003604FB" w:rsidRDefault="003604FB" w:rsidP="003604FB">
      <w:pPr>
        <w:pStyle w:val="ListParagraph"/>
        <w:numPr>
          <w:ilvl w:val="0"/>
          <w:numId w:val="6"/>
        </w:numPr>
        <w:ind w:firstLineChars="0"/>
        <w:rPr>
          <w:rFonts w:eastAsia="Arial"/>
        </w:rPr>
      </w:pPr>
      <w:r w:rsidRPr="003763BB">
        <w:rPr>
          <w:rFonts w:eastAsia="Arial"/>
        </w:rPr>
        <w:t>increase the number of SMTC w</w:t>
      </w:r>
      <w:r>
        <w:rPr>
          <w:rFonts w:eastAsia="Arial"/>
        </w:rPr>
        <w:t>indows</w:t>
      </w:r>
    </w:p>
    <w:p w14:paraId="6EFCB519" w14:textId="77777777" w:rsidR="003604FB" w:rsidRDefault="003604FB" w:rsidP="003604FB">
      <w:pPr>
        <w:pStyle w:val="ListParagraph"/>
        <w:numPr>
          <w:ilvl w:val="0"/>
          <w:numId w:val="6"/>
        </w:numPr>
        <w:ind w:firstLineChars="0"/>
        <w:rPr>
          <w:rFonts w:eastAsia="Arial"/>
        </w:rPr>
      </w:pPr>
      <w:r>
        <w:rPr>
          <w:rFonts w:eastAsia="Arial"/>
        </w:rPr>
        <w:t>use a similar design to configure transmission windows (i.e. SSB transmission timing configuration or STTC).</w:t>
      </w:r>
    </w:p>
    <w:p w14:paraId="6FBC6B3A" w14:textId="77777777" w:rsidR="003604FB" w:rsidRDefault="003604FB" w:rsidP="003604FB">
      <w:pPr>
        <w:keepNext/>
        <w:jc w:val="center"/>
      </w:pPr>
      <w:r>
        <w:rPr>
          <w:rFonts w:eastAsia="Arial"/>
          <w:noProof/>
        </w:rPr>
        <w:drawing>
          <wp:inline distT="0" distB="0" distL="0" distR="0" wp14:anchorId="0371E726" wp14:editId="43BD5740">
            <wp:extent cx="4534509" cy="70225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06849" cy="713462"/>
                    </a:xfrm>
                    <a:prstGeom prst="rect">
                      <a:avLst/>
                    </a:prstGeom>
                    <a:noFill/>
                  </pic:spPr>
                </pic:pic>
              </a:graphicData>
            </a:graphic>
          </wp:inline>
        </w:drawing>
      </w:r>
    </w:p>
    <w:p w14:paraId="2A6A86AF" w14:textId="63FAE979" w:rsidR="003604FB" w:rsidRDefault="003604FB" w:rsidP="003604FB">
      <w:pPr>
        <w:pStyle w:val="Caption"/>
        <w:jc w:val="center"/>
        <w:rPr>
          <w:rFonts w:eastAsia="Arial"/>
        </w:rPr>
      </w:pPr>
      <w:bookmarkStart w:id="9" w:name="_Ref521672822"/>
      <w:r>
        <w:t xml:space="preserve">Figure </w:t>
      </w:r>
      <w:r>
        <w:rPr>
          <w:noProof/>
        </w:rPr>
        <w:fldChar w:fldCharType="begin"/>
      </w:r>
      <w:r>
        <w:rPr>
          <w:noProof/>
        </w:rPr>
        <w:instrText xml:space="preserve"> SEQ Figure \* ARABIC </w:instrText>
      </w:r>
      <w:r>
        <w:rPr>
          <w:noProof/>
        </w:rPr>
        <w:fldChar w:fldCharType="separate"/>
      </w:r>
      <w:r w:rsidR="00E050EE">
        <w:rPr>
          <w:noProof/>
        </w:rPr>
        <w:t>2</w:t>
      </w:r>
      <w:r>
        <w:rPr>
          <w:noProof/>
        </w:rPr>
        <w:fldChar w:fldCharType="end"/>
      </w:r>
      <w:bookmarkEnd w:id="9"/>
      <w:r>
        <w:t>: configuring multiple measurement (SMTC) and transmission (SSTC) windows for IAB discovery/measurements</w:t>
      </w:r>
    </w:p>
    <w:p w14:paraId="53BDAFBB" w14:textId="77777777" w:rsidR="003604FB" w:rsidRDefault="003604FB" w:rsidP="003604FB">
      <w:pPr>
        <w:rPr>
          <w:rFonts w:eastAsia="Arial"/>
        </w:rPr>
      </w:pPr>
    </w:p>
    <w:p w14:paraId="2F0B6FB4" w14:textId="3B2DE496" w:rsidR="003604FB" w:rsidRDefault="0011018C" w:rsidP="003604FB">
      <w:pPr>
        <w:rPr>
          <w:b/>
        </w:rPr>
      </w:pPr>
      <w:bookmarkStart w:id="10" w:name="_Hlk525834004"/>
      <w:r>
        <w:rPr>
          <w:b/>
        </w:rPr>
        <w:t>Proposal 3</w:t>
      </w:r>
      <w:r w:rsidR="003604FB">
        <w:rPr>
          <w:b/>
        </w:rPr>
        <w:t>.3</w:t>
      </w:r>
      <w:r w:rsidR="003604FB" w:rsidRPr="005566E6">
        <w:rPr>
          <w:b/>
        </w:rPr>
        <w:t xml:space="preserve">: </w:t>
      </w:r>
      <w:r w:rsidR="003604FB">
        <w:rPr>
          <w:b/>
        </w:rPr>
        <w:t>simple modifications to the NR R15 RRM framework should be considered to make it more suitable for backhaul operations, such as</w:t>
      </w:r>
    </w:p>
    <w:p w14:paraId="64C90CE7" w14:textId="77777777" w:rsidR="003604FB" w:rsidRDefault="003604FB" w:rsidP="003604FB">
      <w:pPr>
        <w:pStyle w:val="ListParagraph"/>
        <w:numPr>
          <w:ilvl w:val="0"/>
          <w:numId w:val="8"/>
        </w:numPr>
        <w:ind w:firstLineChars="0"/>
        <w:rPr>
          <w:b/>
        </w:rPr>
      </w:pPr>
      <w:r>
        <w:rPr>
          <w:b/>
        </w:rPr>
        <w:t xml:space="preserve">configuring new values for CSI-RS/SMTC periodicity (e.g. larger than 160 </w:t>
      </w:r>
      <w:proofErr w:type="spellStart"/>
      <w:r>
        <w:rPr>
          <w:b/>
        </w:rPr>
        <w:t>msec</w:t>
      </w:r>
      <w:proofErr w:type="spellEnd"/>
      <w:r>
        <w:rPr>
          <w:b/>
        </w:rPr>
        <w:t>),</w:t>
      </w:r>
    </w:p>
    <w:p w14:paraId="1000E2D2" w14:textId="77777777" w:rsidR="003604FB" w:rsidRDefault="003604FB" w:rsidP="003604FB">
      <w:pPr>
        <w:pStyle w:val="ListParagraph"/>
        <w:numPr>
          <w:ilvl w:val="0"/>
          <w:numId w:val="8"/>
        </w:numPr>
        <w:ind w:firstLineChars="0"/>
        <w:rPr>
          <w:b/>
        </w:rPr>
      </w:pPr>
      <w:r>
        <w:rPr>
          <w:b/>
        </w:rPr>
        <w:t xml:space="preserve">increasing the maximum number of SMTC configured per frequency, </w:t>
      </w:r>
    </w:p>
    <w:p w14:paraId="0D0A5128" w14:textId="77777777" w:rsidR="003604FB" w:rsidRDefault="003604FB" w:rsidP="003604FB">
      <w:pPr>
        <w:pStyle w:val="ListParagraph"/>
        <w:numPr>
          <w:ilvl w:val="0"/>
          <w:numId w:val="8"/>
        </w:numPr>
        <w:ind w:firstLineChars="0"/>
        <w:rPr>
          <w:b/>
        </w:rPr>
      </w:pPr>
      <w:r>
        <w:rPr>
          <w:b/>
        </w:rPr>
        <w:t>supporting more flexible time-domain location of the SSBs within a SMTC,</w:t>
      </w:r>
    </w:p>
    <w:p w14:paraId="5FD82E37" w14:textId="77777777" w:rsidR="003604FB" w:rsidRPr="005C1785" w:rsidRDefault="003604FB" w:rsidP="003604FB">
      <w:pPr>
        <w:pStyle w:val="ListParagraph"/>
        <w:numPr>
          <w:ilvl w:val="0"/>
          <w:numId w:val="8"/>
        </w:numPr>
        <w:ind w:firstLineChars="0"/>
        <w:rPr>
          <w:b/>
        </w:rPr>
      </w:pPr>
      <w:r>
        <w:rPr>
          <w:b/>
        </w:rPr>
        <w:t xml:space="preserve">leveraging SMTC design to configure transmission windows (STTC). </w:t>
      </w:r>
    </w:p>
    <w:bookmarkEnd w:id="10"/>
    <w:p w14:paraId="16C518B3" w14:textId="77777777" w:rsidR="003604FB" w:rsidRPr="003604FB" w:rsidRDefault="003604FB" w:rsidP="003604FB"/>
    <w:p w14:paraId="31E583A5" w14:textId="16309AF8" w:rsidR="00FC657E" w:rsidRPr="0011018C" w:rsidRDefault="0011018C" w:rsidP="0011018C">
      <w:pPr>
        <w:pStyle w:val="Heading2"/>
        <w:spacing w:after="240"/>
        <w:rPr>
          <w:rStyle w:val="Strong"/>
          <w:b w:val="0"/>
          <w:bCs w:val="0"/>
          <w:sz w:val="28"/>
        </w:rPr>
      </w:pPr>
      <w:r>
        <w:rPr>
          <w:rStyle w:val="Strong"/>
          <w:b w:val="0"/>
          <w:bCs w:val="0"/>
          <w:sz w:val="28"/>
        </w:rPr>
        <w:t xml:space="preserve"> </w:t>
      </w:r>
      <w:r w:rsidR="00FC657E" w:rsidRPr="0011018C">
        <w:rPr>
          <w:rStyle w:val="Strong"/>
          <w:b w:val="0"/>
          <w:bCs w:val="0"/>
          <w:sz w:val="28"/>
        </w:rPr>
        <w:t xml:space="preserve">A baseline framework </w:t>
      </w:r>
    </w:p>
    <w:p w14:paraId="4CF82084" w14:textId="165C8F01" w:rsidR="00FC657E" w:rsidRDefault="00FC657E" w:rsidP="00FC657E">
      <w:r>
        <w:fldChar w:fldCharType="begin"/>
      </w:r>
      <w:r>
        <w:instrText xml:space="preserve"> REF _Ref513563849 \h </w:instrText>
      </w:r>
      <w:r>
        <w:fldChar w:fldCharType="separate"/>
      </w:r>
      <w:r w:rsidR="00E050EE">
        <w:t xml:space="preserve">Figure </w:t>
      </w:r>
      <w:r w:rsidR="00E050EE">
        <w:rPr>
          <w:noProof/>
        </w:rPr>
        <w:t>3</w:t>
      </w:r>
      <w:r>
        <w:fldChar w:fldCharType="end"/>
      </w:r>
      <w:r>
        <w:t xml:space="preserve"> demonstrates a baseline framework to support </w:t>
      </w:r>
      <w:r w:rsidR="00C326D3">
        <w:t>IAB</w:t>
      </w:r>
      <w:r>
        <w:t xml:space="preserve"> discovery and measurements in an NR-IAB network,</w:t>
      </w:r>
      <w:r w:rsidR="00B34898">
        <w:t xml:space="preserve"> and </w:t>
      </w:r>
      <w:r w:rsidR="00B34898" w:rsidRPr="003975DB">
        <w:fldChar w:fldCharType="begin"/>
      </w:r>
      <w:r w:rsidR="00B34898" w:rsidRPr="003975DB">
        <w:instrText xml:space="preserve"> REF _Ref513564034 \h </w:instrText>
      </w:r>
      <w:r w:rsidR="00B34898">
        <w:instrText xml:space="preserve"> \* MERGEFORMAT </w:instrText>
      </w:r>
      <w:r w:rsidR="00B34898" w:rsidRPr="003975DB">
        <w:fldChar w:fldCharType="separate"/>
      </w:r>
      <w:r w:rsidR="00E050EE">
        <w:t xml:space="preserve">Table </w:t>
      </w:r>
      <w:r w:rsidR="00E050EE">
        <w:rPr>
          <w:noProof/>
        </w:rPr>
        <w:t>5</w:t>
      </w:r>
      <w:r w:rsidR="00B34898" w:rsidRPr="003975DB">
        <w:fldChar w:fldCharType="end"/>
      </w:r>
      <w:r w:rsidR="00B34898" w:rsidRPr="003975DB">
        <w:t xml:space="preserve"> summarize</w:t>
      </w:r>
      <w:r w:rsidR="00B34898">
        <w:t>s the proposed signals to be used for various operations.</w:t>
      </w:r>
    </w:p>
    <w:p w14:paraId="177365BB" w14:textId="1FC45FF1" w:rsidR="00FC657E" w:rsidRDefault="00B34898" w:rsidP="00B34898">
      <w:r>
        <w:t>Note in this proposal, i</w:t>
      </w:r>
      <w:r w:rsidR="00FC657E" w:rsidRPr="00B34898">
        <w:t>nter-node discovery</w:t>
      </w:r>
      <w:r w:rsidR="00FC657E">
        <w:t xml:space="preserve"> is based on a periodic transmission of off-raster SSBs, following a muting pattern, </w:t>
      </w:r>
      <w:r>
        <w:t xml:space="preserve">on </w:t>
      </w:r>
      <w:proofErr w:type="spellStart"/>
      <w:r w:rsidR="00FC657E">
        <w:t>TDM’ed</w:t>
      </w:r>
      <w:proofErr w:type="spellEnd"/>
      <w:r w:rsidR="00FC657E">
        <w:t xml:space="preserve"> </w:t>
      </w:r>
      <w:r>
        <w:t xml:space="preserve">resources </w:t>
      </w:r>
      <w:r w:rsidR="00FC657E">
        <w:t>with cell-defining SSBs, and transmitted with potentially a long periodicity</w:t>
      </w:r>
      <w:r>
        <w:t>.</w:t>
      </w:r>
    </w:p>
    <w:p w14:paraId="4C76DBAC" w14:textId="77777777" w:rsidR="0088737B" w:rsidRDefault="0088737B" w:rsidP="00B34898"/>
    <w:p w14:paraId="4112726D" w14:textId="1B6A85E2" w:rsidR="00FC657E" w:rsidRDefault="0088737B" w:rsidP="0088737B">
      <w:pPr>
        <w:keepNext/>
      </w:pPr>
      <w:r>
        <w:rPr>
          <w:noProof/>
        </w:rPr>
        <w:drawing>
          <wp:inline distT="0" distB="0" distL="0" distR="0" wp14:anchorId="4812B5C8" wp14:editId="0D9B8A59">
            <wp:extent cx="6188659" cy="1803315"/>
            <wp:effectExtent l="0" t="0" r="317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29589" cy="1815242"/>
                    </a:xfrm>
                    <a:prstGeom prst="rect">
                      <a:avLst/>
                    </a:prstGeom>
                    <a:noFill/>
                  </pic:spPr>
                </pic:pic>
              </a:graphicData>
            </a:graphic>
          </wp:inline>
        </w:drawing>
      </w:r>
    </w:p>
    <w:p w14:paraId="7BBCA1FA" w14:textId="1381DCAE" w:rsidR="00FC657E" w:rsidRPr="00402BA8" w:rsidRDefault="00FC657E" w:rsidP="00FC657E">
      <w:pPr>
        <w:pStyle w:val="Caption"/>
        <w:jc w:val="center"/>
      </w:pPr>
      <w:bookmarkStart w:id="11" w:name="_Ref513563849"/>
      <w:r>
        <w:t xml:space="preserve">Figure </w:t>
      </w:r>
      <w:r w:rsidR="00C46E82">
        <w:rPr>
          <w:noProof/>
        </w:rPr>
        <w:fldChar w:fldCharType="begin"/>
      </w:r>
      <w:r w:rsidR="00C46E82">
        <w:rPr>
          <w:noProof/>
        </w:rPr>
        <w:instrText xml:space="preserve"> SEQ Figure \* ARABIC </w:instrText>
      </w:r>
      <w:r w:rsidR="00C46E82">
        <w:rPr>
          <w:noProof/>
        </w:rPr>
        <w:fldChar w:fldCharType="separate"/>
      </w:r>
      <w:r w:rsidR="00E050EE">
        <w:rPr>
          <w:noProof/>
        </w:rPr>
        <w:t>3</w:t>
      </w:r>
      <w:r w:rsidR="00C46E82">
        <w:rPr>
          <w:noProof/>
        </w:rPr>
        <w:fldChar w:fldCharType="end"/>
      </w:r>
      <w:bookmarkEnd w:id="11"/>
      <w:r>
        <w:t xml:space="preserve">: </w:t>
      </w:r>
      <w:r w:rsidR="002C2ACB">
        <w:t>Signa</w:t>
      </w:r>
      <w:r>
        <w:t>ling used for various BH operations</w:t>
      </w:r>
    </w:p>
    <w:p w14:paraId="0E9EE09F" w14:textId="77777777" w:rsidR="00FC657E" w:rsidRDefault="00FC657E" w:rsidP="00FC657E"/>
    <w:p w14:paraId="480771E7" w14:textId="1DD7DEBF" w:rsidR="00FC657E" w:rsidRDefault="00FC657E" w:rsidP="00FC657E">
      <w:pPr>
        <w:pStyle w:val="Caption"/>
        <w:keepNext/>
        <w:jc w:val="center"/>
      </w:pPr>
      <w:bookmarkStart w:id="12" w:name="_Ref513564034"/>
      <w:r>
        <w:lastRenderedPageBreak/>
        <w:t xml:space="preserve">Table </w:t>
      </w:r>
      <w:r w:rsidR="00C46E82">
        <w:rPr>
          <w:noProof/>
        </w:rPr>
        <w:fldChar w:fldCharType="begin"/>
      </w:r>
      <w:r w:rsidR="00C46E82">
        <w:rPr>
          <w:noProof/>
        </w:rPr>
        <w:instrText xml:space="preserve"> SEQ Table \* ARABIC </w:instrText>
      </w:r>
      <w:r w:rsidR="00C46E82">
        <w:rPr>
          <w:noProof/>
        </w:rPr>
        <w:fldChar w:fldCharType="separate"/>
      </w:r>
      <w:r w:rsidR="00E050EE">
        <w:rPr>
          <w:noProof/>
        </w:rPr>
        <w:t>5</w:t>
      </w:r>
      <w:r w:rsidR="00C46E82">
        <w:rPr>
          <w:noProof/>
        </w:rPr>
        <w:fldChar w:fldCharType="end"/>
      </w:r>
      <w:bookmarkEnd w:id="12"/>
      <w:r>
        <w:t>: reference signals used for various BH operations</w:t>
      </w:r>
    </w:p>
    <w:tbl>
      <w:tblPr>
        <w:tblStyle w:val="TableGrid"/>
        <w:tblW w:w="0" w:type="auto"/>
        <w:jc w:val="center"/>
        <w:tblLook w:val="04A0" w:firstRow="1" w:lastRow="0" w:firstColumn="1" w:lastColumn="0" w:noHBand="0" w:noVBand="1"/>
      </w:tblPr>
      <w:tblGrid>
        <w:gridCol w:w="2740"/>
        <w:gridCol w:w="2038"/>
        <w:gridCol w:w="2625"/>
      </w:tblGrid>
      <w:tr w:rsidR="00FC657E" w14:paraId="7D8CBFD5" w14:textId="77777777" w:rsidTr="00FC657E">
        <w:trPr>
          <w:jc w:val="center"/>
        </w:trPr>
        <w:tc>
          <w:tcPr>
            <w:tcW w:w="2740" w:type="dxa"/>
          </w:tcPr>
          <w:p w14:paraId="60A98B33" w14:textId="77777777" w:rsidR="00FC657E" w:rsidRPr="00ED450C" w:rsidRDefault="00FC657E" w:rsidP="00FC657E">
            <w:pPr>
              <w:rPr>
                <w:b/>
              </w:rPr>
            </w:pPr>
            <w:r w:rsidRPr="00ED450C">
              <w:rPr>
                <w:b/>
              </w:rPr>
              <w:t>BH procedure</w:t>
            </w:r>
          </w:p>
        </w:tc>
        <w:tc>
          <w:tcPr>
            <w:tcW w:w="2038" w:type="dxa"/>
          </w:tcPr>
          <w:p w14:paraId="634E1B69" w14:textId="77777777" w:rsidR="00FC657E" w:rsidRPr="00ED450C" w:rsidRDefault="00FC657E" w:rsidP="00FC657E">
            <w:pPr>
              <w:rPr>
                <w:b/>
              </w:rPr>
            </w:pPr>
            <w:r>
              <w:rPr>
                <w:b/>
              </w:rPr>
              <w:t>Baseline ref signals</w:t>
            </w:r>
          </w:p>
        </w:tc>
        <w:tc>
          <w:tcPr>
            <w:tcW w:w="2625" w:type="dxa"/>
          </w:tcPr>
          <w:p w14:paraId="467E7CF6" w14:textId="77777777" w:rsidR="00FC657E" w:rsidRPr="00ED450C" w:rsidRDefault="00FC657E" w:rsidP="00FC657E">
            <w:pPr>
              <w:rPr>
                <w:b/>
              </w:rPr>
            </w:pPr>
            <w:r w:rsidRPr="00ED450C">
              <w:rPr>
                <w:b/>
              </w:rPr>
              <w:t xml:space="preserve">Additional </w:t>
            </w:r>
            <w:r>
              <w:rPr>
                <w:b/>
              </w:rPr>
              <w:t xml:space="preserve">ref signals </w:t>
            </w:r>
          </w:p>
        </w:tc>
      </w:tr>
      <w:tr w:rsidR="00FC657E" w14:paraId="7FEA8E40" w14:textId="77777777" w:rsidTr="00FC657E">
        <w:trPr>
          <w:jc w:val="center"/>
        </w:trPr>
        <w:tc>
          <w:tcPr>
            <w:tcW w:w="2740" w:type="dxa"/>
          </w:tcPr>
          <w:p w14:paraId="1BA83FBF" w14:textId="77777777" w:rsidR="00FC657E" w:rsidRPr="00ED450C" w:rsidRDefault="00FC657E" w:rsidP="00FC657E">
            <w:pPr>
              <w:rPr>
                <w:b/>
              </w:rPr>
            </w:pPr>
            <w:r w:rsidRPr="00ED450C">
              <w:rPr>
                <w:b/>
              </w:rPr>
              <w:t>Initial acquisition</w:t>
            </w:r>
          </w:p>
        </w:tc>
        <w:tc>
          <w:tcPr>
            <w:tcW w:w="2038" w:type="dxa"/>
          </w:tcPr>
          <w:p w14:paraId="20A2557C" w14:textId="77777777" w:rsidR="00FC657E" w:rsidRDefault="00FC657E" w:rsidP="00FC657E">
            <w:r>
              <w:t>CD SSBs</w:t>
            </w:r>
          </w:p>
        </w:tc>
        <w:tc>
          <w:tcPr>
            <w:tcW w:w="2625" w:type="dxa"/>
          </w:tcPr>
          <w:p w14:paraId="0EB63A63" w14:textId="77777777" w:rsidR="00FC657E" w:rsidRDefault="00FC657E" w:rsidP="00FC657E">
            <w:r>
              <w:t>Off-raster SSBs</w:t>
            </w:r>
          </w:p>
        </w:tc>
      </w:tr>
      <w:tr w:rsidR="00FC657E" w14:paraId="00006FCB" w14:textId="77777777" w:rsidTr="00FC657E">
        <w:trPr>
          <w:jc w:val="center"/>
        </w:trPr>
        <w:tc>
          <w:tcPr>
            <w:tcW w:w="2740" w:type="dxa"/>
          </w:tcPr>
          <w:p w14:paraId="6460267B" w14:textId="6D62F9AC" w:rsidR="00FC657E" w:rsidRPr="00ED450C" w:rsidRDefault="0011018C" w:rsidP="00FC657E">
            <w:pPr>
              <w:rPr>
                <w:b/>
              </w:rPr>
            </w:pPr>
            <w:r>
              <w:rPr>
                <w:b/>
              </w:rPr>
              <w:t>Inter</w:t>
            </w:r>
            <w:r w:rsidR="00FC657E">
              <w:rPr>
                <w:b/>
              </w:rPr>
              <w:t>-node</w:t>
            </w:r>
            <w:r w:rsidR="00FC657E" w:rsidRPr="00ED450C">
              <w:rPr>
                <w:b/>
              </w:rPr>
              <w:t xml:space="preserve"> discovery</w:t>
            </w:r>
          </w:p>
        </w:tc>
        <w:tc>
          <w:tcPr>
            <w:tcW w:w="2038" w:type="dxa"/>
          </w:tcPr>
          <w:p w14:paraId="57B138FD" w14:textId="77777777" w:rsidR="00FC657E" w:rsidRDefault="00FC657E" w:rsidP="00FC657E">
            <w:r>
              <w:t>Off-raster SSBs</w:t>
            </w:r>
          </w:p>
        </w:tc>
        <w:tc>
          <w:tcPr>
            <w:tcW w:w="2625" w:type="dxa"/>
          </w:tcPr>
          <w:p w14:paraId="44E428DD" w14:textId="41E01694" w:rsidR="00FC657E" w:rsidRDefault="00FC657E" w:rsidP="00FC657E">
            <w:r>
              <w:t>CSI-RS</w:t>
            </w:r>
            <w:r w:rsidR="0026439E">
              <w:t>, CD SSBs</w:t>
            </w:r>
          </w:p>
        </w:tc>
      </w:tr>
      <w:tr w:rsidR="00FC657E" w14:paraId="45634A96" w14:textId="77777777" w:rsidTr="00FC657E">
        <w:trPr>
          <w:jc w:val="center"/>
        </w:trPr>
        <w:tc>
          <w:tcPr>
            <w:tcW w:w="2740" w:type="dxa"/>
          </w:tcPr>
          <w:p w14:paraId="2BCD797E" w14:textId="77777777" w:rsidR="00FC657E" w:rsidRPr="00ED450C" w:rsidRDefault="00FC657E" w:rsidP="00FC657E">
            <w:pPr>
              <w:rPr>
                <w:b/>
              </w:rPr>
            </w:pPr>
            <w:r w:rsidRPr="00ED450C">
              <w:rPr>
                <w:b/>
              </w:rPr>
              <w:t>BH measurements</w:t>
            </w:r>
          </w:p>
        </w:tc>
        <w:tc>
          <w:tcPr>
            <w:tcW w:w="2038" w:type="dxa"/>
          </w:tcPr>
          <w:p w14:paraId="04BA99D7" w14:textId="77777777" w:rsidR="00FC657E" w:rsidRDefault="00FC657E" w:rsidP="00FC657E">
            <w:r>
              <w:t>On-demand CSI-RS</w:t>
            </w:r>
          </w:p>
        </w:tc>
        <w:tc>
          <w:tcPr>
            <w:tcW w:w="2625" w:type="dxa"/>
          </w:tcPr>
          <w:p w14:paraId="05AC7DD0" w14:textId="77777777" w:rsidR="00FC657E" w:rsidRDefault="00FC657E" w:rsidP="00FC657E">
            <w:r>
              <w:t>CD SSBs, off-raster SSBs</w:t>
            </w:r>
          </w:p>
        </w:tc>
      </w:tr>
    </w:tbl>
    <w:p w14:paraId="62084013" w14:textId="43397D4D" w:rsidR="009D3895" w:rsidRDefault="009D3895" w:rsidP="00FC657E"/>
    <w:p w14:paraId="28D9A6BB" w14:textId="543D2067" w:rsidR="00564661" w:rsidRPr="00E548CB" w:rsidRDefault="00B6480D" w:rsidP="00312B4B">
      <w:pPr>
        <w:pStyle w:val="Heading1"/>
      </w:pPr>
      <w:r>
        <w:t>S</w:t>
      </w:r>
      <w:r w:rsidR="00564661" w:rsidRPr="00E548CB">
        <w:t>ynchronization</w:t>
      </w:r>
    </w:p>
    <w:p w14:paraId="40DE1D37" w14:textId="09E7E8EB" w:rsidR="00564661" w:rsidRPr="00053263" w:rsidRDefault="00D66143" w:rsidP="00312B4B">
      <w:pPr>
        <w:pStyle w:val="Heading2"/>
        <w:spacing w:after="240"/>
        <w:rPr>
          <w:sz w:val="28"/>
        </w:rPr>
      </w:pPr>
      <w:r>
        <w:rPr>
          <w:sz w:val="28"/>
        </w:rPr>
        <w:t xml:space="preserve"> </w:t>
      </w:r>
      <w:r w:rsidR="00341F31" w:rsidRPr="00053263">
        <w:rPr>
          <w:sz w:val="28"/>
        </w:rPr>
        <w:t>OTA synchronization</w:t>
      </w:r>
    </w:p>
    <w:p w14:paraId="701189CA" w14:textId="50CD8104" w:rsidR="009E20CB" w:rsidRPr="00312B4B" w:rsidRDefault="009E20CB" w:rsidP="009E20CB">
      <w:pPr>
        <w:rPr>
          <w:rFonts w:eastAsia="Arial"/>
        </w:rPr>
      </w:pPr>
      <w:r w:rsidRPr="00312B4B">
        <w:rPr>
          <w:rFonts w:eastAsia="Arial"/>
        </w:rPr>
        <w:t xml:space="preserve">TR 38.874 </w:t>
      </w:r>
      <w:r>
        <w:rPr>
          <w:rFonts w:eastAsia="Arial"/>
        </w:rPr>
        <w:t xml:space="preserve">(section 7.4) </w:t>
      </w:r>
      <w:r w:rsidRPr="00312B4B">
        <w:rPr>
          <w:rFonts w:eastAsia="Arial"/>
        </w:rPr>
        <w:t>suggests an OTA synchronization technique should be studied and may be adopted in IAB network:</w:t>
      </w:r>
    </w:p>
    <w:tbl>
      <w:tblPr>
        <w:tblStyle w:val="TableGrid"/>
        <w:tblW w:w="0" w:type="auto"/>
        <w:tblLook w:val="04A0" w:firstRow="1" w:lastRow="0" w:firstColumn="1" w:lastColumn="0" w:noHBand="0" w:noVBand="1"/>
      </w:tblPr>
      <w:tblGrid>
        <w:gridCol w:w="9631"/>
      </w:tblGrid>
      <w:tr w:rsidR="009E20CB" w:rsidRPr="009E20CB" w14:paraId="2CD0DDF3" w14:textId="77777777" w:rsidTr="00EC77DA">
        <w:tc>
          <w:tcPr>
            <w:tcW w:w="9631" w:type="dxa"/>
          </w:tcPr>
          <w:p w14:paraId="0D450B58" w14:textId="77777777" w:rsidR="009E20CB" w:rsidRPr="00312B4B" w:rsidRDefault="009E20CB" w:rsidP="00EC77DA">
            <w:pPr>
              <w:spacing w:before="60" w:after="120"/>
              <w:jc w:val="both"/>
            </w:pPr>
            <w:r w:rsidRPr="00312B4B">
              <w:t xml:space="preserve">The feasibility of over-the-air (OTA) synchronization and the impact of timing misalignment on IAB performance (e.g. the number of supportable hops) should be studied. </w:t>
            </w:r>
          </w:p>
        </w:tc>
      </w:tr>
    </w:tbl>
    <w:p w14:paraId="63DF88D8" w14:textId="77777777" w:rsidR="009E20CB" w:rsidRPr="009E20CB" w:rsidRDefault="009E20CB" w:rsidP="009E20CB">
      <w:pPr>
        <w:rPr>
          <w:rFonts w:eastAsia="Arial"/>
        </w:rPr>
      </w:pPr>
    </w:p>
    <w:p w14:paraId="1191B0F2" w14:textId="5EE2A274" w:rsidR="009E20CB" w:rsidRPr="00312B4B" w:rsidRDefault="009E20CB" w:rsidP="009E20CB">
      <w:pPr>
        <w:rPr>
          <w:rFonts w:eastAsia="Arial"/>
        </w:rPr>
      </w:pPr>
      <w:r w:rsidRPr="009E20CB">
        <w:rPr>
          <w:rFonts w:eastAsia="Arial"/>
        </w:rPr>
        <w:t>In</w:t>
      </w:r>
      <w:r>
        <w:rPr>
          <w:rFonts w:eastAsia="Arial"/>
        </w:rPr>
        <w:t xml:space="preserve"> [</w:t>
      </w:r>
      <w:r w:rsidR="001375A2">
        <w:rPr>
          <w:rFonts w:eastAsia="Arial"/>
        </w:rPr>
        <w:t>2</w:t>
      </w:r>
      <w:r>
        <w:rPr>
          <w:rFonts w:eastAsia="Arial"/>
        </w:rPr>
        <w:t>]</w:t>
      </w:r>
      <w:r w:rsidRPr="00312B4B">
        <w:rPr>
          <w:rFonts w:eastAsia="Arial"/>
        </w:rPr>
        <w:t>, we analyze</w:t>
      </w:r>
      <w:r>
        <w:rPr>
          <w:rFonts w:eastAsia="Arial"/>
        </w:rPr>
        <w:t>d</w:t>
      </w:r>
      <w:r w:rsidRPr="00312B4B">
        <w:rPr>
          <w:rFonts w:eastAsia="Arial"/>
        </w:rPr>
        <w:t xml:space="preserve"> a TA-based OTA synchronization technique and demonstrate</w:t>
      </w:r>
      <w:r>
        <w:rPr>
          <w:rFonts w:eastAsia="Arial"/>
        </w:rPr>
        <w:t>d</w:t>
      </w:r>
      <w:r w:rsidRPr="009E20CB">
        <w:rPr>
          <w:rFonts w:eastAsia="Arial"/>
        </w:rPr>
        <w:t xml:space="preserve"> its feasibility</w:t>
      </w:r>
      <w:r>
        <w:rPr>
          <w:rFonts w:eastAsia="Arial"/>
        </w:rPr>
        <w:t xml:space="preserve"> – the summary of which is provided in th</w:t>
      </w:r>
      <w:r w:rsidR="00AA5D70">
        <w:rPr>
          <w:rFonts w:eastAsia="Arial"/>
        </w:rPr>
        <w:t>is</w:t>
      </w:r>
      <w:r>
        <w:rPr>
          <w:rFonts w:eastAsia="Arial"/>
        </w:rPr>
        <w:t xml:space="preserve"> section. </w:t>
      </w:r>
      <w:r w:rsidRPr="00312B4B">
        <w:rPr>
          <w:rFonts w:eastAsia="Arial"/>
        </w:rPr>
        <w:t xml:space="preserve">We propose the TR to capture the result of such an analysis for the completion of IAB </w:t>
      </w:r>
      <w:r w:rsidR="00D66143">
        <w:rPr>
          <w:rFonts w:eastAsia="Arial"/>
        </w:rPr>
        <w:t>Study Item (SI)</w:t>
      </w:r>
      <w:r w:rsidRPr="00312B4B">
        <w:rPr>
          <w:rFonts w:eastAsia="Arial"/>
        </w:rPr>
        <w:t xml:space="preserve">. </w:t>
      </w:r>
    </w:p>
    <w:p w14:paraId="1CC16E60" w14:textId="25BA5525" w:rsidR="006832CC" w:rsidRDefault="006832CC" w:rsidP="006832CC">
      <w:pPr>
        <w:rPr>
          <w:rFonts w:eastAsia="Arial"/>
        </w:rPr>
      </w:pPr>
      <w:r>
        <w:rPr>
          <w:rFonts w:eastAsia="Arial"/>
        </w:rPr>
        <w:t xml:space="preserve">Following an OTA synchronization technique, the timing error gets accumulated over multiple hops. This may lead to a network that is not tightly synchronized. Let </w:t>
      </w:r>
      <w:r w:rsidRPr="00EF4BDD">
        <w:rPr>
          <w:rFonts w:ascii="Symbol" w:eastAsia="Arial" w:hAnsi="Symbol"/>
        </w:rPr>
        <w:t></w:t>
      </w:r>
      <w:r>
        <w:rPr>
          <w:rFonts w:eastAsia="Arial"/>
        </w:rPr>
        <w:t xml:space="preserve"> represent the OTA synchronization error over a single link. One can observe the </w:t>
      </w:r>
      <w:r w:rsidR="009616F0">
        <w:rPr>
          <w:rFonts w:eastAsia="Arial"/>
        </w:rPr>
        <w:t>cross-cell</w:t>
      </w:r>
      <w:r>
        <w:rPr>
          <w:rFonts w:eastAsia="Arial"/>
        </w:rPr>
        <w:t xml:space="preserve"> timing error in an </w:t>
      </w:r>
      <m:oMath>
        <m:sSub>
          <m:sSubPr>
            <m:ctrlPr>
              <w:rPr>
                <w:rFonts w:ascii="Cambria Math" w:eastAsia="Arial" w:hAnsi="Cambria Math"/>
                <w:i/>
              </w:rPr>
            </m:ctrlPr>
          </m:sSubPr>
          <m:e>
            <m:r>
              <w:rPr>
                <w:rFonts w:ascii="Cambria Math" w:eastAsia="Arial" w:hAnsi="Cambria Math"/>
              </w:rPr>
              <m:t>N</m:t>
            </m:r>
          </m:e>
          <m:sub>
            <m:r>
              <w:rPr>
                <w:rFonts w:ascii="Cambria Math" w:eastAsia="Arial" w:hAnsi="Cambria Math"/>
              </w:rPr>
              <m:t>hop</m:t>
            </m:r>
          </m:sub>
        </m:sSub>
      </m:oMath>
      <w:r>
        <w:rPr>
          <w:rFonts w:eastAsia="Arial"/>
        </w:rPr>
        <w:t xml:space="preserve">-hop IAB network could be as large as </w:t>
      </w:r>
    </w:p>
    <w:p w14:paraId="43B41963" w14:textId="77777777" w:rsidR="006832CC" w:rsidRPr="00FB1D14" w:rsidRDefault="006F3728" w:rsidP="006832CC">
      <w:pPr>
        <w:rPr>
          <w:rFonts w:eastAsia="Arial"/>
          <w:color w:val="C00000"/>
          <w:sz w:val="24"/>
        </w:rPr>
      </w:pPr>
      <m:oMathPara>
        <m:oMath>
          <m:func>
            <m:funcPr>
              <m:ctrlPr>
                <w:rPr>
                  <w:rFonts w:ascii="Cambria Math" w:eastAsia="Arial" w:hAnsi="Cambria Math"/>
                  <w:i/>
                  <w:color w:val="C00000"/>
                  <w:sz w:val="24"/>
                </w:rPr>
              </m:ctrlPr>
            </m:funcPr>
            <m:fName>
              <m:r>
                <m:rPr>
                  <m:sty m:val="p"/>
                </m:rPr>
                <w:rPr>
                  <w:rFonts w:ascii="Cambria Math" w:eastAsia="Arial" w:hAnsi="Cambria Math"/>
                  <w:color w:val="C00000"/>
                  <w:sz w:val="24"/>
                </w:rPr>
                <m:t>max</m:t>
              </m:r>
            </m:fName>
            <m:e>
              <m:r>
                <w:rPr>
                  <w:rFonts w:ascii="Cambria Math" w:eastAsia="Arial" w:hAnsi="Cambria Math"/>
                  <w:color w:val="C00000"/>
                  <w:sz w:val="24"/>
                </w:rPr>
                <m:t>cross cell timing error</m:t>
              </m:r>
            </m:e>
          </m:func>
          <m:r>
            <w:rPr>
              <w:rFonts w:ascii="Cambria Math" w:eastAsia="Arial" w:hAnsi="Cambria Math"/>
              <w:color w:val="C00000"/>
              <w:sz w:val="24"/>
            </w:rPr>
            <m:t>= ±2</m:t>
          </m:r>
          <m:sSub>
            <m:sSubPr>
              <m:ctrlPr>
                <w:rPr>
                  <w:rFonts w:ascii="Cambria Math" w:eastAsia="Arial" w:hAnsi="Cambria Math"/>
                  <w:i/>
                  <w:color w:val="C00000"/>
                  <w:sz w:val="24"/>
                </w:rPr>
              </m:ctrlPr>
            </m:sSubPr>
            <m:e>
              <m:r>
                <w:rPr>
                  <w:rFonts w:ascii="Cambria Math" w:eastAsia="Arial" w:hAnsi="Cambria Math"/>
                  <w:color w:val="C00000"/>
                  <w:sz w:val="24"/>
                </w:rPr>
                <m:t>N</m:t>
              </m:r>
            </m:e>
            <m:sub>
              <m:r>
                <w:rPr>
                  <w:rFonts w:ascii="Cambria Math" w:eastAsia="Arial" w:hAnsi="Cambria Math"/>
                  <w:color w:val="C00000"/>
                  <w:sz w:val="24"/>
                </w:rPr>
                <m:t>hop</m:t>
              </m:r>
            </m:sub>
          </m:sSub>
          <m:r>
            <w:rPr>
              <w:rFonts w:ascii="Cambria Math" w:eastAsia="Arial" w:hAnsi="Cambria Math"/>
              <w:color w:val="C00000"/>
              <w:sz w:val="24"/>
            </w:rPr>
            <m:t>ϵ.</m:t>
          </m:r>
        </m:oMath>
      </m:oMathPara>
    </w:p>
    <w:p w14:paraId="5852AA83" w14:textId="3A52C049" w:rsidR="006832CC" w:rsidRPr="00C86181" w:rsidRDefault="006832CC" w:rsidP="006832CC">
      <w:pPr>
        <w:rPr>
          <w:rFonts w:eastAsia="Arial"/>
        </w:rPr>
      </w:pPr>
      <w:r>
        <w:rPr>
          <w:rFonts w:eastAsia="Arial"/>
        </w:rPr>
        <w:t>The maximum value of</w:t>
      </w:r>
      <w:r w:rsidRPr="00D66143">
        <w:rPr>
          <w:rFonts w:eastAsia="Arial"/>
        </w:rPr>
        <w:t xml:space="preserve"> </w:t>
      </w:r>
      <m:oMath>
        <m:r>
          <w:rPr>
            <w:rFonts w:ascii="Cambria Math" w:eastAsia="Arial" w:hAnsi="Cambria Math"/>
            <w:sz w:val="24"/>
          </w:rPr>
          <m:t>ϵ</m:t>
        </m:r>
      </m:oMath>
      <w:r w:rsidRPr="00D66143">
        <w:rPr>
          <w:rFonts w:eastAsia="Arial"/>
        </w:rPr>
        <w:t xml:space="preserve"> </w:t>
      </w:r>
      <w:r>
        <w:rPr>
          <w:rFonts w:eastAsia="Arial"/>
        </w:rPr>
        <w:t xml:space="preserve">can be calculated by </w:t>
      </w:r>
      <w:r w:rsidR="00017A9E">
        <w:rPr>
          <w:rFonts w:eastAsia="Arial"/>
        </w:rPr>
        <w:t>considering</w:t>
      </w:r>
      <w:r>
        <w:rPr>
          <w:rFonts w:eastAsia="Arial"/>
        </w:rPr>
        <w:t xml:space="preserve"> various error components. </w:t>
      </w:r>
      <w:r w:rsidRPr="00C86181">
        <w:rPr>
          <w:rFonts w:eastAsia="Arial"/>
        </w:rPr>
        <w:fldChar w:fldCharType="begin"/>
      </w:r>
      <w:r w:rsidRPr="00C86181">
        <w:rPr>
          <w:rFonts w:eastAsia="Arial"/>
        </w:rPr>
        <w:instrText xml:space="preserve"> REF _Ref513649567 \h </w:instrText>
      </w:r>
      <w:r>
        <w:rPr>
          <w:rFonts w:eastAsia="Arial"/>
        </w:rPr>
        <w:instrText xml:space="preserve"> \* MERGEFORMAT </w:instrText>
      </w:r>
      <w:r w:rsidRPr="00C86181">
        <w:rPr>
          <w:rFonts w:eastAsia="Arial"/>
        </w:rPr>
      </w:r>
      <w:r w:rsidRPr="00C86181">
        <w:rPr>
          <w:rFonts w:eastAsia="Arial"/>
        </w:rPr>
        <w:fldChar w:fldCharType="separate"/>
      </w:r>
      <w:r w:rsidR="00E050EE" w:rsidRPr="00635739">
        <w:t xml:space="preserve">Table </w:t>
      </w:r>
      <w:r w:rsidR="00E050EE">
        <w:rPr>
          <w:noProof/>
        </w:rPr>
        <w:t>6</w:t>
      </w:r>
      <w:r w:rsidRPr="00C86181">
        <w:rPr>
          <w:rFonts w:eastAsia="Arial"/>
        </w:rPr>
        <w:fldChar w:fldCharType="end"/>
      </w:r>
      <w:r>
        <w:rPr>
          <w:rFonts w:eastAsia="Arial"/>
        </w:rPr>
        <w:t xml:space="preserve"> provides the result for different SCS values, along with the maximum supportable number of hops, assuming the 3-usec cell phase accuracy requirement (38.133).</w:t>
      </w:r>
    </w:p>
    <w:p w14:paraId="76644CB6" w14:textId="77777777" w:rsidR="006832CC" w:rsidRDefault="006832CC" w:rsidP="006832CC">
      <w:pPr>
        <w:rPr>
          <w:rFonts w:eastAsia="Arial"/>
        </w:rPr>
      </w:pPr>
    </w:p>
    <w:p w14:paraId="00DFDC41" w14:textId="7035F8DF" w:rsidR="006832CC" w:rsidRDefault="006832CC" w:rsidP="006832CC">
      <w:pPr>
        <w:pStyle w:val="Caption"/>
        <w:keepNext/>
        <w:jc w:val="center"/>
      </w:pPr>
      <w:bookmarkStart w:id="13" w:name="_Ref513649567"/>
      <w:r w:rsidRPr="00635739">
        <w:t xml:space="preserve">Table </w:t>
      </w:r>
      <w:r w:rsidR="006F3728">
        <w:rPr>
          <w:noProof/>
        </w:rPr>
        <w:fldChar w:fldCharType="begin"/>
      </w:r>
      <w:r w:rsidR="006F3728">
        <w:rPr>
          <w:noProof/>
        </w:rPr>
        <w:instrText xml:space="preserve"> SEQ Table \* ARABIC </w:instrText>
      </w:r>
      <w:r w:rsidR="006F3728">
        <w:rPr>
          <w:noProof/>
        </w:rPr>
        <w:fldChar w:fldCharType="separate"/>
      </w:r>
      <w:r w:rsidR="00E050EE">
        <w:rPr>
          <w:noProof/>
        </w:rPr>
        <w:t>6</w:t>
      </w:r>
      <w:r w:rsidR="006F3728">
        <w:rPr>
          <w:noProof/>
        </w:rPr>
        <w:fldChar w:fldCharType="end"/>
      </w:r>
      <w:bookmarkEnd w:id="13"/>
      <w:r w:rsidRPr="00635739">
        <w:t>: maximum time deviation per hop, and maximum number of allowable hops</w:t>
      </w:r>
    </w:p>
    <w:p w14:paraId="27116017" w14:textId="77777777" w:rsidR="006832CC" w:rsidRDefault="006832CC" w:rsidP="006832CC">
      <w:pPr>
        <w:jc w:val="center"/>
        <w:rPr>
          <w:rFonts w:eastAsia="Arial"/>
        </w:rPr>
      </w:pPr>
      <w:r w:rsidRPr="00771AEA">
        <w:rPr>
          <w:noProof/>
        </w:rPr>
        <w:drawing>
          <wp:inline distT="0" distB="0" distL="0" distR="0" wp14:anchorId="172B2948" wp14:editId="6DDB73DD">
            <wp:extent cx="6122035" cy="159830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1598307"/>
                    </a:xfrm>
                    <a:prstGeom prst="rect">
                      <a:avLst/>
                    </a:prstGeom>
                    <a:noFill/>
                    <a:ln>
                      <a:noFill/>
                    </a:ln>
                  </pic:spPr>
                </pic:pic>
              </a:graphicData>
            </a:graphic>
          </wp:inline>
        </w:drawing>
      </w:r>
    </w:p>
    <w:p w14:paraId="60A007DB" w14:textId="77777777" w:rsidR="006832CC" w:rsidRDefault="006832CC" w:rsidP="006832CC">
      <w:pPr>
        <w:rPr>
          <w:rFonts w:eastAsia="Arial"/>
        </w:rPr>
      </w:pPr>
    </w:p>
    <w:p w14:paraId="765A360F" w14:textId="4E69E71E" w:rsidR="006832CC" w:rsidRDefault="006832CC" w:rsidP="006832CC">
      <w:pPr>
        <w:rPr>
          <w:rFonts w:eastAsia="Arial"/>
          <w:b/>
        </w:rPr>
      </w:pPr>
      <w:r w:rsidRPr="00D9056D">
        <w:rPr>
          <w:rFonts w:eastAsia="Arial"/>
          <w:b/>
        </w:rPr>
        <w:lastRenderedPageBreak/>
        <w:t xml:space="preserve">Observation </w:t>
      </w:r>
      <w:r>
        <w:rPr>
          <w:rFonts w:eastAsia="Arial"/>
          <w:b/>
        </w:rPr>
        <w:t>4.1</w:t>
      </w:r>
      <w:r w:rsidRPr="00D9056D">
        <w:rPr>
          <w:rFonts w:eastAsia="Arial"/>
          <w:b/>
        </w:rPr>
        <w:t xml:space="preserve">: </w:t>
      </w:r>
      <w:r>
        <w:rPr>
          <w:rFonts w:eastAsia="Arial"/>
          <w:b/>
        </w:rPr>
        <w:t xml:space="preserve">TA-based </w:t>
      </w:r>
      <w:r w:rsidRPr="00D9056D">
        <w:rPr>
          <w:rFonts w:eastAsia="Arial"/>
          <w:b/>
        </w:rPr>
        <w:t xml:space="preserve">OTA synchronization </w:t>
      </w:r>
      <w:r>
        <w:rPr>
          <w:rFonts w:eastAsia="Arial"/>
          <w:b/>
        </w:rPr>
        <w:t xml:space="preserve">can support multi-hop IAB network (up to 5 hops) for </w:t>
      </w:r>
      <w:proofErr w:type="spellStart"/>
      <w:r>
        <w:rPr>
          <w:rFonts w:eastAsia="Arial"/>
          <w:b/>
        </w:rPr>
        <w:t>mmw</w:t>
      </w:r>
      <w:proofErr w:type="spellEnd"/>
      <w:r>
        <w:rPr>
          <w:rFonts w:eastAsia="Arial"/>
          <w:b/>
        </w:rPr>
        <w:t xml:space="preserve"> bands. TA-based OTA synchronization may not be sufficient to support multiple hops in lower bands.</w:t>
      </w:r>
    </w:p>
    <w:p w14:paraId="7DD8C958" w14:textId="201D19F8" w:rsidR="006832CC" w:rsidRPr="00D9708E" w:rsidRDefault="006832CC" w:rsidP="006832CC">
      <w:pPr>
        <w:rPr>
          <w:rFonts w:eastAsia="Arial"/>
          <w:b/>
        </w:rPr>
      </w:pPr>
      <w:r>
        <w:rPr>
          <w:rFonts w:eastAsia="Arial"/>
          <w:b/>
        </w:rPr>
        <w:t>Proposal 4.1</w:t>
      </w:r>
      <w:r w:rsidRPr="00D9056D">
        <w:rPr>
          <w:rFonts w:eastAsia="Arial"/>
          <w:b/>
        </w:rPr>
        <w:t>:</w:t>
      </w:r>
      <w:r>
        <w:rPr>
          <w:rFonts w:eastAsia="Arial"/>
          <w:b/>
        </w:rPr>
        <w:t xml:space="preserve"> </w:t>
      </w:r>
      <w:r w:rsidRPr="00D9708E">
        <w:rPr>
          <w:rFonts w:eastAsia="Arial"/>
          <w:b/>
        </w:rPr>
        <w:t xml:space="preserve">To tighten the OTA timing error, especially in lower bands, </w:t>
      </w:r>
      <w:r>
        <w:rPr>
          <w:rFonts w:eastAsia="Arial"/>
          <w:b/>
        </w:rPr>
        <w:t>RAN1</w:t>
      </w:r>
      <w:r w:rsidRPr="00D9708E">
        <w:rPr>
          <w:rFonts w:eastAsia="Arial"/>
          <w:b/>
        </w:rPr>
        <w:t xml:space="preserve"> </w:t>
      </w:r>
      <w:r>
        <w:rPr>
          <w:rFonts w:eastAsia="Arial"/>
          <w:b/>
        </w:rPr>
        <w:t xml:space="preserve">should </w:t>
      </w:r>
      <w:r w:rsidRPr="00D9708E">
        <w:rPr>
          <w:rFonts w:eastAsia="Arial"/>
          <w:b/>
        </w:rPr>
        <w:t>consider the following solutions:</w:t>
      </w:r>
    </w:p>
    <w:p w14:paraId="00B12464" w14:textId="77777777" w:rsidR="006832CC" w:rsidRPr="00D9708E" w:rsidRDefault="006832CC" w:rsidP="006832CC">
      <w:pPr>
        <w:pStyle w:val="ListParagraph"/>
        <w:numPr>
          <w:ilvl w:val="0"/>
          <w:numId w:val="6"/>
        </w:numPr>
        <w:ind w:firstLineChars="0"/>
        <w:rPr>
          <w:rFonts w:eastAsia="Arial"/>
          <w:b/>
        </w:rPr>
      </w:pPr>
      <w:r w:rsidRPr="00D9708E">
        <w:rPr>
          <w:rFonts w:eastAsia="Arial"/>
          <w:b/>
        </w:rPr>
        <w:t>Using wider</w:t>
      </w:r>
      <w:r>
        <w:rPr>
          <w:rFonts w:eastAsia="Arial"/>
          <w:b/>
        </w:rPr>
        <w:t xml:space="preserve"> </w:t>
      </w:r>
      <w:r w:rsidRPr="00D9708E">
        <w:rPr>
          <w:rFonts w:eastAsia="Arial"/>
          <w:b/>
        </w:rPr>
        <w:t xml:space="preserve">band signals </w:t>
      </w:r>
      <w:r>
        <w:rPr>
          <w:rFonts w:eastAsia="Arial"/>
          <w:b/>
        </w:rPr>
        <w:t xml:space="preserve">(UL and DL) to achieve more accurate </w:t>
      </w:r>
      <w:r w:rsidRPr="00D9708E">
        <w:rPr>
          <w:rFonts w:eastAsia="Arial"/>
          <w:b/>
        </w:rPr>
        <w:t xml:space="preserve">timing estimation </w:t>
      </w:r>
    </w:p>
    <w:p w14:paraId="26CDC7B4" w14:textId="77777777" w:rsidR="006832CC" w:rsidRDefault="006832CC" w:rsidP="006832CC">
      <w:pPr>
        <w:pStyle w:val="ListParagraph"/>
        <w:numPr>
          <w:ilvl w:val="0"/>
          <w:numId w:val="6"/>
        </w:numPr>
        <w:ind w:firstLineChars="0"/>
        <w:rPr>
          <w:rFonts w:eastAsia="Arial"/>
          <w:b/>
        </w:rPr>
      </w:pPr>
      <w:r w:rsidRPr="00D9708E">
        <w:rPr>
          <w:rFonts w:eastAsia="Arial"/>
          <w:b/>
        </w:rPr>
        <w:t xml:space="preserve">Enhancing TA, e.g. by </w:t>
      </w:r>
      <w:r>
        <w:rPr>
          <w:rFonts w:eastAsia="Arial"/>
          <w:b/>
        </w:rPr>
        <w:t xml:space="preserve">reducing </w:t>
      </w:r>
      <w:r w:rsidRPr="00D9708E">
        <w:rPr>
          <w:rFonts w:eastAsia="Arial"/>
          <w:b/>
        </w:rPr>
        <w:t xml:space="preserve">its granularity and </w:t>
      </w:r>
      <w:r>
        <w:rPr>
          <w:rFonts w:eastAsia="Arial"/>
          <w:b/>
        </w:rPr>
        <w:t xml:space="preserve">increasing the </w:t>
      </w:r>
      <w:r w:rsidRPr="00D9708E">
        <w:rPr>
          <w:rFonts w:eastAsia="Arial"/>
          <w:b/>
        </w:rPr>
        <w:t>number of bits</w:t>
      </w:r>
    </w:p>
    <w:p w14:paraId="4256DAA3" w14:textId="41E90823" w:rsidR="006832CC" w:rsidRDefault="006832CC" w:rsidP="006832CC">
      <w:pPr>
        <w:rPr>
          <w:rFonts w:eastAsia="Arial"/>
          <w:b/>
        </w:rPr>
      </w:pPr>
      <w:r>
        <w:rPr>
          <w:rFonts w:eastAsia="Arial"/>
          <w:b/>
        </w:rPr>
        <w:t xml:space="preserve">Proposal 4.2: IAB TR should mention TA-based OTA synchronization may support up to [5] hops in MMW bands. </w:t>
      </w:r>
    </w:p>
    <w:p w14:paraId="190E7935" w14:textId="63C23225" w:rsidR="006832CC" w:rsidRDefault="006832CC" w:rsidP="006832CC">
      <w:pPr>
        <w:rPr>
          <w:rFonts w:eastAsia="Arial"/>
          <w:b/>
        </w:rPr>
      </w:pPr>
      <w:r>
        <w:rPr>
          <w:rFonts w:eastAsia="Arial"/>
          <w:b/>
        </w:rPr>
        <w:t>Proposal</w:t>
      </w:r>
      <w:r w:rsidRPr="00D9056D">
        <w:rPr>
          <w:rFonts w:eastAsia="Arial"/>
          <w:b/>
        </w:rPr>
        <w:t xml:space="preserve"> </w:t>
      </w:r>
      <w:r>
        <w:rPr>
          <w:rFonts w:eastAsia="Arial"/>
          <w:b/>
        </w:rPr>
        <w:t>4.3</w:t>
      </w:r>
      <w:r w:rsidRPr="00D9056D">
        <w:rPr>
          <w:rFonts w:eastAsia="Arial"/>
          <w:b/>
        </w:rPr>
        <w:t>:</w:t>
      </w:r>
      <w:r>
        <w:rPr>
          <w:rFonts w:eastAsia="Arial"/>
          <w:b/>
        </w:rPr>
        <w:t xml:space="preserve"> IAB network can use other synchronization techniques, such as GNSS and PTP, along with OTA techniques to achieve tight network synchronization. </w:t>
      </w:r>
    </w:p>
    <w:p w14:paraId="22744E36" w14:textId="46552BF0" w:rsidR="004067B5" w:rsidRPr="00025ECB" w:rsidRDefault="004067B5" w:rsidP="00312B4B"/>
    <w:p w14:paraId="1F935196" w14:textId="15200EE3" w:rsidR="00341F31" w:rsidRPr="00D66143" w:rsidRDefault="00D66143" w:rsidP="00312B4B">
      <w:pPr>
        <w:pStyle w:val="Heading2"/>
        <w:spacing w:after="240"/>
        <w:rPr>
          <w:sz w:val="28"/>
        </w:rPr>
      </w:pPr>
      <w:r>
        <w:rPr>
          <w:sz w:val="28"/>
        </w:rPr>
        <w:t xml:space="preserve"> </w:t>
      </w:r>
      <w:r w:rsidR="00341F31" w:rsidRPr="00D66143">
        <w:rPr>
          <w:sz w:val="28"/>
        </w:rPr>
        <w:t>Multi-hop timing alignment</w:t>
      </w:r>
    </w:p>
    <w:p w14:paraId="4B2D558B" w14:textId="039C59EB" w:rsidR="006832CC" w:rsidRPr="00312B4B" w:rsidRDefault="006832CC" w:rsidP="006832CC">
      <w:pPr>
        <w:rPr>
          <w:rFonts w:eastAsia="Arial"/>
        </w:rPr>
      </w:pPr>
      <w:r w:rsidRPr="00312B4B">
        <w:rPr>
          <w:rFonts w:eastAsia="Arial"/>
        </w:rPr>
        <w:t>RAN1 identified a few cases</w:t>
      </w:r>
      <w:r>
        <w:rPr>
          <w:rFonts w:eastAsia="Arial"/>
        </w:rPr>
        <w:t xml:space="preserve"> for multi-hop timing </w:t>
      </w:r>
      <w:r w:rsidR="00017A9E">
        <w:rPr>
          <w:rFonts w:eastAsia="Arial"/>
        </w:rPr>
        <w:t>alignment</w:t>
      </w:r>
      <w:r w:rsidRPr="00312B4B">
        <w:rPr>
          <w:rFonts w:eastAsia="Arial"/>
        </w:rPr>
        <w:t xml:space="preserve">, among which the following were </w:t>
      </w:r>
      <w:r w:rsidRPr="004D55D1">
        <w:rPr>
          <w:rFonts w:eastAsia="Arial"/>
        </w:rPr>
        <w:t>agreed</w:t>
      </w:r>
      <w:r>
        <w:rPr>
          <w:rFonts w:eastAsia="Arial"/>
        </w:rPr>
        <w:t>:</w:t>
      </w:r>
    </w:p>
    <w:p w14:paraId="2537A42B" w14:textId="77777777" w:rsidR="006832CC" w:rsidRPr="00312B4B" w:rsidRDefault="006832CC" w:rsidP="006832CC">
      <w:pPr>
        <w:numPr>
          <w:ilvl w:val="0"/>
          <w:numId w:val="10"/>
        </w:numPr>
        <w:spacing w:before="60" w:after="120" w:line="240" w:lineRule="auto"/>
        <w:jc w:val="both"/>
        <w:rPr>
          <w:rFonts w:ascii="Calibri" w:hAnsi="Calibri"/>
          <w:szCs w:val="20"/>
        </w:rPr>
      </w:pPr>
      <w:r w:rsidRPr="00312B4B">
        <w:rPr>
          <w:rFonts w:ascii="Calibri" w:hAnsi="Calibri"/>
          <w:szCs w:val="20"/>
        </w:rPr>
        <w:t>Case #1: DL transmission timing alignment across IAB nodes and donor nodes</w:t>
      </w:r>
    </w:p>
    <w:p w14:paraId="62A1C3F6" w14:textId="332B73DB" w:rsidR="006832CC" w:rsidRPr="00312B4B" w:rsidRDefault="006832CC" w:rsidP="006832CC">
      <w:pPr>
        <w:numPr>
          <w:ilvl w:val="0"/>
          <w:numId w:val="10"/>
        </w:numPr>
        <w:spacing w:before="60" w:after="120" w:line="240" w:lineRule="auto"/>
        <w:jc w:val="both"/>
        <w:rPr>
          <w:rFonts w:ascii="Calibri" w:hAnsi="Calibri"/>
          <w:szCs w:val="20"/>
        </w:rPr>
      </w:pPr>
      <w:r w:rsidRPr="00312B4B">
        <w:rPr>
          <w:rFonts w:ascii="Calibri" w:hAnsi="Calibri"/>
          <w:szCs w:val="20"/>
        </w:rPr>
        <w:t>Case</w:t>
      </w:r>
      <w:r w:rsidR="00D66143">
        <w:rPr>
          <w:rFonts w:ascii="Calibri" w:hAnsi="Calibri"/>
          <w:szCs w:val="20"/>
        </w:rPr>
        <w:t xml:space="preserve"> #6 (support of which is FFS): c</w:t>
      </w:r>
      <w:r w:rsidRPr="00312B4B">
        <w:rPr>
          <w:rFonts w:ascii="Calibri" w:hAnsi="Calibri"/>
          <w:szCs w:val="20"/>
        </w:rPr>
        <w:t xml:space="preserve">ase </w:t>
      </w:r>
      <w:r w:rsidR="00D66143">
        <w:rPr>
          <w:rFonts w:ascii="Calibri" w:hAnsi="Calibri"/>
          <w:szCs w:val="20"/>
        </w:rPr>
        <w:t>#</w:t>
      </w:r>
      <w:r w:rsidRPr="00312B4B">
        <w:rPr>
          <w:rFonts w:ascii="Calibri" w:hAnsi="Calibri"/>
          <w:szCs w:val="20"/>
        </w:rPr>
        <w:t>1 for DL transmission timing, and UL transmission timing</w:t>
      </w:r>
      <w:r w:rsidR="00D66143">
        <w:rPr>
          <w:rFonts w:ascii="Calibri" w:hAnsi="Calibri"/>
          <w:szCs w:val="20"/>
        </w:rPr>
        <w:t xml:space="preserve"> at an IAB-node is aligned with its DL transmission timing</w:t>
      </w:r>
    </w:p>
    <w:p w14:paraId="72E79300" w14:textId="77FF547B" w:rsidR="006832CC" w:rsidRPr="00312B4B" w:rsidRDefault="006832CC" w:rsidP="006832CC">
      <w:pPr>
        <w:numPr>
          <w:ilvl w:val="0"/>
          <w:numId w:val="10"/>
        </w:numPr>
        <w:spacing w:before="60" w:after="120" w:line="240" w:lineRule="auto"/>
        <w:jc w:val="both"/>
        <w:rPr>
          <w:rFonts w:ascii="Calibri" w:hAnsi="Calibri"/>
          <w:szCs w:val="20"/>
        </w:rPr>
      </w:pPr>
      <w:r w:rsidRPr="00312B4B">
        <w:rPr>
          <w:rFonts w:ascii="Calibri" w:hAnsi="Calibri"/>
          <w:szCs w:val="20"/>
        </w:rPr>
        <w:t xml:space="preserve">Case #7: Case </w:t>
      </w:r>
      <w:r w:rsidR="00D66143">
        <w:rPr>
          <w:rFonts w:ascii="Calibri" w:hAnsi="Calibri"/>
          <w:szCs w:val="20"/>
        </w:rPr>
        <w:t>#</w:t>
      </w:r>
      <w:r w:rsidRPr="00312B4B">
        <w:rPr>
          <w:rFonts w:ascii="Calibri" w:hAnsi="Calibri"/>
          <w:szCs w:val="20"/>
        </w:rPr>
        <w:t xml:space="preserve">1 for DL transmission timing, and </w:t>
      </w:r>
      <w:r w:rsidR="00D66143">
        <w:rPr>
          <w:rFonts w:ascii="Calibri" w:hAnsi="Calibri"/>
          <w:szCs w:val="20"/>
        </w:rPr>
        <w:t>UL reception timing at an IAB-node is aligned with its DL reception timing</w:t>
      </w:r>
    </w:p>
    <w:p w14:paraId="60EDBBF5" w14:textId="77777777" w:rsidR="006832CC" w:rsidRDefault="006832CC" w:rsidP="004067B5"/>
    <w:p w14:paraId="2686A3C0" w14:textId="6D36CF3D" w:rsidR="006832CC" w:rsidRDefault="006832CC" w:rsidP="00FC657E">
      <w:r>
        <w:t>In [</w:t>
      </w:r>
      <w:r w:rsidR="00312B4B">
        <w:t>2</w:t>
      </w:r>
      <w:r>
        <w:t xml:space="preserve">], we </w:t>
      </w:r>
      <w:r w:rsidR="00017A9E">
        <w:t>investigated</w:t>
      </w:r>
      <w:r>
        <w:t xml:space="preserve"> these various cases, and made the following </w:t>
      </w:r>
      <w:r w:rsidR="00017A9E">
        <w:t>observations</w:t>
      </w:r>
      <w:r>
        <w:t xml:space="preserve"> and proposals. </w:t>
      </w:r>
    </w:p>
    <w:p w14:paraId="41E50EB4" w14:textId="77777777" w:rsidR="004D55D1" w:rsidRDefault="004D55D1" w:rsidP="006832CC">
      <w:pPr>
        <w:rPr>
          <w:rFonts w:eastAsia="Arial"/>
          <w:b/>
        </w:rPr>
      </w:pPr>
    </w:p>
    <w:p w14:paraId="43E4F072" w14:textId="69B6A1FE" w:rsidR="004D55D1" w:rsidRDefault="006832CC" w:rsidP="006832CC">
      <w:pPr>
        <w:rPr>
          <w:rFonts w:eastAsia="Arial"/>
          <w:b/>
        </w:rPr>
      </w:pPr>
      <w:r w:rsidRPr="00312B4B">
        <w:rPr>
          <w:rFonts w:eastAsia="Arial"/>
          <w:b/>
        </w:rPr>
        <w:t xml:space="preserve">Observation </w:t>
      </w:r>
      <w:r w:rsidR="004D55D1">
        <w:rPr>
          <w:rFonts w:eastAsia="Arial"/>
          <w:b/>
        </w:rPr>
        <w:t>4.2</w:t>
      </w:r>
      <w:r w:rsidRPr="00312B4B">
        <w:rPr>
          <w:rFonts w:eastAsia="Arial"/>
          <w:b/>
        </w:rPr>
        <w:t xml:space="preserve">: </w:t>
      </w:r>
      <w:r w:rsidR="004D55D1">
        <w:rPr>
          <w:rFonts w:eastAsia="Arial"/>
          <w:b/>
        </w:rPr>
        <w:t xml:space="preserve">potential issues of </w:t>
      </w:r>
      <w:r w:rsidRPr="00312B4B">
        <w:rPr>
          <w:rFonts w:eastAsia="Arial"/>
          <w:b/>
        </w:rPr>
        <w:t>case #6</w:t>
      </w:r>
      <w:r w:rsidR="004D55D1">
        <w:rPr>
          <w:rFonts w:eastAsia="Arial"/>
          <w:b/>
        </w:rPr>
        <w:t xml:space="preserve">: </w:t>
      </w:r>
    </w:p>
    <w:p w14:paraId="639556ED" w14:textId="3D7E1B35" w:rsidR="006832CC" w:rsidRPr="00312B4B" w:rsidRDefault="006832CC" w:rsidP="00312B4B">
      <w:pPr>
        <w:pStyle w:val="ListParagraph"/>
        <w:numPr>
          <w:ilvl w:val="0"/>
          <w:numId w:val="6"/>
        </w:numPr>
        <w:ind w:firstLineChars="0"/>
        <w:rPr>
          <w:rFonts w:eastAsia="Arial"/>
          <w:b/>
        </w:rPr>
      </w:pPr>
      <w:r w:rsidRPr="00312B4B">
        <w:rPr>
          <w:rFonts w:eastAsia="Arial"/>
          <w:b/>
        </w:rPr>
        <w:t>the UL reception timings from multiple children at a parent IAB-node are not aligned. If the misalignment is not contained within the CP, it would cause a receiver performance issue if TDM of UL communication with the children is not done.</w:t>
      </w:r>
    </w:p>
    <w:p w14:paraId="49AA3A2C" w14:textId="2FE7B625" w:rsidR="006832CC" w:rsidRPr="00312B4B" w:rsidRDefault="004D55D1" w:rsidP="00312B4B">
      <w:pPr>
        <w:pStyle w:val="ListParagraph"/>
        <w:numPr>
          <w:ilvl w:val="0"/>
          <w:numId w:val="6"/>
        </w:numPr>
        <w:ind w:firstLineChars="0"/>
        <w:rPr>
          <w:rFonts w:eastAsia="Arial"/>
          <w:b/>
        </w:rPr>
      </w:pPr>
      <w:r>
        <w:rPr>
          <w:rFonts w:eastAsia="Arial"/>
          <w:b/>
        </w:rPr>
        <w:t xml:space="preserve">The </w:t>
      </w:r>
      <w:r w:rsidR="006832CC" w:rsidRPr="00312B4B">
        <w:rPr>
          <w:rFonts w:eastAsia="Arial"/>
          <w:b/>
        </w:rPr>
        <w:t>operation of a given node requires the parent node to perform some special handl</w:t>
      </w:r>
      <w:r w:rsidRPr="004D55D1">
        <w:rPr>
          <w:rFonts w:eastAsia="Arial"/>
          <w:b/>
        </w:rPr>
        <w:t>ing of the UL communication</w:t>
      </w:r>
      <w:r w:rsidR="006832CC" w:rsidRPr="00312B4B">
        <w:rPr>
          <w:rFonts w:eastAsia="Arial"/>
          <w:b/>
        </w:rPr>
        <w:t>, hence possibly causing some IAB nodes interoperability issues across different vendors.</w:t>
      </w:r>
    </w:p>
    <w:p w14:paraId="1756D060" w14:textId="1EA96853" w:rsidR="006832CC" w:rsidRPr="00312B4B" w:rsidRDefault="006832CC" w:rsidP="006832CC">
      <w:pPr>
        <w:rPr>
          <w:rFonts w:eastAsia="Arial"/>
          <w:b/>
        </w:rPr>
      </w:pPr>
      <w:r w:rsidRPr="00312B4B">
        <w:rPr>
          <w:rFonts w:eastAsia="Arial"/>
          <w:b/>
        </w:rPr>
        <w:t xml:space="preserve">Observation </w:t>
      </w:r>
      <w:r w:rsidR="004D55D1">
        <w:rPr>
          <w:rFonts w:eastAsia="Arial"/>
          <w:b/>
        </w:rPr>
        <w:t>4.3</w:t>
      </w:r>
      <w:r w:rsidRPr="00312B4B">
        <w:rPr>
          <w:rFonts w:eastAsia="Arial"/>
          <w:b/>
        </w:rPr>
        <w:t>: in case #7 and case #1, an IAB-node must be provided with an indication of (1) the estimated RTT to its parent IAB-node, and (2) the offset (if any) between the DL transmission timing and UL reception timing re</w:t>
      </w:r>
      <w:r w:rsidR="004D55D1" w:rsidRPr="004D55D1">
        <w:rPr>
          <w:rFonts w:eastAsia="Arial"/>
          <w:b/>
        </w:rPr>
        <w:t>ferences of the parent IAB-node</w:t>
      </w:r>
      <w:r w:rsidR="004D55D1">
        <w:rPr>
          <w:rFonts w:eastAsia="Arial"/>
          <w:b/>
        </w:rPr>
        <w:t xml:space="preserve"> -- where</w:t>
      </w:r>
      <w:r w:rsidRPr="00312B4B">
        <w:rPr>
          <w:rFonts w:eastAsia="Arial"/>
          <w:b/>
        </w:rPr>
        <w:t xml:space="preserve"> the offset value,</w:t>
      </w:r>
    </w:p>
    <w:p w14:paraId="7884AE97" w14:textId="77777777" w:rsidR="006832CC" w:rsidRPr="00312B4B" w:rsidRDefault="006832CC" w:rsidP="006832CC">
      <w:pPr>
        <w:pStyle w:val="ListParagraph"/>
        <w:numPr>
          <w:ilvl w:val="0"/>
          <w:numId w:val="6"/>
        </w:numPr>
        <w:ind w:firstLineChars="0"/>
        <w:rPr>
          <w:rFonts w:eastAsia="Arial"/>
          <w:b/>
        </w:rPr>
      </w:pPr>
      <w:r w:rsidRPr="00312B4B">
        <w:rPr>
          <w:rFonts w:eastAsia="Arial"/>
          <w:b/>
        </w:rPr>
        <w:t>does not depend on the RTT of the link between an IAB-node and its parent IAB-node</w:t>
      </w:r>
    </w:p>
    <w:p w14:paraId="152ACE25" w14:textId="77777777" w:rsidR="006832CC" w:rsidRPr="00312B4B" w:rsidRDefault="006832CC" w:rsidP="006832CC">
      <w:pPr>
        <w:pStyle w:val="ListParagraph"/>
        <w:numPr>
          <w:ilvl w:val="0"/>
          <w:numId w:val="6"/>
        </w:numPr>
        <w:ind w:firstLineChars="0"/>
        <w:rPr>
          <w:rFonts w:eastAsia="Arial"/>
          <w:b/>
        </w:rPr>
      </w:pPr>
      <w:r w:rsidRPr="00312B4B">
        <w:rPr>
          <w:rFonts w:eastAsia="Arial"/>
          <w:b/>
        </w:rPr>
        <w:t>is common to all children of the parent IAB-node</w:t>
      </w:r>
    </w:p>
    <w:p w14:paraId="26331B83" w14:textId="37291C48" w:rsidR="006832CC" w:rsidRPr="00312B4B" w:rsidRDefault="006832CC" w:rsidP="006832CC">
      <w:pPr>
        <w:pStyle w:val="ListParagraph"/>
        <w:numPr>
          <w:ilvl w:val="0"/>
          <w:numId w:val="6"/>
        </w:numPr>
        <w:ind w:firstLineChars="0"/>
        <w:rPr>
          <w:rFonts w:eastAsia="Arial"/>
          <w:b/>
        </w:rPr>
      </w:pPr>
      <w:r w:rsidRPr="00312B4B">
        <w:rPr>
          <w:rFonts w:eastAsia="Arial"/>
          <w:b/>
        </w:rPr>
        <w:t xml:space="preserve">may change, </w:t>
      </w:r>
      <w:r w:rsidR="00AF749F">
        <w:rPr>
          <w:rFonts w:eastAsia="Arial"/>
          <w:b/>
        </w:rPr>
        <w:t xml:space="preserve">hence </w:t>
      </w:r>
      <w:r w:rsidRPr="00312B4B">
        <w:rPr>
          <w:rFonts w:eastAsia="Arial"/>
          <w:b/>
        </w:rPr>
        <w:t xml:space="preserve">an update should be provided to all children of the parent IAB-node. </w:t>
      </w:r>
    </w:p>
    <w:p w14:paraId="24EADEC4" w14:textId="782040D2" w:rsidR="006832CC" w:rsidRPr="00312B4B" w:rsidRDefault="006832CC" w:rsidP="006832CC">
      <w:pPr>
        <w:rPr>
          <w:rFonts w:eastAsia="Arial"/>
          <w:b/>
        </w:rPr>
      </w:pPr>
      <w:r w:rsidRPr="00312B4B">
        <w:rPr>
          <w:rFonts w:eastAsia="Arial"/>
          <w:b/>
        </w:rPr>
        <w:t>Proposal 4</w:t>
      </w:r>
      <w:r w:rsidR="004D55D1">
        <w:rPr>
          <w:rFonts w:eastAsia="Arial"/>
          <w:b/>
        </w:rPr>
        <w:t>.4</w:t>
      </w:r>
      <w:r w:rsidRPr="00312B4B">
        <w:rPr>
          <w:rFonts w:eastAsia="Arial"/>
          <w:b/>
        </w:rPr>
        <w:t xml:space="preserve">: RAN1 should decide how to indicate the required timing information to </w:t>
      </w:r>
      <w:r w:rsidR="00AF749F">
        <w:rPr>
          <w:rFonts w:eastAsia="Arial"/>
          <w:b/>
        </w:rPr>
        <w:t>an</w:t>
      </w:r>
      <w:r w:rsidRPr="00312B4B">
        <w:rPr>
          <w:rFonts w:eastAsia="Arial"/>
          <w:b/>
        </w:rPr>
        <w:t xml:space="preserve"> IAB-node.</w:t>
      </w:r>
    </w:p>
    <w:p w14:paraId="6170CE08" w14:textId="77777777" w:rsidR="006832CC" w:rsidRPr="00312B4B" w:rsidRDefault="006832CC" w:rsidP="006832CC">
      <w:pPr>
        <w:pStyle w:val="ListParagraph"/>
        <w:numPr>
          <w:ilvl w:val="0"/>
          <w:numId w:val="6"/>
        </w:numPr>
        <w:ind w:firstLineChars="0"/>
        <w:rPr>
          <w:rFonts w:eastAsia="Arial"/>
          <w:b/>
        </w:rPr>
      </w:pPr>
      <w:r w:rsidRPr="00312B4B">
        <w:rPr>
          <w:rFonts w:eastAsia="Arial"/>
          <w:b/>
        </w:rPr>
        <w:lastRenderedPageBreak/>
        <w:t xml:space="preserve">Alt 1. IAB-node is provided with two TA commands. </w:t>
      </w:r>
    </w:p>
    <w:p w14:paraId="51749ED9" w14:textId="1B001149" w:rsidR="006832CC" w:rsidRPr="00312B4B" w:rsidRDefault="006832CC" w:rsidP="00312B4B">
      <w:pPr>
        <w:pStyle w:val="ListParagraph"/>
        <w:numPr>
          <w:ilvl w:val="0"/>
          <w:numId w:val="6"/>
        </w:numPr>
        <w:ind w:firstLineChars="0"/>
        <w:rPr>
          <w:rFonts w:eastAsia="Arial"/>
          <w:b/>
        </w:rPr>
      </w:pPr>
      <w:r w:rsidRPr="00312B4B">
        <w:rPr>
          <w:rFonts w:eastAsia="Arial"/>
          <w:b/>
        </w:rPr>
        <w:t xml:space="preserve">Alt 2. IAB-node is provided with a TA command, and a separate indication of extra timing information -- e.g. TA command provides RTT, and </w:t>
      </w:r>
      <w:r w:rsidR="004D55D1" w:rsidRPr="004D55D1">
        <w:rPr>
          <w:rFonts w:eastAsia="Arial"/>
          <w:b/>
        </w:rPr>
        <w:t>t</w:t>
      </w:r>
      <w:r w:rsidR="004D55D1">
        <w:rPr>
          <w:rFonts w:eastAsia="Arial"/>
          <w:b/>
        </w:rPr>
        <w:t>he</w:t>
      </w:r>
      <w:r w:rsidRPr="00312B4B">
        <w:rPr>
          <w:rFonts w:eastAsia="Arial"/>
          <w:b/>
        </w:rPr>
        <w:t xml:space="preserve"> timing offset (between DL TX timing and UL RX timing of the parent node) is indicated separately</w:t>
      </w:r>
      <w:r w:rsidR="004D55D1">
        <w:rPr>
          <w:rFonts w:eastAsia="Arial"/>
          <w:b/>
        </w:rPr>
        <w:t>.</w:t>
      </w:r>
    </w:p>
    <w:p w14:paraId="5667D88E" w14:textId="273835C0" w:rsidR="004067B5" w:rsidRDefault="004067B5" w:rsidP="00FC657E"/>
    <w:p w14:paraId="778FC708" w14:textId="71F2221A" w:rsidR="00932692" w:rsidRPr="00FE356F" w:rsidRDefault="00932692" w:rsidP="00312B4B">
      <w:pPr>
        <w:pStyle w:val="Heading1"/>
      </w:pPr>
      <w:r w:rsidRPr="00FE356F">
        <w:t>Resource management</w:t>
      </w:r>
    </w:p>
    <w:p w14:paraId="3B7C9CB5" w14:textId="77777777" w:rsidR="003205C2" w:rsidRDefault="003205C2" w:rsidP="003205C2">
      <w:pPr>
        <w:rPr>
          <w:lang w:val="en-GB"/>
        </w:rPr>
      </w:pPr>
      <w:bookmarkStart w:id="14" w:name="_Hlk528942912"/>
      <w:r>
        <w:rPr>
          <w:lang w:val="en-GB"/>
        </w:rPr>
        <w:t>In our companion paper [1], we provided our detailed view on the IAB resource management:</w:t>
      </w:r>
    </w:p>
    <w:p w14:paraId="2103B45D" w14:textId="0884D78E" w:rsidR="003205C2" w:rsidRDefault="003205C2" w:rsidP="00312B4B">
      <w:pPr>
        <w:pStyle w:val="ListParagraph"/>
        <w:numPr>
          <w:ilvl w:val="0"/>
          <w:numId w:val="53"/>
        </w:numPr>
        <w:ind w:firstLineChars="0"/>
        <w:rPr>
          <w:lang w:val="en-GB"/>
        </w:rPr>
      </w:pPr>
      <w:r>
        <w:rPr>
          <w:lang w:val="en-GB"/>
        </w:rPr>
        <w:t xml:space="preserve">We discussed possible signal enhancements to achieve a more efficient resource management, where potential enhancements to both </w:t>
      </w:r>
      <w:r w:rsidR="00D75CE5">
        <w:rPr>
          <w:lang w:val="en-GB"/>
        </w:rPr>
        <w:t>upper-</w:t>
      </w:r>
      <w:r>
        <w:rPr>
          <w:lang w:val="en-GB"/>
        </w:rPr>
        <w:t>layer messages and PHY/MAC signalling are proposed.</w:t>
      </w:r>
    </w:p>
    <w:p w14:paraId="3C32BC07" w14:textId="77777777" w:rsidR="005C4DBE" w:rsidRDefault="003205C2" w:rsidP="00312B4B">
      <w:pPr>
        <w:pStyle w:val="ListParagraph"/>
        <w:numPr>
          <w:ilvl w:val="0"/>
          <w:numId w:val="53"/>
        </w:numPr>
        <w:ind w:firstLineChars="0"/>
        <w:rPr>
          <w:lang w:val="en-GB"/>
        </w:rPr>
      </w:pPr>
      <w:r>
        <w:rPr>
          <w:lang w:val="en-GB"/>
        </w:rPr>
        <w:t>We discussed various cases of potential scheduling conflict when using soft resources</w:t>
      </w:r>
      <w:r w:rsidR="005C4DBE">
        <w:rPr>
          <w:lang w:val="en-GB"/>
        </w:rPr>
        <w:t xml:space="preserve"> and provided our proposal to handle this issue.</w:t>
      </w:r>
    </w:p>
    <w:p w14:paraId="3C355859" w14:textId="58C4BD83" w:rsidR="005C4DBE" w:rsidRDefault="005C4DBE" w:rsidP="00312B4B">
      <w:pPr>
        <w:pStyle w:val="ListParagraph"/>
        <w:numPr>
          <w:ilvl w:val="0"/>
          <w:numId w:val="53"/>
        </w:numPr>
        <w:ind w:firstLineChars="0"/>
        <w:rPr>
          <w:lang w:val="en-GB"/>
        </w:rPr>
      </w:pPr>
      <w:r>
        <w:rPr>
          <w:lang w:val="en-GB"/>
        </w:rPr>
        <w:t>We compared methods of using explicit or implicit indication to control soft resources of a child node, where advan</w:t>
      </w:r>
      <w:r w:rsidR="000F3EB2">
        <w:rPr>
          <w:lang w:val="en-GB"/>
        </w:rPr>
        <w:t>ta</w:t>
      </w:r>
      <w:r>
        <w:rPr>
          <w:lang w:val="en-GB"/>
        </w:rPr>
        <w:t xml:space="preserve">ges of explicit method are shown in term of traffic delay and interference management at cost that </w:t>
      </w:r>
      <w:r w:rsidR="00864A6D">
        <w:rPr>
          <w:lang w:val="en-GB"/>
        </w:rPr>
        <w:t>enhancement of</w:t>
      </w:r>
      <w:r w:rsidR="000F3EB2">
        <w:rPr>
          <w:lang w:val="en-GB"/>
        </w:rPr>
        <w:t xml:space="preserve"> some existing 5GNR DL signalling messages</w:t>
      </w:r>
      <w:r>
        <w:rPr>
          <w:lang w:val="en-GB"/>
        </w:rPr>
        <w:t xml:space="preserve"> </w:t>
      </w:r>
      <w:r w:rsidR="00864A6D">
        <w:rPr>
          <w:lang w:val="en-GB"/>
        </w:rPr>
        <w:t>are</w:t>
      </w:r>
      <w:r>
        <w:rPr>
          <w:lang w:val="en-GB"/>
        </w:rPr>
        <w:t xml:space="preserve"> required.</w:t>
      </w:r>
    </w:p>
    <w:p w14:paraId="77DEDE0A" w14:textId="3F89DF56" w:rsidR="003205C2" w:rsidRPr="000F3EB2" w:rsidRDefault="005C4DBE" w:rsidP="00312B4B">
      <w:pPr>
        <w:pStyle w:val="ListParagraph"/>
        <w:numPr>
          <w:ilvl w:val="0"/>
          <w:numId w:val="53"/>
        </w:numPr>
        <w:ind w:firstLineChars="0"/>
        <w:rPr>
          <w:lang w:val="en-GB"/>
        </w:rPr>
      </w:pPr>
      <w:r>
        <w:rPr>
          <w:lang w:val="en-GB"/>
        </w:rPr>
        <w:t>We discuss</w:t>
      </w:r>
      <w:r w:rsidR="00864A6D">
        <w:rPr>
          <w:lang w:val="en-GB"/>
        </w:rPr>
        <w:t xml:space="preserve">ed supporting of SDM/FDM in IAB </w:t>
      </w:r>
      <w:r>
        <w:rPr>
          <w:lang w:val="en-GB"/>
        </w:rPr>
        <w:t>network</w:t>
      </w:r>
      <w:r w:rsidR="00864A6D">
        <w:rPr>
          <w:lang w:val="en-GB"/>
        </w:rPr>
        <w:t>s</w:t>
      </w:r>
      <w:r>
        <w:rPr>
          <w:lang w:val="en-GB"/>
        </w:rPr>
        <w:t xml:space="preserve">, where we </w:t>
      </w:r>
      <w:r w:rsidR="000F3EB2">
        <w:rPr>
          <w:lang w:val="en-GB"/>
        </w:rPr>
        <w:t>propose to identify</w:t>
      </w:r>
      <w:r>
        <w:rPr>
          <w:lang w:val="en-GB"/>
        </w:rPr>
        <w:t xml:space="preserve"> conditions or scenarios for coordination of transmitted SDM/FDM signals with respect to power and timing alignment</w:t>
      </w:r>
      <w:r w:rsidR="000F3EB2">
        <w:rPr>
          <w:lang w:val="en-GB"/>
        </w:rPr>
        <w:t xml:space="preserve"> so that they are only triggered when needed.</w:t>
      </w:r>
      <w:bookmarkEnd w:id="14"/>
      <w:r w:rsidR="000F3EB2">
        <w:rPr>
          <w:lang w:val="en-GB"/>
        </w:rPr>
        <w:t xml:space="preserve">  </w:t>
      </w:r>
      <w:r>
        <w:rPr>
          <w:lang w:val="en-GB"/>
        </w:rPr>
        <w:t xml:space="preserve">         </w:t>
      </w:r>
      <w:r w:rsidR="003205C2">
        <w:rPr>
          <w:lang w:val="en-GB"/>
        </w:rPr>
        <w:t xml:space="preserve">      </w:t>
      </w:r>
    </w:p>
    <w:p w14:paraId="6AE9034F" w14:textId="0B218762" w:rsidR="00FE356F" w:rsidRPr="00620C85" w:rsidRDefault="003205C2" w:rsidP="00FE356F">
      <w:pPr>
        <w:rPr>
          <w:b/>
          <w:lang w:val="en-GB"/>
        </w:rPr>
      </w:pPr>
      <w:r>
        <w:rPr>
          <w:lang w:val="en-GB"/>
        </w:rPr>
        <w:t>The following observations and proposals are made – please refer to [1] for more details.</w:t>
      </w:r>
    </w:p>
    <w:p w14:paraId="269E4276" w14:textId="72985C71" w:rsidR="003205C2" w:rsidRPr="00462327" w:rsidRDefault="003205C2" w:rsidP="003205C2">
      <w:pPr>
        <w:rPr>
          <w:b/>
        </w:rPr>
      </w:pPr>
      <w:r w:rsidRPr="00462327">
        <w:rPr>
          <w:b/>
        </w:rPr>
        <w:t>Observation</w:t>
      </w:r>
      <w:r w:rsidR="00864A6D">
        <w:rPr>
          <w:b/>
        </w:rPr>
        <w:t xml:space="preserve"> 5.</w:t>
      </w:r>
      <w:r w:rsidRPr="00462327">
        <w:rPr>
          <w:b/>
        </w:rPr>
        <w:t>1: More efficient resource utilization can be achieved if resource partition across IAB</w:t>
      </w:r>
      <w:r w:rsidR="00864A6D">
        <w:rPr>
          <w:b/>
        </w:rPr>
        <w:t xml:space="preserve"> </w:t>
      </w:r>
      <w:r w:rsidRPr="00462327">
        <w:rPr>
          <w:b/>
        </w:rPr>
        <w:t xml:space="preserve">network can be determined and updated based on information reported from </w:t>
      </w:r>
      <w:r w:rsidR="00864A6D">
        <w:rPr>
          <w:b/>
        </w:rPr>
        <w:t>the</w:t>
      </w:r>
      <w:r w:rsidRPr="00462327">
        <w:rPr>
          <w:b/>
        </w:rPr>
        <w:t xml:space="preserve"> IAB-node</w:t>
      </w:r>
      <w:r w:rsidR="00864A6D">
        <w:rPr>
          <w:b/>
        </w:rPr>
        <w:t>s</w:t>
      </w:r>
      <w:r w:rsidRPr="00462327">
        <w:rPr>
          <w:b/>
        </w:rPr>
        <w:t>, such as node capability,</w:t>
      </w:r>
      <w:r>
        <w:rPr>
          <w:b/>
        </w:rPr>
        <w:t xml:space="preserve"> topology,</w:t>
      </w:r>
      <w:r w:rsidRPr="00462327">
        <w:rPr>
          <w:b/>
        </w:rPr>
        <w:t xml:space="preserve"> traffic loading, or resource utilization, etc.</w:t>
      </w:r>
    </w:p>
    <w:p w14:paraId="20686723" w14:textId="27438764" w:rsidR="003205C2" w:rsidRDefault="003205C2" w:rsidP="003205C2">
      <w:pPr>
        <w:rPr>
          <w:b/>
        </w:rPr>
      </w:pPr>
      <w:r w:rsidRPr="00462327">
        <w:rPr>
          <w:b/>
        </w:rPr>
        <w:t>Proposal</w:t>
      </w:r>
      <w:r w:rsidR="00864A6D">
        <w:rPr>
          <w:b/>
        </w:rPr>
        <w:t xml:space="preserve"> 5.</w:t>
      </w:r>
      <w:r w:rsidRPr="00462327">
        <w:rPr>
          <w:b/>
        </w:rPr>
        <w:t xml:space="preserve">1: RAN1 to send an LS to RAN2 </w:t>
      </w:r>
      <w:r>
        <w:rPr>
          <w:b/>
        </w:rPr>
        <w:t>to support</w:t>
      </w:r>
      <w:r w:rsidRPr="00462327">
        <w:rPr>
          <w:b/>
        </w:rPr>
        <w:t xml:space="preserve"> </w:t>
      </w:r>
      <w:r>
        <w:rPr>
          <w:b/>
        </w:rPr>
        <w:t xml:space="preserve">an IAB-node to report information such as its capability, </w:t>
      </w:r>
      <w:r w:rsidR="00864A6D">
        <w:rPr>
          <w:b/>
        </w:rPr>
        <w:t>topology, traffic loading and</w:t>
      </w:r>
      <w:r>
        <w:rPr>
          <w:b/>
        </w:rPr>
        <w:t xml:space="preserve"> resource utilization.</w:t>
      </w:r>
    </w:p>
    <w:p w14:paraId="60495B04" w14:textId="205DBFF8" w:rsidR="003205C2" w:rsidRDefault="003205C2" w:rsidP="003205C2">
      <w:pPr>
        <w:pStyle w:val="ListParagraph"/>
        <w:numPr>
          <w:ilvl w:val="0"/>
          <w:numId w:val="52"/>
        </w:numPr>
        <w:ind w:firstLineChars="0"/>
        <w:rPr>
          <w:b/>
        </w:rPr>
      </w:pPr>
      <w:r w:rsidRPr="00DD2295">
        <w:rPr>
          <w:b/>
        </w:rPr>
        <w:t>Node capability can include capability of half/full duplex, capability of supporting SDM/FDM</w:t>
      </w:r>
      <w:r w:rsidR="00864A6D">
        <w:rPr>
          <w:b/>
        </w:rPr>
        <w:t xml:space="preserve"> TX</w:t>
      </w:r>
      <w:r w:rsidRPr="00DD2295">
        <w:rPr>
          <w:b/>
        </w:rPr>
        <w:t>, capability of supporting SDM/FDM RX.</w:t>
      </w:r>
    </w:p>
    <w:p w14:paraId="10D9F561" w14:textId="762DB22F" w:rsidR="00D74BBE" w:rsidRDefault="00D74BBE" w:rsidP="003205C2">
      <w:pPr>
        <w:rPr>
          <w:b/>
        </w:rPr>
      </w:pPr>
      <w:r w:rsidRPr="00462327">
        <w:rPr>
          <w:b/>
        </w:rPr>
        <w:t>Proposal</w:t>
      </w:r>
      <w:r w:rsidR="00864A6D">
        <w:rPr>
          <w:b/>
        </w:rPr>
        <w:t xml:space="preserve"> 5.</w:t>
      </w:r>
      <w:r w:rsidRPr="00462327">
        <w:rPr>
          <w:b/>
        </w:rPr>
        <w:t xml:space="preserve">2: </w:t>
      </w:r>
      <w:r>
        <w:rPr>
          <w:b/>
        </w:rPr>
        <w:t>Further s</w:t>
      </w:r>
      <w:r w:rsidRPr="00462327">
        <w:rPr>
          <w:b/>
        </w:rPr>
        <w:t xml:space="preserve">ignaling </w:t>
      </w:r>
      <w:r>
        <w:rPr>
          <w:b/>
        </w:rPr>
        <w:t>enhancements</w:t>
      </w:r>
      <w:r w:rsidRPr="00462327">
        <w:rPr>
          <w:b/>
        </w:rPr>
        <w:t xml:space="preserve"> in physical and/or MAC layer</w:t>
      </w:r>
      <w:r>
        <w:rPr>
          <w:b/>
        </w:rPr>
        <w:t xml:space="preserve"> should be considered for</w:t>
      </w:r>
      <w:r w:rsidRPr="00462327">
        <w:rPr>
          <w:b/>
        </w:rPr>
        <w:t xml:space="preserve"> </w:t>
      </w:r>
      <w:r>
        <w:rPr>
          <w:b/>
        </w:rPr>
        <w:t>more efficient use</w:t>
      </w:r>
      <w:r w:rsidRPr="00462327">
        <w:rPr>
          <w:b/>
        </w:rPr>
        <w:t xml:space="preserve"> of soft resources.</w:t>
      </w:r>
    </w:p>
    <w:p w14:paraId="17D0E685" w14:textId="09B8CACD" w:rsidR="003205C2" w:rsidRDefault="003205C2" w:rsidP="003205C2">
      <w:pPr>
        <w:rPr>
          <w:b/>
        </w:rPr>
      </w:pPr>
      <w:r w:rsidRPr="00462327">
        <w:rPr>
          <w:b/>
        </w:rPr>
        <w:t>Observation</w:t>
      </w:r>
      <w:r w:rsidR="00864A6D">
        <w:rPr>
          <w:b/>
        </w:rPr>
        <w:t xml:space="preserve"> 5.</w:t>
      </w:r>
      <w:r w:rsidRPr="00462327">
        <w:rPr>
          <w:b/>
        </w:rPr>
        <w:t xml:space="preserve">2: When an IAB-node is granted permission by </w:t>
      </w:r>
      <w:r>
        <w:rPr>
          <w:b/>
        </w:rPr>
        <w:t>a</w:t>
      </w:r>
      <w:r w:rsidRPr="00462327">
        <w:rPr>
          <w:b/>
        </w:rPr>
        <w:t xml:space="preserve"> parent node to use a soft resource,</w:t>
      </w:r>
      <w:r>
        <w:rPr>
          <w:b/>
        </w:rPr>
        <w:t xml:space="preserve"> there can be potential scheduling conflict of using this soft resource if the corresponding resource type at the child backhaul node is a hard resource.</w:t>
      </w:r>
    </w:p>
    <w:p w14:paraId="44283FAD" w14:textId="52AE7230" w:rsidR="003205C2" w:rsidRDefault="003205C2" w:rsidP="003205C2">
      <w:pPr>
        <w:rPr>
          <w:b/>
        </w:rPr>
      </w:pPr>
      <w:r>
        <w:rPr>
          <w:b/>
        </w:rPr>
        <w:t>Observation</w:t>
      </w:r>
      <w:r w:rsidR="00864A6D">
        <w:rPr>
          <w:b/>
        </w:rPr>
        <w:t xml:space="preserve"> 5.</w:t>
      </w:r>
      <w:r>
        <w:rPr>
          <w:b/>
        </w:rPr>
        <w:t>3</w:t>
      </w:r>
      <w:r w:rsidRPr="0014051B">
        <w:rPr>
          <w:b/>
        </w:rPr>
        <w:t>: When an IAB-n</w:t>
      </w:r>
      <w:r>
        <w:rPr>
          <w:b/>
        </w:rPr>
        <w:t>ode is granted permission by a</w:t>
      </w:r>
      <w:r w:rsidRPr="0014051B">
        <w:rPr>
          <w:b/>
        </w:rPr>
        <w:t xml:space="preserve"> parent node to use a soft resource,</w:t>
      </w:r>
      <w:r>
        <w:rPr>
          <w:b/>
        </w:rPr>
        <w:t xml:space="preserve"> there can be potential scheduling conflict of using this soft resource if this IAB-node has multiple parent nodes.</w:t>
      </w:r>
    </w:p>
    <w:p w14:paraId="571FB500" w14:textId="30EA6E61" w:rsidR="003205C2" w:rsidRDefault="003205C2" w:rsidP="003205C2">
      <w:pPr>
        <w:rPr>
          <w:b/>
        </w:rPr>
      </w:pPr>
      <w:r w:rsidRPr="00462327">
        <w:rPr>
          <w:b/>
        </w:rPr>
        <w:t>Proposal</w:t>
      </w:r>
      <w:r w:rsidR="00864A6D">
        <w:rPr>
          <w:b/>
        </w:rPr>
        <w:t xml:space="preserve"> 5.</w:t>
      </w:r>
      <w:r>
        <w:rPr>
          <w:b/>
        </w:rPr>
        <w:t>3</w:t>
      </w:r>
      <w:r w:rsidRPr="00462327">
        <w:rPr>
          <w:b/>
        </w:rPr>
        <w:t>: Some specification rules or signaling enhancements should be considered to avoid potential scheduling conflict</w:t>
      </w:r>
      <w:r>
        <w:rPr>
          <w:b/>
        </w:rPr>
        <w:t xml:space="preserve"> during coordination of soft resources without too </w:t>
      </w:r>
      <w:r w:rsidR="008F2704">
        <w:rPr>
          <w:b/>
        </w:rPr>
        <w:t>many</w:t>
      </w:r>
      <w:r>
        <w:rPr>
          <w:b/>
        </w:rPr>
        <w:t xml:space="preserve"> restrictions on resource pattern</w:t>
      </w:r>
      <w:r w:rsidRPr="00462327">
        <w:rPr>
          <w:b/>
        </w:rPr>
        <w:t>.</w:t>
      </w:r>
    </w:p>
    <w:p w14:paraId="766FA314" w14:textId="0AEDFCFE" w:rsidR="003205C2" w:rsidRDefault="003205C2" w:rsidP="003205C2">
      <w:r w:rsidRPr="00462327">
        <w:rPr>
          <w:b/>
        </w:rPr>
        <w:lastRenderedPageBreak/>
        <w:t>Observation</w:t>
      </w:r>
      <w:r w:rsidR="008F2704">
        <w:rPr>
          <w:b/>
        </w:rPr>
        <w:t xml:space="preserve"> 5.</w:t>
      </w:r>
      <w:r w:rsidRPr="00462327">
        <w:rPr>
          <w:b/>
        </w:rPr>
        <w:t>4:</w:t>
      </w:r>
      <w:r>
        <w:t xml:space="preserve"> </w:t>
      </w:r>
      <w:r>
        <w:rPr>
          <w:b/>
        </w:rPr>
        <w:t>The</w:t>
      </w:r>
      <w:r w:rsidRPr="0014051B">
        <w:rPr>
          <w:b/>
        </w:rPr>
        <w:t xml:space="preserve"> implicit method </w:t>
      </w:r>
      <w:r>
        <w:rPr>
          <w:b/>
        </w:rPr>
        <w:t>can result in a higher traffic delay than an explicit method</w:t>
      </w:r>
      <w:r w:rsidRPr="00462327">
        <w:rPr>
          <w:b/>
        </w:rPr>
        <w:t xml:space="preserve">, </w:t>
      </w:r>
      <w:r>
        <w:rPr>
          <w:b/>
        </w:rPr>
        <w:t xml:space="preserve">since </w:t>
      </w:r>
      <w:r w:rsidRPr="00462327">
        <w:rPr>
          <w:b/>
        </w:rPr>
        <w:t xml:space="preserve">a larger scheduling gap </w:t>
      </w:r>
      <w:r>
        <w:rPr>
          <w:b/>
        </w:rPr>
        <w:t>has to</w:t>
      </w:r>
      <w:r w:rsidRPr="00462327">
        <w:rPr>
          <w:b/>
        </w:rPr>
        <w:t xml:space="preserve"> be configured at </w:t>
      </w:r>
      <w:r>
        <w:rPr>
          <w:b/>
        </w:rPr>
        <w:t>a parent node</w:t>
      </w:r>
      <w:r w:rsidRPr="00462327">
        <w:rPr>
          <w:b/>
        </w:rPr>
        <w:t xml:space="preserve"> </w:t>
      </w:r>
      <w:r>
        <w:rPr>
          <w:b/>
        </w:rPr>
        <w:t xml:space="preserve">for an implicit method </w:t>
      </w:r>
      <w:r w:rsidRPr="00462327">
        <w:rPr>
          <w:b/>
        </w:rPr>
        <w:t xml:space="preserve">to account for extra PDCCH processing delay at </w:t>
      </w:r>
      <w:r>
        <w:rPr>
          <w:b/>
        </w:rPr>
        <w:t>an</w:t>
      </w:r>
      <w:r w:rsidRPr="00462327">
        <w:rPr>
          <w:b/>
        </w:rPr>
        <w:t xml:space="preserve"> IAB-node for monitoring its parent node.</w:t>
      </w:r>
      <w:r>
        <w:t xml:space="preserve"> </w:t>
      </w:r>
    </w:p>
    <w:p w14:paraId="33D02D8D" w14:textId="50E1CEB0" w:rsidR="003205C2" w:rsidRDefault="003205C2" w:rsidP="003205C2">
      <w:pPr>
        <w:rPr>
          <w:b/>
        </w:rPr>
      </w:pPr>
      <w:r w:rsidRPr="00462327">
        <w:rPr>
          <w:b/>
        </w:rPr>
        <w:t>Observation</w:t>
      </w:r>
      <w:r w:rsidR="008F2704">
        <w:rPr>
          <w:b/>
        </w:rPr>
        <w:t xml:space="preserve"> </w:t>
      </w:r>
      <w:r w:rsidRPr="00462327">
        <w:rPr>
          <w:b/>
        </w:rPr>
        <w:t>5</w:t>
      </w:r>
      <w:r w:rsidR="008F2704">
        <w:rPr>
          <w:b/>
        </w:rPr>
        <w:t>.5</w:t>
      </w:r>
      <w:r w:rsidRPr="00462327">
        <w:rPr>
          <w:b/>
        </w:rPr>
        <w:t xml:space="preserve">: The issue of higher traffic delay when using an implicit method </w:t>
      </w:r>
      <w:r>
        <w:rPr>
          <w:b/>
        </w:rPr>
        <w:t>can be</w:t>
      </w:r>
      <w:r w:rsidRPr="00462327">
        <w:rPr>
          <w:b/>
        </w:rPr>
        <w:t xml:space="preserve"> more severe for a chain of multi-hop nodes with aligned soft resources, where scheduling gap at an IAB-node </w:t>
      </w:r>
      <w:r>
        <w:rPr>
          <w:b/>
        </w:rPr>
        <w:t>has to scale with number of downstream hops to avoid potential scheduling conflict</w:t>
      </w:r>
      <w:r w:rsidRPr="00462327">
        <w:rPr>
          <w:b/>
        </w:rPr>
        <w:t xml:space="preserve">. </w:t>
      </w:r>
    </w:p>
    <w:p w14:paraId="54705AA8" w14:textId="234D914A" w:rsidR="003205C2" w:rsidRDefault="003205C2" w:rsidP="003205C2">
      <w:pPr>
        <w:rPr>
          <w:b/>
        </w:rPr>
      </w:pPr>
      <w:r>
        <w:rPr>
          <w:b/>
        </w:rPr>
        <w:t>Observation</w:t>
      </w:r>
      <w:r w:rsidR="008F2704">
        <w:rPr>
          <w:b/>
        </w:rPr>
        <w:t xml:space="preserve"> 5.</w:t>
      </w:r>
      <w:r>
        <w:rPr>
          <w:b/>
        </w:rPr>
        <w:t xml:space="preserve">6: </w:t>
      </w:r>
      <w:r w:rsidRPr="00DD2295">
        <w:rPr>
          <w:b/>
        </w:rPr>
        <w:t xml:space="preserve">In an explicit method, an IAB-node may decide whether to grant permission of using a soft resource to a child IAB-node based </w:t>
      </w:r>
      <w:r w:rsidR="008F2704">
        <w:rPr>
          <w:b/>
        </w:rPr>
        <w:t xml:space="preserve">not only on </w:t>
      </w:r>
      <w:r w:rsidR="008F2704" w:rsidRPr="00DD2295">
        <w:rPr>
          <w:b/>
        </w:rPr>
        <w:t xml:space="preserve">its </w:t>
      </w:r>
      <w:r w:rsidR="008F2704">
        <w:rPr>
          <w:b/>
        </w:rPr>
        <w:t xml:space="preserve">own traffic demand, but </w:t>
      </w:r>
      <w:r>
        <w:rPr>
          <w:b/>
        </w:rPr>
        <w:t>other factors, such as</w:t>
      </w:r>
      <w:r w:rsidRPr="00DD2295">
        <w:rPr>
          <w:b/>
        </w:rPr>
        <w:t xml:space="preserve"> </w:t>
      </w:r>
      <w:r>
        <w:rPr>
          <w:b/>
        </w:rPr>
        <w:t xml:space="preserve">status of its other child IAB-nodes, </w:t>
      </w:r>
      <w:r w:rsidR="008F2704">
        <w:rPr>
          <w:b/>
        </w:rPr>
        <w:t xml:space="preserve">and </w:t>
      </w:r>
      <w:r w:rsidR="00A66208">
        <w:rPr>
          <w:b/>
        </w:rPr>
        <w:t>managing</w:t>
      </w:r>
      <w:r>
        <w:rPr>
          <w:b/>
        </w:rPr>
        <w:t xml:space="preserve"> </w:t>
      </w:r>
      <w:r w:rsidR="008F2704">
        <w:rPr>
          <w:b/>
        </w:rPr>
        <w:t xml:space="preserve">inter-link </w:t>
      </w:r>
      <w:r>
        <w:rPr>
          <w:b/>
        </w:rPr>
        <w:t>interference.</w:t>
      </w:r>
    </w:p>
    <w:p w14:paraId="7552B01A" w14:textId="45EEBE40" w:rsidR="003205C2" w:rsidRPr="00462327" w:rsidRDefault="003205C2" w:rsidP="003205C2">
      <w:pPr>
        <w:rPr>
          <w:b/>
        </w:rPr>
      </w:pPr>
      <w:r w:rsidRPr="00462327">
        <w:rPr>
          <w:b/>
        </w:rPr>
        <w:t>Observation</w:t>
      </w:r>
      <w:r w:rsidR="008F2704">
        <w:rPr>
          <w:b/>
        </w:rPr>
        <w:t xml:space="preserve"> 5.</w:t>
      </w:r>
      <w:r w:rsidRPr="00462327">
        <w:rPr>
          <w:b/>
        </w:rPr>
        <w:t xml:space="preserve">7: Coordination of transmission power and/or timing-alignment may not be </w:t>
      </w:r>
      <w:r>
        <w:rPr>
          <w:b/>
        </w:rPr>
        <w:t xml:space="preserve">always </w:t>
      </w:r>
      <w:r w:rsidRPr="00462327">
        <w:rPr>
          <w:b/>
        </w:rPr>
        <w:t>required to support SDM/FDM</w:t>
      </w:r>
      <w:r>
        <w:rPr>
          <w:b/>
        </w:rPr>
        <w:t>, especially</w:t>
      </w:r>
      <w:r w:rsidRPr="00462327">
        <w:rPr>
          <w:b/>
        </w:rPr>
        <w:t xml:space="preserve"> when interference from undesirable signal before any signal processing is sufficient</w:t>
      </w:r>
      <w:r w:rsidR="008F2704">
        <w:rPr>
          <w:b/>
        </w:rPr>
        <w:t>ly</w:t>
      </w:r>
      <w:r w:rsidRPr="00462327">
        <w:rPr>
          <w:b/>
        </w:rPr>
        <w:t xml:space="preserve"> low.</w:t>
      </w:r>
    </w:p>
    <w:p w14:paraId="2A8B0214" w14:textId="04D70E04" w:rsidR="00FE356F" w:rsidRPr="00FE356F" w:rsidRDefault="003205C2" w:rsidP="00FE356F">
      <w:pPr>
        <w:rPr>
          <w:b/>
        </w:rPr>
      </w:pPr>
      <w:r w:rsidRPr="00462327">
        <w:rPr>
          <w:b/>
        </w:rPr>
        <w:t>Proposal</w:t>
      </w:r>
      <w:r w:rsidR="008F2704">
        <w:rPr>
          <w:b/>
        </w:rPr>
        <w:t xml:space="preserve"> 5.</w:t>
      </w:r>
      <w:r w:rsidRPr="00462327">
        <w:rPr>
          <w:b/>
        </w:rPr>
        <w:t xml:space="preserve">4: </w:t>
      </w:r>
      <w:r>
        <w:rPr>
          <w:b/>
        </w:rPr>
        <w:t>Further study shall be done to identify conditions or scenarios for requiring coordination of power and/or timing alig</w:t>
      </w:r>
      <w:r w:rsidR="008F2704">
        <w:rPr>
          <w:b/>
        </w:rPr>
        <w:t xml:space="preserve">nment to support SDM/FDM in IAB </w:t>
      </w:r>
      <w:r>
        <w:rPr>
          <w:b/>
        </w:rPr>
        <w:t>network.</w:t>
      </w:r>
    </w:p>
    <w:p w14:paraId="3CF1A13B" w14:textId="20536D7B" w:rsidR="005B005E" w:rsidRPr="00B04090" w:rsidRDefault="005B005E" w:rsidP="00312B4B">
      <w:pPr>
        <w:pStyle w:val="Heading1"/>
      </w:pPr>
      <w:r w:rsidRPr="00B04090">
        <w:t xml:space="preserve">Power </w:t>
      </w:r>
      <w:r w:rsidR="0003712E">
        <w:t>c</w:t>
      </w:r>
      <w:r w:rsidRPr="00B04090">
        <w:t>ontrol</w:t>
      </w:r>
    </w:p>
    <w:p w14:paraId="1CC31C4B" w14:textId="32C0F8DA" w:rsidR="005B005E" w:rsidRPr="001D5B3E" w:rsidRDefault="005B005E" w:rsidP="005B005E">
      <w:pPr>
        <w:rPr>
          <w:lang w:val="en-GB"/>
        </w:rPr>
      </w:pPr>
      <w:r>
        <w:rPr>
          <w:lang w:val="en-GB"/>
        </w:rPr>
        <w:t xml:space="preserve">RAN1 #93 agreed to </w:t>
      </w:r>
      <w:r w:rsidR="00CE42FB">
        <w:rPr>
          <w:lang w:val="en-GB"/>
        </w:rPr>
        <w:t xml:space="preserve">study power control (see section </w:t>
      </w:r>
      <w:r w:rsidR="00CE42FB">
        <w:rPr>
          <w:lang w:val="en-GB"/>
        </w:rPr>
        <w:fldChar w:fldCharType="begin"/>
      </w:r>
      <w:r w:rsidR="00CE42FB">
        <w:rPr>
          <w:lang w:val="en-GB"/>
        </w:rPr>
        <w:instrText xml:space="preserve"> REF _Ref528848944 \r \h </w:instrText>
      </w:r>
      <w:r w:rsidR="00CE42FB">
        <w:rPr>
          <w:lang w:val="en-GB"/>
        </w:rPr>
      </w:r>
      <w:r w:rsidR="00CE42FB">
        <w:rPr>
          <w:lang w:val="en-GB"/>
        </w:rPr>
        <w:fldChar w:fldCharType="separate"/>
      </w:r>
      <w:r w:rsidR="00E050EE">
        <w:rPr>
          <w:lang w:val="en-GB"/>
        </w:rPr>
        <w:t>11.5.1</w:t>
      </w:r>
      <w:r w:rsidR="00CE42FB">
        <w:rPr>
          <w:lang w:val="en-GB"/>
        </w:rPr>
        <w:fldChar w:fldCharType="end"/>
      </w:r>
      <w:r w:rsidR="00CE42FB">
        <w:rPr>
          <w:lang w:val="en-GB"/>
        </w:rPr>
        <w:t>).</w:t>
      </w:r>
    </w:p>
    <w:p w14:paraId="6D147EF7" w14:textId="77FE5902" w:rsidR="005B005E" w:rsidRDefault="005B005E" w:rsidP="005B005E">
      <w:pPr>
        <w:rPr>
          <w:lang w:val="en-GB"/>
        </w:rPr>
      </w:pPr>
      <w:r>
        <w:rPr>
          <w:lang w:val="en-GB"/>
        </w:rPr>
        <w:t xml:space="preserve">An IAB-node may have concurrent communications (thorough FDM or SDM) over its parent BH (link to the parent) and access or child BH links. In such scenarios, the IAB-node may need to adopt a power control method to either determine how to </w:t>
      </w:r>
      <w:r w:rsidRPr="006755A4">
        <w:rPr>
          <w:b/>
          <w:lang w:val="en-GB"/>
        </w:rPr>
        <w:t>split its TX power</w:t>
      </w:r>
      <w:r>
        <w:rPr>
          <w:lang w:val="en-GB"/>
        </w:rPr>
        <w:t xml:space="preserve">, or to </w:t>
      </w:r>
      <w:r w:rsidRPr="006755A4">
        <w:rPr>
          <w:b/>
          <w:lang w:val="en-GB"/>
        </w:rPr>
        <w:t>control the interference</w:t>
      </w:r>
      <w:r>
        <w:rPr>
          <w:lang w:val="en-GB"/>
        </w:rPr>
        <w:t xml:space="preserve">. </w:t>
      </w:r>
      <w:r>
        <w:rPr>
          <w:lang w:val="en-GB"/>
        </w:rPr>
        <w:fldChar w:fldCharType="begin"/>
      </w:r>
      <w:r>
        <w:rPr>
          <w:lang w:val="en-GB"/>
        </w:rPr>
        <w:instrText xml:space="preserve"> REF _Ref521671536 \h </w:instrText>
      </w:r>
      <w:r>
        <w:rPr>
          <w:lang w:val="en-GB"/>
        </w:rPr>
      </w:r>
      <w:r>
        <w:rPr>
          <w:lang w:val="en-GB"/>
        </w:rPr>
        <w:fldChar w:fldCharType="separate"/>
      </w:r>
      <w:r w:rsidR="00E050EE">
        <w:t xml:space="preserve">Figure </w:t>
      </w:r>
      <w:r w:rsidR="00E050EE">
        <w:rPr>
          <w:noProof/>
        </w:rPr>
        <w:t>4</w:t>
      </w:r>
      <w:r>
        <w:rPr>
          <w:lang w:val="en-GB"/>
        </w:rPr>
        <w:fldChar w:fldCharType="end"/>
      </w:r>
      <w:r>
        <w:rPr>
          <w:lang w:val="en-GB"/>
        </w:rPr>
        <w:t xml:space="preserve"> demonstrates different cases, where new power control may be needed in IAB. </w:t>
      </w:r>
    </w:p>
    <w:p w14:paraId="4657CAD5" w14:textId="77777777" w:rsidR="005B005E" w:rsidRDefault="005B005E" w:rsidP="005B005E">
      <w:pPr>
        <w:keepNext/>
      </w:pPr>
      <w:r>
        <w:rPr>
          <w:lang w:val="en-GB"/>
        </w:rPr>
        <w:t xml:space="preserve">  </w:t>
      </w:r>
      <w:r>
        <w:rPr>
          <w:noProof/>
          <w:lang w:val="en-GB"/>
        </w:rPr>
        <w:drawing>
          <wp:inline distT="0" distB="0" distL="0" distR="0" wp14:anchorId="447EF36A" wp14:editId="554CF8B5">
            <wp:extent cx="6217569" cy="190206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63090" cy="1915993"/>
                    </a:xfrm>
                    <a:prstGeom prst="rect">
                      <a:avLst/>
                    </a:prstGeom>
                    <a:noFill/>
                  </pic:spPr>
                </pic:pic>
              </a:graphicData>
            </a:graphic>
          </wp:inline>
        </w:drawing>
      </w:r>
    </w:p>
    <w:p w14:paraId="310D2605" w14:textId="2671FED8" w:rsidR="005B005E" w:rsidRPr="005E713B" w:rsidRDefault="005B005E" w:rsidP="005B005E">
      <w:pPr>
        <w:pStyle w:val="Caption"/>
        <w:jc w:val="center"/>
        <w:rPr>
          <w:lang w:val="en-GB"/>
        </w:rPr>
      </w:pPr>
      <w:bookmarkStart w:id="15" w:name="_Ref521671536"/>
      <w:r>
        <w:t xml:space="preserve">Figure </w:t>
      </w:r>
      <w:r>
        <w:rPr>
          <w:noProof/>
        </w:rPr>
        <w:fldChar w:fldCharType="begin"/>
      </w:r>
      <w:r>
        <w:rPr>
          <w:noProof/>
        </w:rPr>
        <w:instrText xml:space="preserve"> SEQ Figure \* ARABIC </w:instrText>
      </w:r>
      <w:r>
        <w:rPr>
          <w:noProof/>
        </w:rPr>
        <w:fldChar w:fldCharType="separate"/>
      </w:r>
      <w:r w:rsidR="00E050EE">
        <w:rPr>
          <w:noProof/>
        </w:rPr>
        <w:t>4</w:t>
      </w:r>
      <w:r>
        <w:rPr>
          <w:noProof/>
        </w:rPr>
        <w:fldChar w:fldCharType="end"/>
      </w:r>
      <w:bookmarkEnd w:id="15"/>
      <w:r>
        <w:t>: concurrent communications of an IAB-node with its parent and children, and the required power control cases</w:t>
      </w:r>
    </w:p>
    <w:p w14:paraId="60786315" w14:textId="77777777" w:rsidR="005B005E" w:rsidRDefault="005B005E" w:rsidP="005B005E">
      <w:pPr>
        <w:rPr>
          <w:rFonts w:eastAsia="Arial"/>
        </w:rPr>
      </w:pPr>
    </w:p>
    <w:p w14:paraId="057E1199" w14:textId="7E242B1F" w:rsidR="005B005E" w:rsidRDefault="005B005E" w:rsidP="005B005E">
      <w:pPr>
        <w:rPr>
          <w:rFonts w:eastAsia="Arial"/>
        </w:rPr>
      </w:pPr>
      <w:r>
        <w:rPr>
          <w:rFonts w:eastAsia="Arial"/>
        </w:rPr>
        <w:t xml:space="preserve">We note that while the IAB-node can control the TX power on its access and child BH links, the TX power on the parent BH link is controlled by the parent node. As a baseline, we may </w:t>
      </w:r>
      <w:r w:rsidR="004D55D1">
        <w:rPr>
          <w:rFonts w:eastAsia="Arial"/>
        </w:rPr>
        <w:t xml:space="preserve">consider </w:t>
      </w:r>
      <w:r>
        <w:rPr>
          <w:rFonts w:eastAsia="Arial"/>
        </w:rPr>
        <w:t xml:space="preserve">the parent BH link </w:t>
      </w:r>
      <w:r w:rsidR="004D55D1">
        <w:rPr>
          <w:rFonts w:eastAsia="Arial"/>
        </w:rPr>
        <w:t xml:space="preserve">to </w:t>
      </w:r>
      <w:r>
        <w:rPr>
          <w:rFonts w:eastAsia="Arial"/>
        </w:rPr>
        <w:t>ha</w:t>
      </w:r>
      <w:r w:rsidR="004D55D1">
        <w:rPr>
          <w:rFonts w:eastAsia="Arial"/>
        </w:rPr>
        <w:t>ve</w:t>
      </w:r>
      <w:r>
        <w:rPr>
          <w:rFonts w:eastAsia="Arial"/>
        </w:rPr>
        <w:t xml:space="preserve"> a higher priority, and the IAB-node controls the TX power on its access and child BH links </w:t>
      </w:r>
      <w:r w:rsidRPr="006755A4">
        <w:rPr>
          <w:rFonts w:eastAsia="Arial"/>
          <w:b/>
        </w:rPr>
        <w:t>subject to</w:t>
      </w:r>
      <w:r>
        <w:rPr>
          <w:rFonts w:eastAsia="Arial"/>
        </w:rPr>
        <w:t xml:space="preserve"> the configured power on the parent BH link. </w:t>
      </w:r>
    </w:p>
    <w:p w14:paraId="5075BC73" w14:textId="77777777" w:rsidR="005B005E" w:rsidRDefault="005B005E" w:rsidP="005B005E">
      <w:pPr>
        <w:rPr>
          <w:rFonts w:eastAsia="Arial"/>
        </w:rPr>
      </w:pPr>
      <w:r>
        <w:rPr>
          <w:rFonts w:eastAsia="Arial"/>
        </w:rPr>
        <w:t xml:space="preserve">However, there are some signals (e.g. DL RS for RRM, periodic CSI-RS) that require semi-statically allocated TX power, and the IAB-node cannot dynamically change the TX power of such signals. This suggests a need </w:t>
      </w:r>
      <w:r>
        <w:rPr>
          <w:rFonts w:eastAsia="Arial"/>
        </w:rPr>
        <w:lastRenderedPageBreak/>
        <w:t xml:space="preserve">to semi-statically control the power of the access and backhaul links that share common time resources (i.e. SDM or FDM), at least for such power-sensitive transmissions. </w:t>
      </w:r>
    </w:p>
    <w:p w14:paraId="49023558" w14:textId="7683E1F3" w:rsidR="005B005E" w:rsidRDefault="005B005E" w:rsidP="005B005E">
      <w:pPr>
        <w:rPr>
          <w:rFonts w:eastAsia="Arial"/>
          <w:b/>
        </w:rPr>
      </w:pPr>
      <w:r>
        <w:rPr>
          <w:rFonts w:eastAsia="Arial"/>
          <w:b/>
        </w:rPr>
        <w:t>Proposal 6.1: the power of the concurrent parent BH link and access/child BH link (multiplexed in frequency or spatial)</w:t>
      </w:r>
    </w:p>
    <w:p w14:paraId="74C55A3D" w14:textId="77777777" w:rsidR="005B005E" w:rsidRDefault="005B005E" w:rsidP="005B005E">
      <w:pPr>
        <w:pStyle w:val="ListParagraph"/>
        <w:numPr>
          <w:ilvl w:val="0"/>
          <w:numId w:val="8"/>
        </w:numPr>
        <w:ind w:firstLineChars="0"/>
        <w:rPr>
          <w:rFonts w:eastAsia="Arial"/>
          <w:b/>
        </w:rPr>
      </w:pPr>
      <w:r w:rsidRPr="006755A4">
        <w:rPr>
          <w:rFonts w:eastAsia="Arial"/>
          <w:b/>
        </w:rPr>
        <w:t xml:space="preserve">should be controlled semi-statically – at least for the transmissions that cannot dynamically change the power (like </w:t>
      </w:r>
      <w:r>
        <w:rPr>
          <w:rFonts w:eastAsia="Arial"/>
          <w:b/>
        </w:rPr>
        <w:t>DL RS for RRM, periodic CSI-RS)</w:t>
      </w:r>
    </w:p>
    <w:p w14:paraId="5223DE3B" w14:textId="77777777" w:rsidR="005B005E" w:rsidRPr="006755A4" w:rsidRDefault="005B005E" w:rsidP="005B005E">
      <w:pPr>
        <w:pStyle w:val="ListParagraph"/>
        <w:numPr>
          <w:ilvl w:val="0"/>
          <w:numId w:val="8"/>
        </w:numPr>
        <w:ind w:firstLineChars="0"/>
        <w:rPr>
          <w:rFonts w:eastAsia="Arial"/>
          <w:b/>
        </w:rPr>
      </w:pPr>
      <w:r>
        <w:rPr>
          <w:rFonts w:eastAsia="Arial"/>
          <w:b/>
        </w:rPr>
        <w:t xml:space="preserve">can be determined dynamically for the remaining transmissions. </w:t>
      </w:r>
    </w:p>
    <w:p w14:paraId="451151E1" w14:textId="77777777" w:rsidR="005B005E" w:rsidRDefault="005B005E" w:rsidP="005B005E">
      <w:pPr>
        <w:pStyle w:val="ListParagraph"/>
        <w:numPr>
          <w:ilvl w:val="0"/>
          <w:numId w:val="8"/>
        </w:numPr>
        <w:ind w:firstLineChars="0"/>
        <w:rPr>
          <w:rFonts w:eastAsia="Arial"/>
          <w:b/>
        </w:rPr>
      </w:pPr>
      <w:r>
        <w:rPr>
          <w:rFonts w:eastAsia="Arial"/>
          <w:b/>
        </w:rPr>
        <w:t>FFS: enhancements to allow more efficient SDM/FDM of the access and backhaul links.</w:t>
      </w:r>
    </w:p>
    <w:p w14:paraId="7957EB7A" w14:textId="6D19F11B" w:rsidR="005B005E" w:rsidRDefault="005B005E" w:rsidP="00FC657E"/>
    <w:p w14:paraId="14C83711" w14:textId="77777777" w:rsidR="005B005E" w:rsidRPr="00EB388D" w:rsidRDefault="005B005E" w:rsidP="00312B4B">
      <w:pPr>
        <w:pStyle w:val="Heading1"/>
      </w:pPr>
      <w:r w:rsidRPr="00EB388D">
        <w:t>Cross-link interference</w:t>
      </w:r>
    </w:p>
    <w:p w14:paraId="2C63625A" w14:textId="2693F111" w:rsidR="005B005E" w:rsidRDefault="005B005E" w:rsidP="005B005E">
      <w:pPr>
        <w:rPr>
          <w:rFonts w:eastAsia="SimSun"/>
          <w:b/>
        </w:rPr>
      </w:pPr>
      <w:r>
        <w:rPr>
          <w:rFonts w:eastAsia="SimSun"/>
        </w:rPr>
        <w:t xml:space="preserve">CLI has been discussed in the context of IAB in the previous RAN meetings, and some high-level aspects are identified for further study. </w:t>
      </w:r>
    </w:p>
    <w:p w14:paraId="7BC0DD20" w14:textId="5584ECE3" w:rsidR="005B005E" w:rsidRDefault="005B005E" w:rsidP="005B005E">
      <w:pPr>
        <w:rPr>
          <w:rFonts w:eastAsia="SimSun"/>
        </w:rPr>
      </w:pPr>
      <w:r>
        <w:rPr>
          <w:rFonts w:eastAsia="SimSun"/>
        </w:rPr>
        <w:t xml:space="preserve">We note that the interference </w:t>
      </w:r>
      <w:r w:rsidR="00EA161A">
        <w:rPr>
          <w:rFonts w:eastAsia="SimSun"/>
        </w:rPr>
        <w:t xml:space="preserve">scenarios showing up in IAB </w:t>
      </w:r>
      <w:r>
        <w:rPr>
          <w:rFonts w:eastAsia="SimSun"/>
        </w:rPr>
        <w:t>are like the scenarios that may happen in the access network – e.g. UL-to-DL and DL-to-UL cross-link interference due to flexible TDD, or UL-to-UL and DL-to-DL inter-cell interference. There is no interference scenario specific to IAB, hence common CLI management techniques (RS design, measurements, and coordination) should be adopted for both access and backhaul networks. We further notice that the RAN plenary has agreed to a new work item (WI) for CLI – to start in January 2019. Therefore, it is more natural to have a unified CLI design to be worked out during the CLI WI.</w:t>
      </w:r>
    </w:p>
    <w:p w14:paraId="190EE51B" w14:textId="711B97B5" w:rsidR="005B005E" w:rsidRDefault="00013058" w:rsidP="005B005E">
      <w:pPr>
        <w:rPr>
          <w:rFonts w:eastAsia="SimSun"/>
        </w:rPr>
      </w:pPr>
      <w:r>
        <w:rPr>
          <w:rFonts w:eastAsia="SimSun"/>
        </w:rPr>
        <w:t xml:space="preserve">In [3], </w:t>
      </w:r>
      <w:r w:rsidR="005B005E">
        <w:rPr>
          <w:rFonts w:eastAsia="SimSun"/>
        </w:rPr>
        <w:t>we investigate</w:t>
      </w:r>
      <w:r>
        <w:rPr>
          <w:rFonts w:eastAsia="SimSun"/>
        </w:rPr>
        <w:t>d</w:t>
      </w:r>
      <w:r w:rsidR="005B005E">
        <w:rPr>
          <w:rFonts w:eastAsia="SimSun"/>
        </w:rPr>
        <w:t xml:space="preserve"> </w:t>
      </w:r>
      <w:r>
        <w:rPr>
          <w:rFonts w:eastAsia="SimSun"/>
        </w:rPr>
        <w:t xml:space="preserve">some </w:t>
      </w:r>
      <w:r w:rsidR="005B005E">
        <w:rPr>
          <w:rFonts w:eastAsia="SimSun"/>
        </w:rPr>
        <w:t xml:space="preserve">worst-case </w:t>
      </w:r>
      <w:r>
        <w:rPr>
          <w:rFonts w:eastAsia="SimSun"/>
        </w:rPr>
        <w:t xml:space="preserve">BH interference </w:t>
      </w:r>
      <w:r w:rsidR="005B005E">
        <w:rPr>
          <w:rFonts w:eastAsia="SimSun"/>
        </w:rPr>
        <w:t>scenarios</w:t>
      </w:r>
      <w:r>
        <w:rPr>
          <w:rFonts w:eastAsia="SimSun"/>
        </w:rPr>
        <w:t xml:space="preserve"> in a homogenous </w:t>
      </w:r>
      <w:r w:rsidR="003A4163">
        <w:rPr>
          <w:rFonts w:eastAsia="SimSun"/>
        </w:rPr>
        <w:t>network and</w:t>
      </w:r>
      <w:r>
        <w:rPr>
          <w:rFonts w:eastAsia="SimSun"/>
        </w:rPr>
        <w:t xml:space="preserve"> observed although there could be a few dB reduction in S(I)NR due to BH-to-BH interference, the impact on the end-to-end performance could be marginal due to </w:t>
      </w:r>
      <w:r w:rsidR="004555F9">
        <w:rPr>
          <w:rFonts w:eastAsia="SimSun"/>
        </w:rPr>
        <w:t xml:space="preserve">still </w:t>
      </w:r>
      <w:r>
        <w:rPr>
          <w:rFonts w:eastAsia="SimSun"/>
        </w:rPr>
        <w:t xml:space="preserve">relatively high SINR values. </w:t>
      </w:r>
      <w:r w:rsidR="005B005E">
        <w:rPr>
          <w:rFonts w:eastAsia="SimSun"/>
        </w:rPr>
        <w:t>We also note</w:t>
      </w:r>
      <w:r>
        <w:rPr>
          <w:rFonts w:eastAsia="SimSun"/>
        </w:rPr>
        <w:t>d</w:t>
      </w:r>
      <w:r w:rsidR="005B005E">
        <w:rPr>
          <w:rFonts w:eastAsia="SimSun"/>
        </w:rPr>
        <w:t xml:space="preserve"> that BH interference can be rectified to some extent in </w:t>
      </w:r>
      <w:r w:rsidR="005B005E" w:rsidRPr="00A712D5">
        <w:rPr>
          <w:rFonts w:eastAsia="SimSun"/>
          <w:b/>
        </w:rPr>
        <w:t>IAB topology management</w:t>
      </w:r>
      <w:r w:rsidR="005B005E">
        <w:rPr>
          <w:rFonts w:eastAsia="SimSun"/>
        </w:rPr>
        <w:t xml:space="preserve"> (i.e. establishing BH links that create less cross-interference) and </w:t>
      </w:r>
      <w:r w:rsidR="005B005E" w:rsidRPr="00A712D5">
        <w:rPr>
          <w:rFonts w:eastAsia="SimSun"/>
          <w:b/>
        </w:rPr>
        <w:t>resource allocation</w:t>
      </w:r>
      <w:r w:rsidR="005B005E">
        <w:rPr>
          <w:rFonts w:eastAsia="SimSun"/>
        </w:rPr>
        <w:t xml:space="preserve"> (i.e. allocating orthogonal resources to the interfering links). Any further improvement through </w:t>
      </w:r>
      <w:r w:rsidR="005B005E" w:rsidRPr="00A712D5">
        <w:rPr>
          <w:rFonts w:eastAsia="SimSun"/>
          <w:b/>
        </w:rPr>
        <w:t>scheduling coordination</w:t>
      </w:r>
      <w:r w:rsidR="004555F9">
        <w:rPr>
          <w:rFonts w:eastAsia="SimSun"/>
        </w:rPr>
        <w:t xml:space="preserve"> may be </w:t>
      </w:r>
      <w:r w:rsidR="005B005E">
        <w:rPr>
          <w:rFonts w:eastAsia="SimSun"/>
        </w:rPr>
        <w:t xml:space="preserve">marginal. </w:t>
      </w:r>
    </w:p>
    <w:p w14:paraId="2A22F988" w14:textId="2A3DDDE4" w:rsidR="005B005E" w:rsidRDefault="005B005E" w:rsidP="005B005E">
      <w:pPr>
        <w:rPr>
          <w:rFonts w:eastAsia="Arial"/>
          <w:b/>
        </w:rPr>
      </w:pPr>
      <w:r>
        <w:rPr>
          <w:rFonts w:eastAsia="Arial"/>
          <w:b/>
        </w:rPr>
        <w:t>Observation</w:t>
      </w:r>
      <w:r w:rsidRPr="00707A3D">
        <w:rPr>
          <w:rFonts w:eastAsia="Arial"/>
          <w:b/>
        </w:rPr>
        <w:t xml:space="preserve"> </w:t>
      </w:r>
      <w:r>
        <w:rPr>
          <w:rFonts w:eastAsia="Arial"/>
          <w:b/>
        </w:rPr>
        <w:t>7.</w:t>
      </w:r>
      <w:r w:rsidR="00013058">
        <w:rPr>
          <w:rFonts w:eastAsia="Arial"/>
          <w:b/>
        </w:rPr>
        <w:t>1</w:t>
      </w:r>
      <w:r>
        <w:rPr>
          <w:rFonts w:eastAsia="Arial"/>
          <w:b/>
        </w:rPr>
        <w:t xml:space="preserve">: IAB CLI scenarios are very similar to cross-link (in flexible TDD) and inter-cell interference scenarios in the access network.  </w:t>
      </w:r>
    </w:p>
    <w:p w14:paraId="1ACB9D11" w14:textId="2276407B" w:rsidR="005B005E" w:rsidRDefault="005B005E" w:rsidP="005B005E">
      <w:pPr>
        <w:rPr>
          <w:rFonts w:eastAsia="Arial"/>
          <w:b/>
        </w:rPr>
      </w:pPr>
      <w:r>
        <w:rPr>
          <w:rFonts w:eastAsia="Arial"/>
          <w:b/>
        </w:rPr>
        <w:t>Proposal 7.1: IAB CLI study should be unified with other CLI scenarios and worked out in the CLI WI.</w:t>
      </w:r>
    </w:p>
    <w:p w14:paraId="2D94818E" w14:textId="4068DE01" w:rsidR="00013058" w:rsidRPr="00013058" w:rsidRDefault="00013058" w:rsidP="00013058">
      <w:pPr>
        <w:pStyle w:val="ListParagraph"/>
        <w:numPr>
          <w:ilvl w:val="0"/>
          <w:numId w:val="8"/>
        </w:numPr>
        <w:ind w:firstLineChars="0"/>
        <w:rPr>
          <w:rFonts w:eastAsia="Arial"/>
          <w:b/>
        </w:rPr>
      </w:pPr>
      <w:r>
        <w:rPr>
          <w:rFonts w:eastAsia="Arial"/>
          <w:b/>
        </w:rPr>
        <w:t xml:space="preserve">IAB SI should identify IAB-specific aspects of CLI and provide an input to CLI WI to investigate such aspects. </w:t>
      </w:r>
    </w:p>
    <w:p w14:paraId="17438814" w14:textId="77777777" w:rsidR="005B005E" w:rsidRDefault="005B005E" w:rsidP="00FC657E"/>
    <w:p w14:paraId="6B09DBFC" w14:textId="44FBD423" w:rsidR="00F74044" w:rsidRPr="004D1C58" w:rsidRDefault="000679EC" w:rsidP="00312B4B">
      <w:pPr>
        <w:pStyle w:val="Heading1"/>
      </w:pPr>
      <w:r>
        <w:t>Link ma</w:t>
      </w:r>
      <w:r w:rsidR="0003712E">
        <w:t>nagement</w:t>
      </w:r>
    </w:p>
    <w:p w14:paraId="74AAA466" w14:textId="4D92D89B" w:rsidR="001D5B3E" w:rsidRDefault="001D5B3E" w:rsidP="00FC657E">
      <w:r>
        <w:t>RAN1 #9</w:t>
      </w:r>
      <w:r w:rsidR="000679EC">
        <w:t>4</w:t>
      </w:r>
      <w:r w:rsidR="00C31678">
        <w:t xml:space="preserve"> agreed to further study </w:t>
      </w:r>
      <w:r w:rsidR="006A789F">
        <w:t xml:space="preserve">enhancements to beam management procedures to minimize </w:t>
      </w:r>
      <w:r w:rsidR="004F7027">
        <w:t>backhaul</w:t>
      </w:r>
      <w:r w:rsidR="006A789F">
        <w:t xml:space="preserve"> link outages. Further to that it was agreed to evaluate the need for mechanisms within RAN1 scope for sending to children nodes an indication of backhaul link conditions upstream to minimize impact of a potential backhaul loss if it were to occur (see section </w:t>
      </w:r>
      <w:r w:rsidR="006A789F">
        <w:fldChar w:fldCharType="begin"/>
      </w:r>
      <w:r w:rsidR="006A789F">
        <w:instrText xml:space="preserve"> REF _Ref528830947 \r \h </w:instrText>
      </w:r>
      <w:r w:rsidR="006A789F">
        <w:fldChar w:fldCharType="separate"/>
      </w:r>
      <w:r w:rsidR="00E050EE">
        <w:t>11.6.1</w:t>
      </w:r>
      <w:r w:rsidR="006A789F">
        <w:fldChar w:fldCharType="end"/>
      </w:r>
      <w:r w:rsidR="006A789F">
        <w:t>).</w:t>
      </w:r>
    </w:p>
    <w:p w14:paraId="0ECD5614" w14:textId="3F9D7D13" w:rsidR="006852A1" w:rsidRPr="006A2247" w:rsidRDefault="006A2247" w:rsidP="00312B4B">
      <w:pPr>
        <w:pStyle w:val="Heading2"/>
        <w:spacing w:after="240"/>
        <w:rPr>
          <w:sz w:val="28"/>
        </w:rPr>
      </w:pPr>
      <w:r w:rsidRPr="006A2247">
        <w:rPr>
          <w:sz w:val="28"/>
        </w:rPr>
        <w:t xml:space="preserve"> </w:t>
      </w:r>
      <w:r w:rsidR="006852A1" w:rsidRPr="006A2247">
        <w:rPr>
          <w:sz w:val="28"/>
        </w:rPr>
        <w:t xml:space="preserve">Beam </w:t>
      </w:r>
      <w:r w:rsidR="003A4163" w:rsidRPr="006A2247">
        <w:rPr>
          <w:sz w:val="28"/>
        </w:rPr>
        <w:t>failure</w:t>
      </w:r>
      <w:r w:rsidR="006852A1" w:rsidRPr="006A2247">
        <w:rPr>
          <w:sz w:val="28"/>
        </w:rPr>
        <w:t xml:space="preserve"> recovery and RLF</w:t>
      </w:r>
    </w:p>
    <w:p w14:paraId="5945881D" w14:textId="7EC829D0" w:rsidR="003C1489" w:rsidRDefault="003C1489" w:rsidP="00BA76E8">
      <w:pPr>
        <w:rPr>
          <w:lang w:val="en-GB"/>
        </w:rPr>
      </w:pPr>
      <w:r w:rsidRPr="003C1489">
        <w:rPr>
          <w:lang w:val="en-GB"/>
        </w:rPr>
        <w:lastRenderedPageBreak/>
        <w:t xml:space="preserve">In </w:t>
      </w:r>
      <w:r>
        <w:rPr>
          <w:lang w:val="en-GB"/>
        </w:rPr>
        <w:t xml:space="preserve">Rel-15, RLF is declared after </w:t>
      </w:r>
      <w:r w:rsidR="00BB17E6">
        <w:rPr>
          <w:lang w:val="en-GB"/>
        </w:rPr>
        <w:t xml:space="preserve">N310 consecutive OOS are detected and T310 timer runs for the configured time without receiving N311 consecutive IS indications. </w:t>
      </w:r>
      <w:r w:rsidR="00B27082">
        <w:rPr>
          <w:lang w:val="en-GB"/>
        </w:rPr>
        <w:fldChar w:fldCharType="begin"/>
      </w:r>
      <w:r w:rsidR="00B27082">
        <w:rPr>
          <w:lang w:val="en-GB"/>
        </w:rPr>
        <w:instrText xml:space="preserve"> REF _Ref521695041 \h </w:instrText>
      </w:r>
      <w:r w:rsidR="00B27082">
        <w:rPr>
          <w:lang w:val="en-GB"/>
        </w:rPr>
      </w:r>
      <w:r w:rsidR="00B27082">
        <w:rPr>
          <w:lang w:val="en-GB"/>
        </w:rPr>
        <w:fldChar w:fldCharType="separate"/>
      </w:r>
      <w:r w:rsidR="00E050EE">
        <w:t xml:space="preserve">Figure </w:t>
      </w:r>
      <w:r w:rsidR="00E050EE">
        <w:rPr>
          <w:noProof/>
        </w:rPr>
        <w:t>5</w:t>
      </w:r>
      <w:r w:rsidR="00B27082">
        <w:rPr>
          <w:lang w:val="en-GB"/>
        </w:rPr>
        <w:fldChar w:fldCharType="end"/>
      </w:r>
      <w:r w:rsidR="00BB17E6">
        <w:rPr>
          <w:lang w:val="en-GB"/>
        </w:rPr>
        <w:t xml:space="preserve"> </w:t>
      </w:r>
      <w:r w:rsidR="00B27082">
        <w:rPr>
          <w:lang w:val="en-GB"/>
        </w:rPr>
        <w:t xml:space="preserve">and </w:t>
      </w:r>
      <w:r w:rsidR="00B27082">
        <w:rPr>
          <w:lang w:val="en-GB"/>
        </w:rPr>
        <w:fldChar w:fldCharType="begin"/>
      </w:r>
      <w:r w:rsidR="00B27082">
        <w:rPr>
          <w:lang w:val="en-GB"/>
        </w:rPr>
        <w:instrText xml:space="preserve"> REF _Ref521695155 \h </w:instrText>
      </w:r>
      <w:r w:rsidR="00B27082">
        <w:rPr>
          <w:lang w:val="en-GB"/>
        </w:rPr>
      </w:r>
      <w:r w:rsidR="00B27082">
        <w:rPr>
          <w:lang w:val="en-GB"/>
        </w:rPr>
        <w:fldChar w:fldCharType="separate"/>
      </w:r>
      <w:r w:rsidR="00E050EE">
        <w:t xml:space="preserve">Figure </w:t>
      </w:r>
      <w:r w:rsidR="00E050EE">
        <w:rPr>
          <w:noProof/>
        </w:rPr>
        <w:t>6</w:t>
      </w:r>
      <w:r w:rsidR="00B27082">
        <w:rPr>
          <w:lang w:val="en-GB"/>
        </w:rPr>
        <w:fldChar w:fldCharType="end"/>
      </w:r>
      <w:r w:rsidR="00B27082">
        <w:rPr>
          <w:lang w:val="en-GB"/>
        </w:rPr>
        <w:t xml:space="preserve"> </w:t>
      </w:r>
      <w:r w:rsidR="00BB17E6">
        <w:rPr>
          <w:lang w:val="en-GB"/>
        </w:rPr>
        <w:t>show the detection of RLF and recovery before RLF.</w:t>
      </w:r>
    </w:p>
    <w:p w14:paraId="33BB2D68" w14:textId="77777777" w:rsidR="00B27082" w:rsidRDefault="00BB17E6" w:rsidP="00B27082">
      <w:pPr>
        <w:keepNext/>
        <w:jc w:val="center"/>
      </w:pPr>
      <w:r>
        <w:rPr>
          <w:noProof/>
          <w:lang w:val="en-GB"/>
        </w:rPr>
        <w:drawing>
          <wp:inline distT="0" distB="0" distL="0" distR="0" wp14:anchorId="0360FFBA" wp14:editId="6524E105">
            <wp:extent cx="4876800" cy="124203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LF_Start.png"/>
                    <pic:cNvPicPr/>
                  </pic:nvPicPr>
                  <pic:blipFill>
                    <a:blip r:embed="rId18">
                      <a:extLst>
                        <a:ext uri="{28A0092B-C50C-407E-A947-70E740481C1C}">
                          <a14:useLocalDpi xmlns:a14="http://schemas.microsoft.com/office/drawing/2010/main" val="0"/>
                        </a:ext>
                      </a:extLst>
                    </a:blip>
                    <a:stretch>
                      <a:fillRect/>
                    </a:stretch>
                  </pic:blipFill>
                  <pic:spPr>
                    <a:xfrm>
                      <a:off x="0" y="0"/>
                      <a:ext cx="4886896" cy="1244603"/>
                    </a:xfrm>
                    <a:prstGeom prst="rect">
                      <a:avLst/>
                    </a:prstGeom>
                  </pic:spPr>
                </pic:pic>
              </a:graphicData>
            </a:graphic>
          </wp:inline>
        </w:drawing>
      </w:r>
    </w:p>
    <w:p w14:paraId="599B3140" w14:textId="656C0985" w:rsidR="00BB17E6" w:rsidRDefault="00B27082" w:rsidP="00B27082">
      <w:pPr>
        <w:pStyle w:val="Caption"/>
        <w:jc w:val="center"/>
      </w:pPr>
      <w:bookmarkStart w:id="16" w:name="_Ref521695041"/>
      <w:r>
        <w:t xml:space="preserve">Figure </w:t>
      </w:r>
      <w:r w:rsidR="00B366BA">
        <w:rPr>
          <w:noProof/>
        </w:rPr>
        <w:fldChar w:fldCharType="begin"/>
      </w:r>
      <w:r w:rsidR="00B366BA">
        <w:rPr>
          <w:noProof/>
        </w:rPr>
        <w:instrText xml:space="preserve"> SEQ Figure \* ARABIC </w:instrText>
      </w:r>
      <w:r w:rsidR="00B366BA">
        <w:rPr>
          <w:noProof/>
        </w:rPr>
        <w:fldChar w:fldCharType="separate"/>
      </w:r>
      <w:r w:rsidR="00E050EE">
        <w:rPr>
          <w:noProof/>
        </w:rPr>
        <w:t>5</w:t>
      </w:r>
      <w:r w:rsidR="00B366BA">
        <w:rPr>
          <w:noProof/>
        </w:rPr>
        <w:fldChar w:fldCharType="end"/>
      </w:r>
      <w:bookmarkEnd w:id="16"/>
      <w:r>
        <w:t>:Detection of RLF</w:t>
      </w:r>
    </w:p>
    <w:p w14:paraId="0E6E36E6" w14:textId="77777777" w:rsidR="00B27082" w:rsidRPr="00B27082" w:rsidRDefault="00B27082" w:rsidP="00B27082"/>
    <w:p w14:paraId="6F049085" w14:textId="77777777" w:rsidR="00B27082" w:rsidRDefault="00BB17E6" w:rsidP="00B27082">
      <w:pPr>
        <w:keepNext/>
        <w:jc w:val="center"/>
      </w:pPr>
      <w:r>
        <w:rPr>
          <w:noProof/>
          <w:lang w:val="en-GB"/>
        </w:rPr>
        <w:drawing>
          <wp:inline distT="0" distB="0" distL="0" distR="0" wp14:anchorId="6F468BB7" wp14:editId="7E7140F2">
            <wp:extent cx="4867275" cy="1296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LF_Stop.png"/>
                    <pic:cNvPicPr/>
                  </pic:nvPicPr>
                  <pic:blipFill>
                    <a:blip r:embed="rId19">
                      <a:extLst>
                        <a:ext uri="{28A0092B-C50C-407E-A947-70E740481C1C}">
                          <a14:useLocalDpi xmlns:a14="http://schemas.microsoft.com/office/drawing/2010/main" val="0"/>
                        </a:ext>
                      </a:extLst>
                    </a:blip>
                    <a:stretch>
                      <a:fillRect/>
                    </a:stretch>
                  </pic:blipFill>
                  <pic:spPr>
                    <a:xfrm>
                      <a:off x="0" y="0"/>
                      <a:ext cx="4868188" cy="1296318"/>
                    </a:xfrm>
                    <a:prstGeom prst="rect">
                      <a:avLst/>
                    </a:prstGeom>
                  </pic:spPr>
                </pic:pic>
              </a:graphicData>
            </a:graphic>
          </wp:inline>
        </w:drawing>
      </w:r>
    </w:p>
    <w:p w14:paraId="166A6AF6" w14:textId="39FF9BBE" w:rsidR="00BB17E6" w:rsidRDefault="00B27082" w:rsidP="00B27082">
      <w:pPr>
        <w:pStyle w:val="Caption"/>
        <w:jc w:val="center"/>
        <w:rPr>
          <w:lang w:val="en-GB"/>
        </w:rPr>
      </w:pPr>
      <w:bookmarkStart w:id="17" w:name="_Ref521695155"/>
      <w:r>
        <w:t xml:space="preserve">Figure </w:t>
      </w:r>
      <w:r w:rsidR="00B366BA">
        <w:rPr>
          <w:noProof/>
        </w:rPr>
        <w:fldChar w:fldCharType="begin"/>
      </w:r>
      <w:r w:rsidR="00B366BA">
        <w:rPr>
          <w:noProof/>
        </w:rPr>
        <w:instrText xml:space="preserve"> SEQ Figure \* ARABIC </w:instrText>
      </w:r>
      <w:r w:rsidR="00B366BA">
        <w:rPr>
          <w:noProof/>
        </w:rPr>
        <w:fldChar w:fldCharType="separate"/>
      </w:r>
      <w:r w:rsidR="00E050EE">
        <w:rPr>
          <w:noProof/>
        </w:rPr>
        <w:t>6</w:t>
      </w:r>
      <w:r w:rsidR="00B366BA">
        <w:rPr>
          <w:noProof/>
        </w:rPr>
        <w:fldChar w:fldCharType="end"/>
      </w:r>
      <w:bookmarkEnd w:id="17"/>
      <w:r>
        <w:t>: Recovery before declaring RLF</w:t>
      </w:r>
    </w:p>
    <w:p w14:paraId="2D0DFF26" w14:textId="22F889C2" w:rsidR="00BB17E6" w:rsidRPr="00BB17E6" w:rsidRDefault="00BB17E6" w:rsidP="00BB17E6">
      <w:pPr>
        <w:rPr>
          <w:lang w:val="en-GB"/>
        </w:rPr>
      </w:pPr>
      <w:r>
        <w:rPr>
          <w:lang w:val="en-GB"/>
        </w:rPr>
        <w:t>Note that, in Rel-15, failure of beam recovery procedure leads to RLF declaration. But success of beam recovery procedure does not impact RLF procedure.</w:t>
      </w:r>
    </w:p>
    <w:p w14:paraId="70C0721D" w14:textId="78C6A024" w:rsidR="00BA76E8" w:rsidRPr="00BA6356" w:rsidRDefault="00BA76E8" w:rsidP="00BA76E8">
      <w:pPr>
        <w:rPr>
          <w:b/>
        </w:rPr>
      </w:pPr>
      <w:bookmarkStart w:id="18" w:name="_Hlk525741888"/>
      <w:r w:rsidRPr="0003712E">
        <w:rPr>
          <w:b/>
          <w:lang w:val="en-GB"/>
        </w:rPr>
        <w:t>Observation</w:t>
      </w:r>
      <w:r w:rsidR="00022F63">
        <w:rPr>
          <w:b/>
          <w:lang w:val="en-GB"/>
        </w:rPr>
        <w:t xml:space="preserve"> </w:t>
      </w:r>
      <w:r w:rsidR="0003712E" w:rsidRPr="0003712E">
        <w:rPr>
          <w:b/>
          <w:lang w:val="en-GB"/>
        </w:rPr>
        <w:t>8</w:t>
      </w:r>
      <w:r w:rsidR="00D406D8" w:rsidRPr="0003712E">
        <w:rPr>
          <w:b/>
          <w:lang w:val="en-GB"/>
        </w:rPr>
        <w:t>.1</w:t>
      </w:r>
      <w:r w:rsidRPr="0003712E">
        <w:rPr>
          <w:b/>
          <w:lang w:val="en-GB"/>
        </w:rPr>
        <w:t>:</w:t>
      </w:r>
      <w:r w:rsidRPr="00BA6356">
        <w:rPr>
          <w:b/>
          <w:lang w:val="en-GB"/>
        </w:rPr>
        <w:t xml:space="preserve"> In Rel-15,</w:t>
      </w:r>
      <w:r w:rsidRPr="00BA6356">
        <w:rPr>
          <w:rFonts w:hAnsi="Microsoft Sans Serif"/>
          <w:b/>
          <w:color w:val="262626" w:themeColor="text1" w:themeTint="D9"/>
          <w:kern w:val="24"/>
          <w:sz w:val="36"/>
          <w:szCs w:val="36"/>
        </w:rPr>
        <w:t xml:space="preserve"> </w:t>
      </w:r>
      <w:r w:rsidR="006A2247">
        <w:rPr>
          <w:b/>
        </w:rPr>
        <w:t xml:space="preserve">RLF is declared after </w:t>
      </w:r>
      <w:r w:rsidR="00BB17E6">
        <w:rPr>
          <w:b/>
        </w:rPr>
        <w:t xml:space="preserve">N310 </w:t>
      </w:r>
      <w:r w:rsidRPr="00BA6356">
        <w:rPr>
          <w:b/>
        </w:rPr>
        <w:t>consecutive OOS are detected and T310 timer runs for the configured time without receiving N311 consecutive IS indications.</w:t>
      </w:r>
    </w:p>
    <w:p w14:paraId="21E6BF11" w14:textId="77777777" w:rsidR="00BA76E8" w:rsidRDefault="00BA76E8" w:rsidP="009C7DF5">
      <w:pPr>
        <w:pStyle w:val="ListParagraph"/>
        <w:numPr>
          <w:ilvl w:val="0"/>
          <w:numId w:val="7"/>
        </w:numPr>
        <w:ind w:firstLineChars="0"/>
        <w:rPr>
          <w:b/>
        </w:rPr>
      </w:pPr>
      <w:r w:rsidRPr="00BA6356">
        <w:rPr>
          <w:b/>
        </w:rPr>
        <w:t xml:space="preserve">In Rel-15, failure of beam recovery procedure leads to RLF declaration. </w:t>
      </w:r>
    </w:p>
    <w:p w14:paraId="2C3CC4D2" w14:textId="00DE2F41" w:rsidR="00BA76E8" w:rsidRPr="00BA6356" w:rsidRDefault="00BA76E8" w:rsidP="009C7DF5">
      <w:pPr>
        <w:pStyle w:val="ListParagraph"/>
        <w:numPr>
          <w:ilvl w:val="0"/>
          <w:numId w:val="7"/>
        </w:numPr>
        <w:ind w:firstLineChars="0"/>
        <w:rPr>
          <w:b/>
        </w:rPr>
      </w:pPr>
      <w:r>
        <w:rPr>
          <w:b/>
        </w:rPr>
        <w:t xml:space="preserve">In Rel-15, </w:t>
      </w:r>
      <w:r w:rsidR="006A2247">
        <w:rPr>
          <w:b/>
        </w:rPr>
        <w:t>s</w:t>
      </w:r>
      <w:r w:rsidRPr="00BA6356">
        <w:rPr>
          <w:b/>
        </w:rPr>
        <w:t>uccess of beam recovery procedure does not impact RLF procedure.</w:t>
      </w:r>
    </w:p>
    <w:bookmarkEnd w:id="18"/>
    <w:p w14:paraId="407B0B36" w14:textId="77777777" w:rsidR="006A2247" w:rsidRDefault="006A2247" w:rsidP="00BA76E8"/>
    <w:p w14:paraId="5B2E6766" w14:textId="17D42423" w:rsidR="00BB17E6" w:rsidRDefault="00BB17E6" w:rsidP="00BA76E8">
      <w:r w:rsidRPr="00BB17E6">
        <w:t>No</w:t>
      </w:r>
      <w:r>
        <w:t>w, radio link monitoring signals (used for declaring/stopping RLF) and candidate beam reference signals (used to convey beam failure recovery) can be different. Communication can happen via candidate beam reference signal even if radio link monitoring reference signals fail.</w:t>
      </w:r>
    </w:p>
    <w:p w14:paraId="55084C04" w14:textId="04D1D080" w:rsidR="00BB17E6" w:rsidRPr="00BB17E6" w:rsidRDefault="00BB17E6" w:rsidP="00BA76E8">
      <w:r>
        <w:t xml:space="preserve">Compared to access UE, declaring RLF is </w:t>
      </w:r>
      <w:r w:rsidR="003A4163">
        <w:t>costlier</w:t>
      </w:r>
      <w:r>
        <w:t xml:space="preserve"> for an IAB MT node. The corresponding IAB DU will have to release all resources of its child nodes. Hence, declaring RLF while the beam recovery procedure becomes successful, is undesirable.</w:t>
      </w:r>
    </w:p>
    <w:p w14:paraId="3257775E" w14:textId="69943478" w:rsidR="00BA76E8" w:rsidRPr="00BA6356" w:rsidRDefault="00BA76E8" w:rsidP="00BA76E8">
      <w:pPr>
        <w:rPr>
          <w:b/>
        </w:rPr>
      </w:pPr>
      <w:bookmarkStart w:id="19" w:name="_Hlk525741894"/>
      <w:r w:rsidRPr="0003712E">
        <w:rPr>
          <w:b/>
        </w:rPr>
        <w:t xml:space="preserve">Observation </w:t>
      </w:r>
      <w:r w:rsidR="0003712E">
        <w:rPr>
          <w:b/>
        </w:rPr>
        <w:t>8</w:t>
      </w:r>
      <w:r w:rsidR="00D406D8" w:rsidRPr="0003712E">
        <w:rPr>
          <w:b/>
        </w:rPr>
        <w:t>.2</w:t>
      </w:r>
      <w:r w:rsidRPr="0003712E">
        <w:rPr>
          <w:b/>
        </w:rPr>
        <w:t>:</w:t>
      </w:r>
      <w:r w:rsidRPr="00BA6356">
        <w:rPr>
          <w:b/>
        </w:rPr>
        <w:t xml:space="preserve"> Radio link monitoring and candidate beam reference signals can be different.</w:t>
      </w:r>
    </w:p>
    <w:p w14:paraId="608B2B23" w14:textId="77777777" w:rsidR="00BA76E8" w:rsidRPr="00BA6356" w:rsidRDefault="00BA76E8" w:rsidP="009C7DF5">
      <w:pPr>
        <w:pStyle w:val="ListParagraph"/>
        <w:numPr>
          <w:ilvl w:val="0"/>
          <w:numId w:val="7"/>
        </w:numPr>
        <w:ind w:firstLineChars="0"/>
        <w:rPr>
          <w:b/>
        </w:rPr>
      </w:pPr>
      <w:r w:rsidRPr="00BA6356">
        <w:rPr>
          <w:b/>
        </w:rPr>
        <w:t>Communication can happen via candidate beam reference signal even if radio link monitoring reference fail.</w:t>
      </w:r>
    </w:p>
    <w:p w14:paraId="5602BD53" w14:textId="34323539" w:rsidR="00BA76E8" w:rsidRPr="00BA6356" w:rsidRDefault="00BA76E8" w:rsidP="00BA76E8">
      <w:pPr>
        <w:rPr>
          <w:b/>
        </w:rPr>
      </w:pPr>
      <w:r w:rsidRPr="0003712E">
        <w:rPr>
          <w:b/>
        </w:rPr>
        <w:t xml:space="preserve">Observation </w:t>
      </w:r>
      <w:r w:rsidR="0003712E" w:rsidRPr="0003712E">
        <w:rPr>
          <w:b/>
        </w:rPr>
        <w:t>8</w:t>
      </w:r>
      <w:r w:rsidR="00D406D8" w:rsidRPr="0003712E">
        <w:rPr>
          <w:b/>
        </w:rPr>
        <w:t>.3</w:t>
      </w:r>
      <w:r w:rsidRPr="0003712E">
        <w:rPr>
          <w:b/>
        </w:rPr>
        <w:t>:</w:t>
      </w:r>
      <w:r w:rsidRPr="00BA6356">
        <w:rPr>
          <w:b/>
        </w:rPr>
        <w:t xml:space="preserve"> Declaring RLF is costly for an IAB </w:t>
      </w:r>
      <w:r w:rsidR="004555F9">
        <w:rPr>
          <w:b/>
        </w:rPr>
        <w:t xml:space="preserve">MT </w:t>
      </w:r>
      <w:r w:rsidRPr="00BA6356">
        <w:rPr>
          <w:b/>
        </w:rPr>
        <w:t>node.</w:t>
      </w:r>
    </w:p>
    <w:p w14:paraId="4225EA4D" w14:textId="77777777" w:rsidR="00BA76E8" w:rsidRDefault="00BA76E8" w:rsidP="009C7DF5">
      <w:pPr>
        <w:pStyle w:val="ListParagraph"/>
        <w:numPr>
          <w:ilvl w:val="0"/>
          <w:numId w:val="7"/>
        </w:numPr>
        <w:ind w:firstLineChars="0"/>
        <w:rPr>
          <w:b/>
        </w:rPr>
      </w:pPr>
      <w:r w:rsidRPr="00BA6356">
        <w:rPr>
          <w:b/>
        </w:rPr>
        <w:t>The corresponding IAB DU will have to release all resources of its child nodes.</w:t>
      </w:r>
    </w:p>
    <w:bookmarkEnd w:id="19"/>
    <w:p w14:paraId="77871309" w14:textId="03179543" w:rsidR="00BA76E8" w:rsidRDefault="00BB17E6" w:rsidP="00BF730E">
      <w:r w:rsidRPr="00BB17E6">
        <w:t>That</w:t>
      </w:r>
      <w:r w:rsidR="0003712E">
        <w:t xml:space="preserve"> is</w:t>
      </w:r>
      <w:r>
        <w:t xml:space="preserve"> why, success of beam recovery procedure should stop the </w:t>
      </w:r>
      <w:r w:rsidR="00FA495B">
        <w:t xml:space="preserve">T310 timer and prevent IAB </w:t>
      </w:r>
      <w:r w:rsidR="0003712E">
        <w:t>MT</w:t>
      </w:r>
      <w:r w:rsidR="00FA495B">
        <w:t xml:space="preserve"> to declare RLF. </w:t>
      </w:r>
      <w:r w:rsidR="006F509B">
        <w:fldChar w:fldCharType="begin"/>
      </w:r>
      <w:r w:rsidR="006F509B">
        <w:instrText xml:space="preserve"> REF _Ref521695248 \h </w:instrText>
      </w:r>
      <w:r w:rsidR="006F509B">
        <w:fldChar w:fldCharType="separate"/>
      </w:r>
      <w:r w:rsidR="00E050EE">
        <w:t xml:space="preserve">Figure </w:t>
      </w:r>
      <w:r w:rsidR="00E050EE">
        <w:rPr>
          <w:noProof/>
        </w:rPr>
        <w:t>7</w:t>
      </w:r>
      <w:r w:rsidR="006F509B">
        <w:fldChar w:fldCharType="end"/>
      </w:r>
      <w:r w:rsidR="00610624">
        <w:t xml:space="preserve"> shows how such a process may work. Here, T310 timer starts after the upper layer receives </w:t>
      </w:r>
      <w:r w:rsidR="00610624">
        <w:lastRenderedPageBreak/>
        <w:t xml:space="preserve">N310 number of consecutive OOS indications. While the timer is running, the </w:t>
      </w:r>
      <w:r w:rsidR="006A2247">
        <w:t xml:space="preserve">upper </w:t>
      </w:r>
      <w:r w:rsidR="00610624">
        <w:t xml:space="preserve">layer receives indication of beam failure recovery success from lower layer. Hence, without getting N311 number of consecutive IS indications, the T310 timer is stopped. </w:t>
      </w:r>
    </w:p>
    <w:p w14:paraId="27B6EEB8" w14:textId="77777777" w:rsidR="00610624" w:rsidRPr="00610624" w:rsidRDefault="00610624" w:rsidP="00610624">
      <w:pPr>
        <w:ind w:left="360"/>
      </w:pPr>
    </w:p>
    <w:p w14:paraId="2FFA1C5A" w14:textId="77777777" w:rsidR="00BF730E" w:rsidRDefault="00BA76E8" w:rsidP="00BF730E">
      <w:pPr>
        <w:keepNext/>
        <w:ind w:left="360"/>
      </w:pPr>
      <w:r>
        <w:rPr>
          <w:b/>
          <w:noProof/>
        </w:rPr>
        <w:drawing>
          <wp:inline distT="0" distB="0" distL="0" distR="0" wp14:anchorId="427115D2" wp14:editId="075EFAED">
            <wp:extent cx="5476875" cy="146748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LF_IS.png"/>
                    <pic:cNvPicPr/>
                  </pic:nvPicPr>
                  <pic:blipFill>
                    <a:blip r:embed="rId20">
                      <a:extLst>
                        <a:ext uri="{28A0092B-C50C-407E-A947-70E740481C1C}">
                          <a14:useLocalDpi xmlns:a14="http://schemas.microsoft.com/office/drawing/2010/main" val="0"/>
                        </a:ext>
                      </a:extLst>
                    </a:blip>
                    <a:stretch>
                      <a:fillRect/>
                    </a:stretch>
                  </pic:blipFill>
                  <pic:spPr>
                    <a:xfrm>
                      <a:off x="0" y="0"/>
                      <a:ext cx="5485735" cy="1469862"/>
                    </a:xfrm>
                    <a:prstGeom prst="rect">
                      <a:avLst/>
                    </a:prstGeom>
                  </pic:spPr>
                </pic:pic>
              </a:graphicData>
            </a:graphic>
          </wp:inline>
        </w:drawing>
      </w:r>
    </w:p>
    <w:p w14:paraId="13F24B44" w14:textId="0337D9F8" w:rsidR="00BA76E8" w:rsidRDefault="00BF730E" w:rsidP="00BF730E">
      <w:pPr>
        <w:pStyle w:val="Caption"/>
        <w:jc w:val="center"/>
        <w:rPr>
          <w:b w:val="0"/>
        </w:rPr>
      </w:pPr>
      <w:bookmarkStart w:id="20" w:name="_Ref521695248"/>
      <w:r>
        <w:t xml:space="preserve">Figure </w:t>
      </w:r>
      <w:r w:rsidR="00B366BA">
        <w:rPr>
          <w:noProof/>
        </w:rPr>
        <w:fldChar w:fldCharType="begin"/>
      </w:r>
      <w:r w:rsidR="00B366BA">
        <w:rPr>
          <w:noProof/>
        </w:rPr>
        <w:instrText xml:space="preserve"> SEQ Figure \* ARABIC </w:instrText>
      </w:r>
      <w:r w:rsidR="00B366BA">
        <w:rPr>
          <w:noProof/>
        </w:rPr>
        <w:fldChar w:fldCharType="separate"/>
      </w:r>
      <w:r w:rsidR="00E050EE">
        <w:rPr>
          <w:noProof/>
        </w:rPr>
        <w:t>7</w:t>
      </w:r>
      <w:r w:rsidR="00B366BA">
        <w:rPr>
          <w:noProof/>
        </w:rPr>
        <w:fldChar w:fldCharType="end"/>
      </w:r>
      <w:bookmarkEnd w:id="20"/>
      <w:r>
        <w:t>: Stopping of T310 timer based on success of beam failure recovery</w:t>
      </w:r>
    </w:p>
    <w:p w14:paraId="513E2115" w14:textId="5B7A6909" w:rsidR="00BA76E8" w:rsidRPr="00BA6356" w:rsidRDefault="00BA76E8" w:rsidP="00BA76E8">
      <w:pPr>
        <w:rPr>
          <w:b/>
          <w:lang w:val="en-GB"/>
        </w:rPr>
      </w:pPr>
      <w:bookmarkStart w:id="21" w:name="_Hlk525741901"/>
      <w:r w:rsidRPr="0003712E">
        <w:rPr>
          <w:b/>
          <w:lang w:val="en-GB"/>
        </w:rPr>
        <w:t>Proposal</w:t>
      </w:r>
      <w:r w:rsidR="006F509B" w:rsidRPr="0003712E">
        <w:rPr>
          <w:b/>
          <w:lang w:val="en-GB"/>
        </w:rPr>
        <w:t xml:space="preserve"> </w:t>
      </w:r>
      <w:r w:rsidR="0003712E" w:rsidRPr="0003712E">
        <w:rPr>
          <w:b/>
          <w:lang w:val="en-GB"/>
        </w:rPr>
        <w:t>8</w:t>
      </w:r>
      <w:r w:rsidR="006F509B" w:rsidRPr="0003712E">
        <w:rPr>
          <w:b/>
          <w:lang w:val="en-GB"/>
        </w:rPr>
        <w:t>.1</w:t>
      </w:r>
      <w:r w:rsidRPr="0003712E">
        <w:rPr>
          <w:b/>
          <w:lang w:val="en-GB"/>
        </w:rPr>
        <w:t>:</w:t>
      </w:r>
      <w:r w:rsidRPr="00BA6356">
        <w:rPr>
          <w:b/>
          <w:lang w:val="en-GB"/>
        </w:rPr>
        <w:t xml:space="preserve"> </w:t>
      </w:r>
      <w:r w:rsidR="00610624">
        <w:rPr>
          <w:b/>
          <w:lang w:val="en-GB"/>
        </w:rPr>
        <w:t>NR supports s</w:t>
      </w:r>
      <w:r w:rsidRPr="00BA6356">
        <w:rPr>
          <w:b/>
          <w:lang w:val="en-GB"/>
        </w:rPr>
        <w:t xml:space="preserve">uccess of beam recovery procedure </w:t>
      </w:r>
      <w:r w:rsidRPr="00BA6356">
        <w:rPr>
          <w:b/>
        </w:rPr>
        <w:t>stop</w:t>
      </w:r>
      <w:r w:rsidR="00610624">
        <w:rPr>
          <w:b/>
        </w:rPr>
        <w:t>ping</w:t>
      </w:r>
      <w:r w:rsidRPr="00BA6356">
        <w:rPr>
          <w:b/>
        </w:rPr>
        <w:t xml:space="preserve"> the T310 timer and prevent</w:t>
      </w:r>
      <w:r w:rsidR="00610624">
        <w:rPr>
          <w:b/>
        </w:rPr>
        <w:t>ing</w:t>
      </w:r>
      <w:r w:rsidR="00797750">
        <w:rPr>
          <w:b/>
        </w:rPr>
        <w:t xml:space="preserve"> the MT </w:t>
      </w:r>
      <w:r w:rsidRPr="00BA6356">
        <w:rPr>
          <w:b/>
        </w:rPr>
        <w:t>to declare RLF.</w:t>
      </w:r>
    </w:p>
    <w:bookmarkEnd w:id="21"/>
    <w:p w14:paraId="28917EF6" w14:textId="77777777" w:rsidR="00BA76E8" w:rsidRDefault="00BA76E8" w:rsidP="00FC657E"/>
    <w:p w14:paraId="26F6E0A7" w14:textId="72360DE8" w:rsidR="00243A02" w:rsidRPr="00FF17C7" w:rsidRDefault="00AC3BE4" w:rsidP="00312B4B">
      <w:pPr>
        <w:pStyle w:val="Heading2"/>
        <w:spacing w:after="240"/>
        <w:rPr>
          <w:sz w:val="28"/>
          <w:szCs w:val="28"/>
        </w:rPr>
      </w:pPr>
      <w:r w:rsidRPr="00FF17C7">
        <w:rPr>
          <w:sz w:val="28"/>
          <w:szCs w:val="28"/>
        </w:rPr>
        <w:t xml:space="preserve"> </w:t>
      </w:r>
      <w:r w:rsidR="00243A02" w:rsidRPr="00FF17C7">
        <w:rPr>
          <w:sz w:val="28"/>
          <w:szCs w:val="28"/>
        </w:rPr>
        <w:t>Faster beam switching</w:t>
      </w:r>
    </w:p>
    <w:p w14:paraId="46910BD9" w14:textId="41C006DB" w:rsidR="00243A02" w:rsidRDefault="00243A02" w:rsidP="00243A02">
      <w:r w:rsidRPr="003C1489">
        <w:rPr>
          <w:lang w:val="en-GB"/>
        </w:rPr>
        <w:t xml:space="preserve">In </w:t>
      </w:r>
      <w:r>
        <w:rPr>
          <w:lang w:val="en-GB"/>
        </w:rPr>
        <w:t xml:space="preserve">Rel-15, </w:t>
      </w:r>
      <w:r>
        <w:t xml:space="preserve">QCL indication is performed via a mixture of RRC, MAC-CE and DCI. While PDSCH QCL indication is performed via DCI, PDCCH QCL indication can be performed by only MAC-CE. MAC-CE based </w:t>
      </w:r>
      <w:r w:rsidR="003A4163">
        <w:t>signaling</w:t>
      </w:r>
      <w:r>
        <w:t xml:space="preserve"> of QCL indication for PDCCH suffers from increased latency, </w:t>
      </w:r>
      <w:r w:rsidR="003A4163">
        <w:t>considering</w:t>
      </w:r>
      <w:r>
        <w:t xml:space="preserve"> scheduling and processing latency of PDSCH and its possible re-transmissions. </w:t>
      </w:r>
    </w:p>
    <w:p w14:paraId="3FCE0B34" w14:textId="3F02E642" w:rsidR="00243A02" w:rsidRDefault="00243A02" w:rsidP="00243A02">
      <w:r>
        <w:t xml:space="preserve">As discussed </w:t>
      </w:r>
      <w:r w:rsidR="00781C86">
        <w:t>during</w:t>
      </w:r>
      <w:r>
        <w:t xml:space="preserve"> the </w:t>
      </w:r>
      <w:r w:rsidR="00781C86">
        <w:t>mentioned RAN1 94</w:t>
      </w:r>
      <w:r>
        <w:t xml:space="preserve"> agreement, faster beam switching is preferable for IAB. A DCI based indication of spatial QCL indication between DL RS antenna ports(s), (for example CSI-RS ports/SS Ports) and PDCCH DMRS ports can improve latency significantly compared to MAC-CE based signaling.</w:t>
      </w:r>
    </w:p>
    <w:p w14:paraId="6D4859AD" w14:textId="77777777" w:rsidR="00882741" w:rsidRPr="008E65C4" w:rsidRDefault="00882741" w:rsidP="00243A02"/>
    <w:p w14:paraId="5069C435" w14:textId="16BEB6BE" w:rsidR="001C7C55" w:rsidRDefault="00882741" w:rsidP="00393870">
      <w:pPr>
        <w:jc w:val="center"/>
      </w:pPr>
      <w:r>
        <w:rPr>
          <w:noProof/>
        </w:rPr>
        <w:drawing>
          <wp:inline distT="0" distB="0" distL="0" distR="0" wp14:anchorId="306B3B35" wp14:editId="337D8237">
            <wp:extent cx="3905250" cy="1903669"/>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33022" cy="1917207"/>
                    </a:xfrm>
                    <a:prstGeom prst="rect">
                      <a:avLst/>
                    </a:prstGeom>
                    <a:noFill/>
                  </pic:spPr>
                </pic:pic>
              </a:graphicData>
            </a:graphic>
          </wp:inline>
        </w:drawing>
      </w:r>
    </w:p>
    <w:p w14:paraId="7CD39277" w14:textId="0B4C9361" w:rsidR="001C7C55" w:rsidRDefault="001C7C55" w:rsidP="00393870">
      <w:pPr>
        <w:pStyle w:val="Caption"/>
        <w:jc w:val="center"/>
      </w:pPr>
      <w:r>
        <w:t xml:space="preserve">Figure </w:t>
      </w:r>
      <w:r w:rsidR="00B366BA">
        <w:rPr>
          <w:noProof/>
        </w:rPr>
        <w:fldChar w:fldCharType="begin"/>
      </w:r>
      <w:r w:rsidR="00B366BA">
        <w:rPr>
          <w:noProof/>
        </w:rPr>
        <w:instrText xml:space="preserve"> SEQ Figure \* ARABIC </w:instrText>
      </w:r>
      <w:r w:rsidR="00B366BA">
        <w:rPr>
          <w:noProof/>
        </w:rPr>
        <w:fldChar w:fldCharType="separate"/>
      </w:r>
      <w:r w:rsidR="00E050EE">
        <w:rPr>
          <w:noProof/>
        </w:rPr>
        <w:t>8</w:t>
      </w:r>
      <w:r w:rsidR="00B366BA">
        <w:rPr>
          <w:noProof/>
        </w:rPr>
        <w:fldChar w:fldCharType="end"/>
      </w:r>
      <w:r>
        <w:t>: MAC-CE based PDCCH beam switch</w:t>
      </w:r>
    </w:p>
    <w:p w14:paraId="2ED50FCF" w14:textId="77777777" w:rsidR="001C7C55" w:rsidRPr="00393870" w:rsidRDefault="001C7C55" w:rsidP="00393870"/>
    <w:p w14:paraId="4A954A4F" w14:textId="71BD21D9" w:rsidR="001C7C55" w:rsidRPr="008E65C4" w:rsidRDefault="00882741" w:rsidP="00393870">
      <w:pPr>
        <w:jc w:val="center"/>
      </w:pPr>
      <w:r>
        <w:rPr>
          <w:noProof/>
        </w:rPr>
        <w:lastRenderedPageBreak/>
        <w:drawing>
          <wp:inline distT="0" distB="0" distL="0" distR="0" wp14:anchorId="022EB446" wp14:editId="5067F3DB">
            <wp:extent cx="3810000" cy="187524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5626" cy="1878018"/>
                    </a:xfrm>
                    <a:prstGeom prst="rect">
                      <a:avLst/>
                    </a:prstGeom>
                    <a:noFill/>
                  </pic:spPr>
                </pic:pic>
              </a:graphicData>
            </a:graphic>
          </wp:inline>
        </w:drawing>
      </w:r>
    </w:p>
    <w:p w14:paraId="58E31A7F" w14:textId="50E9D867" w:rsidR="001C7C55" w:rsidRDefault="001C7C55" w:rsidP="00393870">
      <w:pPr>
        <w:pStyle w:val="Caption"/>
      </w:pPr>
      <w:bookmarkStart w:id="22" w:name="_Hlk525741912"/>
      <w:r>
        <w:rPr>
          <w:b w:val="0"/>
          <w:lang w:val="en-GB"/>
        </w:rPr>
        <w:tab/>
      </w:r>
      <w:r>
        <w:rPr>
          <w:b w:val="0"/>
          <w:lang w:val="en-GB"/>
        </w:rPr>
        <w:tab/>
      </w:r>
      <w:r>
        <w:rPr>
          <w:b w:val="0"/>
          <w:lang w:val="en-GB"/>
        </w:rPr>
        <w:tab/>
      </w:r>
      <w:r>
        <w:rPr>
          <w:b w:val="0"/>
          <w:lang w:val="en-GB"/>
        </w:rPr>
        <w:tab/>
      </w:r>
      <w:r>
        <w:rPr>
          <w:b w:val="0"/>
          <w:lang w:val="en-GB"/>
        </w:rPr>
        <w:tab/>
      </w:r>
      <w:r>
        <w:rPr>
          <w:b w:val="0"/>
          <w:lang w:val="en-GB"/>
        </w:rPr>
        <w:tab/>
      </w:r>
      <w:r>
        <w:rPr>
          <w:b w:val="0"/>
          <w:lang w:val="en-GB"/>
        </w:rPr>
        <w:tab/>
      </w:r>
      <w:r>
        <w:rPr>
          <w:b w:val="0"/>
          <w:lang w:val="en-GB"/>
        </w:rPr>
        <w:tab/>
      </w:r>
      <w:r>
        <w:rPr>
          <w:b w:val="0"/>
          <w:lang w:val="en-GB"/>
        </w:rPr>
        <w:tab/>
      </w:r>
      <w:bookmarkStart w:id="23" w:name="_Ref525757070"/>
      <w:r>
        <w:t xml:space="preserve">Figure </w:t>
      </w:r>
      <w:r w:rsidR="00B366BA">
        <w:rPr>
          <w:noProof/>
        </w:rPr>
        <w:fldChar w:fldCharType="begin"/>
      </w:r>
      <w:r w:rsidR="00B366BA">
        <w:rPr>
          <w:noProof/>
        </w:rPr>
        <w:instrText xml:space="preserve"> SEQ Figure \* ARABIC </w:instrText>
      </w:r>
      <w:r w:rsidR="00B366BA">
        <w:rPr>
          <w:noProof/>
        </w:rPr>
        <w:fldChar w:fldCharType="separate"/>
      </w:r>
      <w:r w:rsidR="00E050EE">
        <w:rPr>
          <w:noProof/>
        </w:rPr>
        <w:t>9</w:t>
      </w:r>
      <w:r w:rsidR="00B366BA">
        <w:rPr>
          <w:noProof/>
        </w:rPr>
        <w:fldChar w:fldCharType="end"/>
      </w:r>
      <w:bookmarkEnd w:id="23"/>
      <w:r>
        <w:t>: DCI based PDCCH beam switch</w:t>
      </w:r>
    </w:p>
    <w:p w14:paraId="21FD587C" w14:textId="77777777" w:rsidR="00882741" w:rsidRDefault="00882741" w:rsidP="00393870">
      <w:pPr>
        <w:rPr>
          <w:rFonts w:ascii="Times New Roman" w:hAnsi="Times New Roman" w:cs="Times New Roman"/>
          <w:sz w:val="20"/>
          <w:szCs w:val="20"/>
        </w:rPr>
      </w:pPr>
    </w:p>
    <w:p w14:paraId="1507E518" w14:textId="1F3DD411" w:rsidR="001C7C55" w:rsidRPr="00393870" w:rsidRDefault="001C7C55" w:rsidP="00393870">
      <w:pPr>
        <w:rPr>
          <w:rFonts w:ascii="Times New Roman" w:hAnsi="Times New Roman" w:cs="Times New Roman"/>
          <w:sz w:val="20"/>
          <w:szCs w:val="20"/>
        </w:rPr>
      </w:pPr>
      <w:r w:rsidRPr="00393870">
        <w:rPr>
          <w:rFonts w:ascii="Times New Roman" w:hAnsi="Times New Roman" w:cs="Times New Roman"/>
          <w:sz w:val="20"/>
          <w:szCs w:val="20"/>
        </w:rPr>
        <w:t xml:space="preserve">Figure 8 shows that </w:t>
      </w:r>
      <w:r w:rsidR="00393870" w:rsidRPr="00393870">
        <w:rPr>
          <w:rFonts w:ascii="Times New Roman" w:hAnsi="Times New Roman" w:cs="Times New Roman"/>
          <w:sz w:val="20"/>
          <w:szCs w:val="20"/>
        </w:rPr>
        <w:t>switching PDCCH beams based on MAC-CE incurs K0+K1+KL2 slot latency, where K0, K1 and KL2 are defined as follows:</w:t>
      </w:r>
    </w:p>
    <w:p w14:paraId="139074A7" w14:textId="77777777" w:rsidR="00393870" w:rsidRPr="00393870" w:rsidRDefault="00393870" w:rsidP="00393870">
      <w:pPr>
        <w:pStyle w:val="ListParagraph"/>
        <w:numPr>
          <w:ilvl w:val="0"/>
          <w:numId w:val="28"/>
        </w:numPr>
        <w:spacing w:before="120" w:after="0" w:line="240" w:lineRule="auto"/>
        <w:ind w:firstLineChars="0"/>
        <w:jc w:val="both"/>
        <w:rPr>
          <w:rFonts w:ascii="Times New Roman" w:eastAsia="SimSun" w:hAnsi="Times New Roman" w:cs="Times New Roman"/>
          <w:sz w:val="20"/>
          <w:szCs w:val="20"/>
          <w:lang w:val="en-GB"/>
        </w:rPr>
      </w:pPr>
      <w:r w:rsidRPr="00393870">
        <w:rPr>
          <w:rFonts w:ascii="Times New Roman" w:eastAsia="SimSun" w:hAnsi="Times New Roman" w:cs="Times New Roman"/>
          <w:sz w:val="20"/>
          <w:szCs w:val="20"/>
          <w:lang w:val="en-GB"/>
        </w:rPr>
        <w:t>K0: Delay in slots between DL grant and corresponding DL data (PDSCH) reception,</w:t>
      </w:r>
    </w:p>
    <w:p w14:paraId="3EA2697D" w14:textId="4E4FE0C9" w:rsidR="00393870" w:rsidRPr="00393870" w:rsidRDefault="00393870" w:rsidP="00393870">
      <w:pPr>
        <w:pStyle w:val="ListParagraph"/>
        <w:numPr>
          <w:ilvl w:val="0"/>
          <w:numId w:val="28"/>
        </w:numPr>
        <w:spacing w:before="120" w:after="0" w:line="240" w:lineRule="auto"/>
        <w:ind w:firstLineChars="0"/>
        <w:jc w:val="both"/>
        <w:rPr>
          <w:rFonts w:ascii="Times New Roman" w:eastAsia="SimSun" w:hAnsi="Times New Roman" w:cs="Times New Roman"/>
          <w:sz w:val="20"/>
          <w:szCs w:val="20"/>
          <w:lang w:val="en-GB"/>
        </w:rPr>
      </w:pPr>
      <w:r w:rsidRPr="00393870">
        <w:rPr>
          <w:rFonts w:ascii="Times New Roman" w:eastAsia="SimSun" w:hAnsi="Times New Roman" w:cs="Times New Roman"/>
          <w:sz w:val="20"/>
          <w:szCs w:val="20"/>
          <w:lang w:val="en-GB"/>
        </w:rPr>
        <w:t>K1: Delay in slots between DL data (PDSCH) reception and corresponding ACK transmission on UL,</w:t>
      </w:r>
    </w:p>
    <w:p w14:paraId="77B5C81C" w14:textId="77777777" w:rsidR="00393870" w:rsidRPr="00393870" w:rsidRDefault="00393870" w:rsidP="00393870">
      <w:pPr>
        <w:pStyle w:val="ListParagraph"/>
        <w:numPr>
          <w:ilvl w:val="0"/>
          <w:numId w:val="28"/>
        </w:numPr>
        <w:spacing w:before="120" w:after="0" w:line="240" w:lineRule="auto"/>
        <w:ind w:firstLineChars="0"/>
        <w:jc w:val="both"/>
        <w:rPr>
          <w:rFonts w:ascii="Times New Roman" w:eastAsia="SimSun" w:hAnsi="Times New Roman" w:cs="Times New Roman"/>
          <w:sz w:val="20"/>
          <w:szCs w:val="20"/>
          <w:lang w:val="en-GB"/>
        </w:rPr>
      </w:pPr>
      <w:r w:rsidRPr="00393870">
        <w:rPr>
          <w:rFonts w:ascii="Times New Roman" w:eastAsia="SimSun" w:hAnsi="Times New Roman" w:cs="Times New Roman"/>
          <w:sz w:val="20"/>
          <w:szCs w:val="20"/>
          <w:lang w:val="en-GB"/>
        </w:rPr>
        <w:t>KL2: Processing time to interpret the MAC payload and configure the lower layers based on interpreted payload</w:t>
      </w:r>
    </w:p>
    <w:p w14:paraId="6F867056" w14:textId="696F6EE3" w:rsidR="00393870" w:rsidRPr="00393870" w:rsidRDefault="00393870" w:rsidP="00393870">
      <w:pPr>
        <w:rPr>
          <w:rFonts w:ascii="Times New Roman" w:hAnsi="Times New Roman" w:cs="Times New Roman"/>
          <w:sz w:val="20"/>
          <w:szCs w:val="20"/>
        </w:rPr>
      </w:pPr>
    </w:p>
    <w:p w14:paraId="72FDDB92" w14:textId="52AF024A" w:rsidR="00393870" w:rsidRDefault="00393870" w:rsidP="00393870">
      <w:pPr>
        <w:rPr>
          <w:rFonts w:ascii="Times New Roman" w:hAnsi="Times New Roman" w:cs="Times New Roman"/>
          <w:sz w:val="20"/>
          <w:szCs w:val="20"/>
        </w:rPr>
      </w:pPr>
      <w:r w:rsidRPr="00393870">
        <w:rPr>
          <w:rFonts w:ascii="Times New Roman" w:hAnsi="Times New Roman" w:cs="Times New Roman"/>
          <w:sz w:val="20"/>
          <w:szCs w:val="20"/>
        </w:rPr>
        <w:t xml:space="preserve">On the other hand, as shown in </w:t>
      </w:r>
      <w:r w:rsidRPr="00393870">
        <w:rPr>
          <w:rFonts w:ascii="Times New Roman" w:hAnsi="Times New Roman" w:cs="Times New Roman"/>
          <w:sz w:val="20"/>
          <w:szCs w:val="20"/>
        </w:rPr>
        <w:fldChar w:fldCharType="begin"/>
      </w:r>
      <w:r w:rsidRPr="00393870">
        <w:rPr>
          <w:rFonts w:ascii="Times New Roman" w:hAnsi="Times New Roman" w:cs="Times New Roman"/>
          <w:sz w:val="20"/>
          <w:szCs w:val="20"/>
        </w:rPr>
        <w:instrText xml:space="preserve"> REF _Ref525757070 \h  \* MERGEFORMAT </w:instrText>
      </w:r>
      <w:r w:rsidRPr="00393870">
        <w:rPr>
          <w:rFonts w:ascii="Times New Roman" w:hAnsi="Times New Roman" w:cs="Times New Roman"/>
          <w:sz w:val="20"/>
          <w:szCs w:val="20"/>
        </w:rPr>
      </w:r>
      <w:r w:rsidRPr="00393870">
        <w:rPr>
          <w:rFonts w:ascii="Times New Roman" w:hAnsi="Times New Roman" w:cs="Times New Roman"/>
          <w:sz w:val="20"/>
          <w:szCs w:val="20"/>
        </w:rPr>
        <w:fldChar w:fldCharType="separate"/>
      </w:r>
      <w:r w:rsidR="00E050EE" w:rsidRPr="00E050EE">
        <w:rPr>
          <w:rFonts w:ascii="Times New Roman" w:hAnsi="Times New Roman" w:cs="Times New Roman"/>
          <w:sz w:val="20"/>
          <w:szCs w:val="20"/>
        </w:rPr>
        <w:t xml:space="preserve">Figure </w:t>
      </w:r>
      <w:r w:rsidR="00E050EE" w:rsidRPr="00E050EE">
        <w:rPr>
          <w:rFonts w:ascii="Times New Roman" w:hAnsi="Times New Roman" w:cs="Times New Roman"/>
          <w:noProof/>
          <w:sz w:val="20"/>
          <w:szCs w:val="20"/>
        </w:rPr>
        <w:t>9</w:t>
      </w:r>
      <w:r w:rsidRPr="00393870">
        <w:rPr>
          <w:rFonts w:ascii="Times New Roman" w:hAnsi="Times New Roman" w:cs="Times New Roman"/>
          <w:sz w:val="20"/>
          <w:szCs w:val="20"/>
        </w:rPr>
        <w:fldChar w:fldCharType="end"/>
      </w:r>
      <w:r w:rsidRPr="00393870">
        <w:rPr>
          <w:rFonts w:ascii="Times New Roman" w:hAnsi="Times New Roman" w:cs="Times New Roman"/>
          <w:sz w:val="20"/>
          <w:szCs w:val="20"/>
        </w:rPr>
        <w:t>, switching PDCCH beams based on DCI only incurs K0+K1+1 slot latency, where we assumed that the receiver would need one slot to switch its RX beam after transmitting ACK to its parent.</w:t>
      </w:r>
    </w:p>
    <w:p w14:paraId="4E759FB5" w14:textId="63BBF239" w:rsidR="00393870" w:rsidRPr="00393870" w:rsidRDefault="00393870" w:rsidP="00393870">
      <w:pPr>
        <w:rPr>
          <w:rFonts w:ascii="Times New Roman" w:hAnsi="Times New Roman" w:cs="Times New Roman"/>
          <w:sz w:val="20"/>
          <w:szCs w:val="20"/>
        </w:rPr>
      </w:pPr>
      <w:r>
        <w:rPr>
          <w:rFonts w:ascii="Times New Roman" w:hAnsi="Times New Roman" w:cs="Times New Roman"/>
          <w:sz w:val="20"/>
          <w:szCs w:val="20"/>
        </w:rPr>
        <w:t>Backhaul links can achieve lower latency by enabling DCI based QCL indication for PDCCH.</w:t>
      </w:r>
    </w:p>
    <w:p w14:paraId="2E8062AA" w14:textId="39F2CAFE" w:rsidR="00243A02" w:rsidRDefault="00243A02" w:rsidP="00141EFE">
      <w:pPr>
        <w:rPr>
          <w:lang w:val="en-GB"/>
        </w:rPr>
      </w:pPr>
      <w:r w:rsidRPr="0003712E">
        <w:rPr>
          <w:b/>
          <w:lang w:val="en-GB"/>
        </w:rPr>
        <w:t>Proposal 8.</w:t>
      </w:r>
      <w:r>
        <w:rPr>
          <w:b/>
          <w:lang w:val="en-GB"/>
        </w:rPr>
        <w:t>2</w:t>
      </w:r>
      <w:r w:rsidRPr="0003712E">
        <w:rPr>
          <w:b/>
          <w:lang w:val="en-GB"/>
        </w:rPr>
        <w:t>:</w:t>
      </w:r>
      <w:r w:rsidRPr="00BA6356">
        <w:rPr>
          <w:b/>
          <w:lang w:val="en-GB"/>
        </w:rPr>
        <w:t xml:space="preserve"> </w:t>
      </w:r>
      <w:r>
        <w:rPr>
          <w:b/>
          <w:lang w:val="en-GB"/>
        </w:rPr>
        <w:t xml:space="preserve">NR supports DCI-based QCL indication for PDCCH, to enable faster beam switching. </w:t>
      </w:r>
      <w:bookmarkEnd w:id="22"/>
    </w:p>
    <w:p w14:paraId="34E53CCB" w14:textId="05308C99" w:rsidR="00FA5F99" w:rsidRDefault="00FA5F99" w:rsidP="004C006E">
      <w:pPr>
        <w:rPr>
          <w:b/>
          <w:sz w:val="24"/>
        </w:rPr>
      </w:pPr>
    </w:p>
    <w:p w14:paraId="32260105" w14:textId="64C679A6" w:rsidR="004C006E" w:rsidRPr="00FF17C7" w:rsidRDefault="00FF17C7" w:rsidP="00312B4B">
      <w:pPr>
        <w:pStyle w:val="Heading2"/>
        <w:spacing w:after="240"/>
        <w:rPr>
          <w:sz w:val="28"/>
          <w:szCs w:val="28"/>
        </w:rPr>
      </w:pPr>
      <w:r w:rsidRPr="00FF17C7">
        <w:rPr>
          <w:sz w:val="28"/>
          <w:szCs w:val="28"/>
        </w:rPr>
        <w:t xml:space="preserve"> </w:t>
      </w:r>
      <w:r w:rsidR="004C006E" w:rsidRPr="00FF17C7">
        <w:rPr>
          <w:sz w:val="28"/>
          <w:szCs w:val="28"/>
        </w:rPr>
        <w:t xml:space="preserve">Notification to children about parent BH link condition </w:t>
      </w:r>
    </w:p>
    <w:p w14:paraId="01FAAA4A" w14:textId="77777777" w:rsidR="00AA61E6" w:rsidRDefault="00AA61E6" w:rsidP="00AA61E6">
      <w:pPr>
        <w:rPr>
          <w:lang w:val="en-GB"/>
        </w:rPr>
      </w:pPr>
      <w:r>
        <w:rPr>
          <w:lang w:val="en-GB"/>
        </w:rPr>
        <w:t xml:space="preserve">It was agreed in RAN1 #94 to investigate whether it is beneficial for an IAB-node to notify its children about the condition of its parent BH link (e.g. if there is RLF). We think this can be a useful enhancement, however as a baseline we can adopt a simpler solution that works and needs no/minimal spec change. </w:t>
      </w:r>
    </w:p>
    <w:p w14:paraId="08637EE0" w14:textId="77777777" w:rsidR="00AA61E6" w:rsidRDefault="00AA61E6" w:rsidP="00AA61E6">
      <w:pPr>
        <w:rPr>
          <w:lang w:val="en-GB"/>
        </w:rPr>
      </w:pPr>
      <w:r>
        <w:rPr>
          <w:lang w:val="en-GB"/>
        </w:rPr>
        <w:t xml:space="preserve">The baseline could be simply stop transmitting RLM-RS signals to children, when the backhaul link(s) has failed. The children will automatically declare RLF (after some time) and start searching for other serving candidates. This baseline (with no explicit indication) will work but it will incur some latency. Parent node can reduce this latency by explicitly indicating child node about RLF with the grand-parent. </w:t>
      </w:r>
    </w:p>
    <w:p w14:paraId="6C070E5F" w14:textId="522ACA89" w:rsidR="00AA61E6" w:rsidRDefault="00AA61E6" w:rsidP="00AA61E6">
      <w:pPr>
        <w:rPr>
          <w:lang w:val="en-GB"/>
        </w:rPr>
      </w:pPr>
      <w:r>
        <w:rPr>
          <w:lang w:val="en-GB"/>
        </w:rPr>
        <w:t>It has been proposed to design physical layer signals to send this notification to children. Physical layer signal will allow children IAB nodes to be informed about RLF</w:t>
      </w:r>
      <w:r w:rsidR="00FF17C7">
        <w:rPr>
          <w:lang w:val="en-GB"/>
        </w:rPr>
        <w:t xml:space="preserve"> between grand-parent and parent</w:t>
      </w:r>
      <w:r>
        <w:rPr>
          <w:lang w:val="en-GB"/>
        </w:rPr>
        <w:t xml:space="preserve"> in the order of symbols/slots. An upper layer signal, e.g., MAC-CE, will allow children IAB nodes to be informed about RLF between grandparent and parents in the order of a few milli-second.</w:t>
      </w:r>
    </w:p>
    <w:p w14:paraId="65BF4FC8" w14:textId="77777777" w:rsidR="00AA61E6" w:rsidRDefault="00AA61E6" w:rsidP="00AA61E6">
      <w:pPr>
        <w:rPr>
          <w:lang w:val="en-GB"/>
        </w:rPr>
      </w:pPr>
      <w:r>
        <w:rPr>
          <w:lang w:val="en-GB"/>
        </w:rPr>
        <w:t>We note that, after a child IAB node gets informed of RLF between the parent and grand-parent, it may have to search for a new parent if it were not multi-connected beforehand. The overall latency to search a new parent is very high. Hence, the potential savings of a few milli-second, that a physical layer-based indication offers over MAC-CE based solution, is negligible in the whole process for a single connected IAB. Hence, RAN1 should not introduce any new physical layer signal to indicate child node about RLF with grand-parent and leave RAN2 to study this notification.</w:t>
      </w:r>
    </w:p>
    <w:p w14:paraId="77649155" w14:textId="77777777" w:rsidR="00AA61E6" w:rsidRDefault="00AA61E6" w:rsidP="00AA61E6">
      <w:pPr>
        <w:rPr>
          <w:lang w:val="en-GB"/>
        </w:rPr>
      </w:pPr>
      <w:r>
        <w:rPr>
          <w:lang w:val="en-GB"/>
        </w:rPr>
        <w:lastRenderedPageBreak/>
        <w:t xml:space="preserve">However, we note IAB operation can generally be made more reliable via multi-beam and multi-connectivity, and the chance of completely losing BH connection should be kept small. </w:t>
      </w:r>
    </w:p>
    <w:p w14:paraId="2A5CAE6D" w14:textId="77777777" w:rsidR="00AC5042" w:rsidRDefault="00200324" w:rsidP="00200324">
      <w:pPr>
        <w:rPr>
          <w:b/>
        </w:rPr>
      </w:pPr>
      <w:bookmarkStart w:id="24" w:name="_Hlk525741919"/>
      <w:r>
        <w:rPr>
          <w:b/>
        </w:rPr>
        <w:t xml:space="preserve">Observation </w:t>
      </w:r>
      <w:r w:rsidRPr="0003712E">
        <w:rPr>
          <w:b/>
        </w:rPr>
        <w:t>8.</w:t>
      </w:r>
      <w:r>
        <w:rPr>
          <w:b/>
        </w:rPr>
        <w:t>4</w:t>
      </w:r>
      <w:r w:rsidRPr="0003712E">
        <w:rPr>
          <w:b/>
        </w:rPr>
        <w:t>:</w:t>
      </w:r>
      <w:r w:rsidR="00474EEC">
        <w:rPr>
          <w:b/>
        </w:rPr>
        <w:t xml:space="preserve"> an IAB-node can provide</w:t>
      </w:r>
      <w:r>
        <w:rPr>
          <w:b/>
        </w:rPr>
        <w:t xml:space="preserve"> a notification to it children, when all its parent BH links are failed. </w:t>
      </w:r>
    </w:p>
    <w:p w14:paraId="02882BE2" w14:textId="0061F109" w:rsidR="00200324" w:rsidRPr="00AC5042" w:rsidRDefault="00200324" w:rsidP="00AC5042">
      <w:pPr>
        <w:pStyle w:val="ListParagraph"/>
        <w:numPr>
          <w:ilvl w:val="0"/>
          <w:numId w:val="8"/>
        </w:numPr>
        <w:ind w:firstLineChars="0"/>
        <w:rPr>
          <w:b/>
        </w:rPr>
      </w:pPr>
      <w:r w:rsidRPr="00AC5042">
        <w:rPr>
          <w:b/>
        </w:rPr>
        <w:t>The notification can be implicitly via stopping the transmission of RLM-RS.</w:t>
      </w:r>
    </w:p>
    <w:p w14:paraId="3D083AB1" w14:textId="4200132D" w:rsidR="00200324" w:rsidRDefault="00200324" w:rsidP="00200324">
      <w:pPr>
        <w:pStyle w:val="ListParagraph"/>
        <w:numPr>
          <w:ilvl w:val="0"/>
          <w:numId w:val="8"/>
        </w:numPr>
        <w:ind w:firstLineChars="0"/>
        <w:rPr>
          <w:b/>
        </w:rPr>
      </w:pPr>
      <w:r>
        <w:rPr>
          <w:b/>
        </w:rPr>
        <w:t xml:space="preserve">Any explicit notification </w:t>
      </w:r>
      <w:r w:rsidR="00FF17C7">
        <w:rPr>
          <w:b/>
        </w:rPr>
        <w:t>can</w:t>
      </w:r>
      <w:r w:rsidR="00AC5042">
        <w:rPr>
          <w:b/>
        </w:rPr>
        <w:t xml:space="preserve"> </w:t>
      </w:r>
      <w:r>
        <w:rPr>
          <w:b/>
        </w:rPr>
        <w:t>be provided through upper-layer signaling.</w:t>
      </w:r>
    </w:p>
    <w:p w14:paraId="0AE9C40E" w14:textId="2C2B861F" w:rsidR="00AC5042" w:rsidRDefault="00AA61E6" w:rsidP="00AC5042">
      <w:pPr>
        <w:rPr>
          <w:b/>
        </w:rPr>
      </w:pPr>
      <w:r>
        <w:rPr>
          <w:b/>
        </w:rPr>
        <w:t xml:space="preserve">Observation 8.5: </w:t>
      </w:r>
      <w:r w:rsidRPr="00A46E2E">
        <w:rPr>
          <w:b/>
        </w:rPr>
        <w:t xml:space="preserve">The potential savings of a few milli-second, </w:t>
      </w:r>
      <w:r w:rsidRPr="00A46E2E">
        <w:rPr>
          <w:b/>
          <w:lang w:val="en-GB"/>
        </w:rPr>
        <w:t>that a physical layer-based explicit notification offers over MAC-CE based explicit notification, is negligible compared to the overall latency that an IAB node would incur to search for a new parent.</w:t>
      </w:r>
    </w:p>
    <w:p w14:paraId="7FC07DFA" w14:textId="0F66FAAF" w:rsidR="00200324" w:rsidRPr="00AC5042" w:rsidRDefault="00AC5042" w:rsidP="00AA61E6">
      <w:pPr>
        <w:rPr>
          <w:b/>
        </w:rPr>
      </w:pPr>
      <w:r>
        <w:rPr>
          <w:b/>
        </w:rPr>
        <w:t xml:space="preserve">Proposal 8.3: </w:t>
      </w:r>
      <w:r w:rsidR="00FF17C7">
        <w:rPr>
          <w:b/>
        </w:rPr>
        <w:t>NR supports an IAB-</w:t>
      </w:r>
      <w:r w:rsidR="00AA61E6">
        <w:rPr>
          <w:b/>
        </w:rPr>
        <w:t>node to provide an explicit notification to its children, when all its parent BH l</w:t>
      </w:r>
      <w:r w:rsidR="00FF17C7">
        <w:rPr>
          <w:b/>
        </w:rPr>
        <w:t>inks have failed, through upper-</w:t>
      </w:r>
      <w:r w:rsidR="00AA61E6">
        <w:rPr>
          <w:b/>
        </w:rPr>
        <w:t xml:space="preserve">layer signaling. </w:t>
      </w:r>
      <w:r w:rsidR="00AA61E6" w:rsidRPr="00E97A99">
        <w:rPr>
          <w:b/>
        </w:rPr>
        <w:t>RAN2 should discuss</w:t>
      </w:r>
      <w:r w:rsidR="00AA61E6">
        <w:rPr>
          <w:b/>
        </w:rPr>
        <w:t xml:space="preserve"> the details of this notification.</w:t>
      </w:r>
      <w:r w:rsidR="00AA61E6" w:rsidRPr="00E97A99">
        <w:rPr>
          <w:b/>
        </w:rPr>
        <w:t xml:space="preserve"> </w:t>
      </w:r>
    </w:p>
    <w:bookmarkEnd w:id="24"/>
    <w:p w14:paraId="46CB24EE" w14:textId="35048746" w:rsidR="00EB265E" w:rsidRPr="00EB265E" w:rsidRDefault="00EB265E" w:rsidP="00EB265E">
      <w:pPr>
        <w:rPr>
          <w:rFonts w:eastAsia="Arial"/>
          <w:b/>
        </w:rPr>
      </w:pPr>
    </w:p>
    <w:p w14:paraId="0BED097B" w14:textId="00D83B89" w:rsidR="00877A98" w:rsidRDefault="00877A98" w:rsidP="00FA4CFC">
      <w:pPr>
        <w:pStyle w:val="Heading1"/>
        <w:rPr>
          <w:lang w:eastAsia="zh-CN"/>
        </w:rPr>
      </w:pPr>
      <w:r w:rsidRPr="00FA4CFC">
        <w:rPr>
          <w:lang w:eastAsia="zh-CN"/>
        </w:rPr>
        <w:t>Conclusion</w:t>
      </w:r>
    </w:p>
    <w:p w14:paraId="72CB4780" w14:textId="00F2578B" w:rsidR="00CA2A66" w:rsidRPr="00CA2A66" w:rsidRDefault="00B31DA8" w:rsidP="00CA2A66">
      <w:pPr>
        <w:pStyle w:val="Caption"/>
        <w:rPr>
          <w:rFonts w:eastAsia="Arial"/>
        </w:rPr>
      </w:pPr>
      <w:r>
        <w:rPr>
          <w:rFonts w:eastAsia="Arial"/>
          <w:b w:val="0"/>
        </w:rPr>
        <w:t xml:space="preserve">In this contribution, we provided our </w:t>
      </w:r>
      <w:r w:rsidR="007F03E9">
        <w:rPr>
          <w:rFonts w:eastAsia="Arial"/>
          <w:b w:val="0"/>
        </w:rPr>
        <w:t xml:space="preserve">updated </w:t>
      </w:r>
      <w:r>
        <w:rPr>
          <w:rFonts w:eastAsia="Arial"/>
          <w:b w:val="0"/>
        </w:rPr>
        <w:t xml:space="preserve">view on </w:t>
      </w:r>
      <w:r w:rsidR="008530C5">
        <w:rPr>
          <w:rFonts w:eastAsia="Arial"/>
          <w:b w:val="0"/>
        </w:rPr>
        <w:t xml:space="preserve">the main </w:t>
      </w:r>
      <w:r>
        <w:rPr>
          <w:rFonts w:eastAsia="Arial"/>
          <w:b w:val="0"/>
        </w:rPr>
        <w:t xml:space="preserve">RAN1 design </w:t>
      </w:r>
      <w:r w:rsidR="008530C5">
        <w:rPr>
          <w:rFonts w:eastAsia="Arial"/>
          <w:b w:val="0"/>
        </w:rPr>
        <w:t>for</w:t>
      </w:r>
      <w:r>
        <w:rPr>
          <w:rFonts w:eastAsia="Arial"/>
          <w:b w:val="0"/>
        </w:rPr>
        <w:t xml:space="preserve"> NR-IAB. </w:t>
      </w:r>
      <w:r w:rsidRPr="00B31DA8">
        <w:rPr>
          <w:rFonts w:eastAsia="Arial"/>
          <w:b w:val="0"/>
        </w:rPr>
        <w:t>We made the following observations and proposals:</w:t>
      </w:r>
    </w:p>
    <w:p w14:paraId="79A585C5" w14:textId="24A8D7FC" w:rsidR="002172FE" w:rsidRDefault="002172FE" w:rsidP="00996E3B">
      <w:pPr>
        <w:rPr>
          <w:rFonts w:eastAsia="Arial"/>
          <w:b/>
        </w:rPr>
      </w:pPr>
    </w:p>
    <w:p w14:paraId="7C72A74D" w14:textId="4214E877" w:rsidR="0046480D" w:rsidRPr="00A24A03" w:rsidRDefault="0046480D" w:rsidP="0046480D">
      <w:pPr>
        <w:jc w:val="center"/>
        <w:rPr>
          <w:rFonts w:eastAsia="Arial"/>
        </w:rPr>
      </w:pPr>
      <w:r w:rsidRPr="00A24A03">
        <w:rPr>
          <w:rFonts w:eastAsia="Arial"/>
        </w:rPr>
        <w:t xml:space="preserve">--- </w:t>
      </w:r>
      <w:r w:rsidR="00577485">
        <w:rPr>
          <w:rFonts w:eastAsia="Arial"/>
        </w:rPr>
        <w:t>r</w:t>
      </w:r>
      <w:r w:rsidR="008530C5">
        <w:rPr>
          <w:rFonts w:eastAsia="Arial"/>
        </w:rPr>
        <w:t>andom access</w:t>
      </w:r>
      <w:r w:rsidR="008530C5" w:rsidRPr="00A24A03">
        <w:rPr>
          <w:rFonts w:eastAsia="Arial"/>
        </w:rPr>
        <w:t xml:space="preserve"> </w:t>
      </w:r>
      <w:r w:rsidR="008530C5">
        <w:rPr>
          <w:rFonts w:eastAsia="Arial"/>
        </w:rPr>
        <w:t>for backhaul link</w:t>
      </w:r>
      <w:r w:rsidRPr="00A24A03">
        <w:rPr>
          <w:rFonts w:eastAsia="Arial"/>
        </w:rPr>
        <w:t xml:space="preserve"> ---</w:t>
      </w:r>
    </w:p>
    <w:p w14:paraId="253E221B" w14:textId="77777777" w:rsidR="0011018C" w:rsidRPr="00EC0868" w:rsidRDefault="0011018C" w:rsidP="0011018C">
      <w:pPr>
        <w:rPr>
          <w:b/>
          <w:bCs/>
        </w:rPr>
      </w:pPr>
      <w:r w:rsidRPr="00EC0868">
        <w:rPr>
          <w:b/>
          <w:bCs/>
        </w:rPr>
        <w:t xml:space="preserve">Observation </w:t>
      </w:r>
      <w:r>
        <w:rPr>
          <w:b/>
          <w:bCs/>
        </w:rPr>
        <w:t>2.</w:t>
      </w:r>
      <w:r w:rsidRPr="00EC0868">
        <w:rPr>
          <w:b/>
          <w:bCs/>
        </w:rPr>
        <w:t>1: RAN1 should try to leverage the entries of Rel-15 RACH configuration table as much as possible while configuring backhaul links with higher periodicity and time location offset.</w:t>
      </w:r>
    </w:p>
    <w:p w14:paraId="5BAF1E4E" w14:textId="77777777" w:rsidR="0011018C" w:rsidRPr="00EC0868" w:rsidRDefault="0011018C" w:rsidP="0011018C">
      <w:pPr>
        <w:pStyle w:val="ListParagraph"/>
        <w:numPr>
          <w:ilvl w:val="0"/>
          <w:numId w:val="36"/>
        </w:numPr>
        <w:ind w:firstLineChars="0"/>
        <w:contextualSpacing/>
        <w:rPr>
          <w:b/>
          <w:bCs/>
        </w:rPr>
      </w:pPr>
      <w:r w:rsidRPr="00EC0868">
        <w:rPr>
          <w:b/>
          <w:bCs/>
        </w:rPr>
        <w:t>New PRACH configuration index does not need to be introduced to support longer RACH periodicity.</w:t>
      </w:r>
    </w:p>
    <w:p w14:paraId="682A6E86" w14:textId="77777777" w:rsidR="0011018C" w:rsidRPr="00EC0868" w:rsidRDefault="0011018C" w:rsidP="0011018C">
      <w:pPr>
        <w:pStyle w:val="ListParagraph"/>
        <w:numPr>
          <w:ilvl w:val="0"/>
          <w:numId w:val="36"/>
        </w:numPr>
        <w:ind w:firstLineChars="0"/>
        <w:contextualSpacing/>
        <w:rPr>
          <w:b/>
          <w:bCs/>
        </w:rPr>
      </w:pPr>
      <w:r w:rsidRPr="00EC0868">
        <w:rPr>
          <w:b/>
          <w:bCs/>
        </w:rPr>
        <w:t xml:space="preserve">New PRACH configuration </w:t>
      </w:r>
      <w:r>
        <w:rPr>
          <w:b/>
          <w:bCs/>
        </w:rPr>
        <w:t xml:space="preserve">index </w:t>
      </w:r>
      <w:r w:rsidRPr="00EC0868">
        <w:rPr>
          <w:b/>
          <w:bCs/>
        </w:rPr>
        <w:t xml:space="preserve">can be introduced to support additional preamble formats.  </w:t>
      </w:r>
    </w:p>
    <w:p w14:paraId="00697C53" w14:textId="77777777" w:rsidR="0011018C" w:rsidRPr="00DF38E0" w:rsidRDefault="0011018C" w:rsidP="0011018C">
      <w:pPr>
        <w:rPr>
          <w:b/>
        </w:rPr>
      </w:pPr>
      <w:r w:rsidRPr="00EC0868">
        <w:rPr>
          <w:b/>
          <w:bCs/>
        </w:rPr>
        <w:t xml:space="preserve">Proposal </w:t>
      </w:r>
      <w:r>
        <w:rPr>
          <w:b/>
          <w:bCs/>
        </w:rPr>
        <w:t>2.</w:t>
      </w:r>
      <w:r w:rsidRPr="00EC0868">
        <w:rPr>
          <w:b/>
          <w:bCs/>
        </w:rPr>
        <w:t xml:space="preserve">1: </w:t>
      </w:r>
      <w:r w:rsidRPr="00EC0868">
        <w:rPr>
          <w:b/>
          <w:bCs/>
          <w:szCs w:val="20"/>
        </w:rPr>
        <w:t>Based on Rel-15 PRACH configurations, NR allows network to configure scaling factor to extend the periodicities of PRACH occasions for MT IAB node(s).</w:t>
      </w:r>
    </w:p>
    <w:p w14:paraId="2DE74019" w14:textId="7ED2041A" w:rsidR="0046480D" w:rsidRPr="0046480D" w:rsidRDefault="0046480D" w:rsidP="0046480D">
      <w:pPr>
        <w:rPr>
          <w:rFonts w:eastAsia="Arial"/>
        </w:rPr>
      </w:pPr>
    </w:p>
    <w:p w14:paraId="6E796BB4" w14:textId="36FB6E97" w:rsidR="0046480D" w:rsidRDefault="0046480D" w:rsidP="0046480D">
      <w:pPr>
        <w:jc w:val="center"/>
        <w:rPr>
          <w:rFonts w:eastAsia="Arial"/>
        </w:rPr>
      </w:pPr>
      <w:r w:rsidRPr="0046480D">
        <w:rPr>
          <w:rFonts w:eastAsia="Arial"/>
        </w:rPr>
        <w:t>--- inter-</w:t>
      </w:r>
      <w:r w:rsidR="008530C5">
        <w:rPr>
          <w:rFonts w:eastAsia="Arial"/>
        </w:rPr>
        <w:t>node</w:t>
      </w:r>
      <w:r w:rsidR="008530C5" w:rsidRPr="0046480D">
        <w:rPr>
          <w:rFonts w:eastAsia="Arial"/>
        </w:rPr>
        <w:t xml:space="preserve"> </w:t>
      </w:r>
      <w:r w:rsidR="00BB6109" w:rsidRPr="0046480D">
        <w:rPr>
          <w:rFonts w:eastAsia="Arial"/>
        </w:rPr>
        <w:t>discovery</w:t>
      </w:r>
      <w:r w:rsidRPr="0046480D">
        <w:rPr>
          <w:rFonts w:eastAsia="Arial"/>
        </w:rPr>
        <w:t xml:space="preserve"> and measurements ---</w:t>
      </w:r>
    </w:p>
    <w:p w14:paraId="33845F76" w14:textId="77777777" w:rsidR="0011018C" w:rsidRDefault="0011018C" w:rsidP="0011018C">
      <w:pPr>
        <w:rPr>
          <w:b/>
        </w:rPr>
      </w:pPr>
      <w:r>
        <w:rPr>
          <w:b/>
        </w:rPr>
        <w:t>Proposal</w:t>
      </w:r>
      <w:r w:rsidRPr="00F74140">
        <w:rPr>
          <w:b/>
        </w:rPr>
        <w:t xml:space="preserve"> </w:t>
      </w:r>
      <w:r>
        <w:rPr>
          <w:b/>
        </w:rPr>
        <w:t>3.1</w:t>
      </w:r>
      <w:r w:rsidRPr="00F74140">
        <w:rPr>
          <w:b/>
        </w:rPr>
        <w:t xml:space="preserve">: </w:t>
      </w:r>
      <w:r>
        <w:rPr>
          <w:b/>
        </w:rPr>
        <w:t>to address the half-duplex constraint in the IAB-node discovery and measurements, support different TX/RX coordination</w:t>
      </w:r>
      <w:r w:rsidRPr="00C916BF">
        <w:rPr>
          <w:b/>
        </w:rPr>
        <w:t xml:space="preserve"> pattern</w:t>
      </w:r>
      <w:r>
        <w:rPr>
          <w:b/>
        </w:rPr>
        <w:t xml:space="preserve">s. The patterns may be (pseudo-)random, semi-persistent/periodic, or dynamically configured. </w:t>
      </w:r>
    </w:p>
    <w:p w14:paraId="27B407CC" w14:textId="77777777" w:rsidR="0011018C" w:rsidRDefault="0011018C" w:rsidP="0011018C">
      <w:pPr>
        <w:rPr>
          <w:b/>
        </w:rPr>
      </w:pPr>
      <w:r>
        <w:rPr>
          <w:b/>
        </w:rPr>
        <w:t>Proposal</w:t>
      </w:r>
      <w:r w:rsidRPr="00F74140">
        <w:rPr>
          <w:b/>
        </w:rPr>
        <w:t xml:space="preserve"> </w:t>
      </w:r>
      <w:r>
        <w:rPr>
          <w:b/>
        </w:rPr>
        <w:t>3.2</w:t>
      </w:r>
      <w:r w:rsidRPr="00F74140">
        <w:rPr>
          <w:b/>
        </w:rPr>
        <w:t xml:space="preserve">: </w:t>
      </w:r>
      <w:r>
        <w:rPr>
          <w:b/>
        </w:rPr>
        <w:t>support configuring the TX/RX pattern both centrally (baseline) and in a distributed manner.</w:t>
      </w:r>
    </w:p>
    <w:p w14:paraId="409BE8F0" w14:textId="77777777" w:rsidR="0011018C" w:rsidRPr="001B637A" w:rsidRDefault="0011018C" w:rsidP="0011018C">
      <w:pPr>
        <w:pStyle w:val="ListParagraph"/>
        <w:numPr>
          <w:ilvl w:val="0"/>
          <w:numId w:val="6"/>
        </w:numPr>
        <w:ind w:firstLineChars="0"/>
        <w:rPr>
          <w:b/>
        </w:rPr>
      </w:pPr>
      <w:r>
        <w:rPr>
          <w:b/>
        </w:rPr>
        <w:t>FFS the required signaling.</w:t>
      </w:r>
    </w:p>
    <w:p w14:paraId="3BCA3918" w14:textId="77777777" w:rsidR="0011018C" w:rsidRDefault="0011018C" w:rsidP="0011018C">
      <w:pPr>
        <w:rPr>
          <w:b/>
        </w:rPr>
      </w:pPr>
      <w:r>
        <w:rPr>
          <w:b/>
        </w:rPr>
        <w:t>Proposal 3.3</w:t>
      </w:r>
      <w:r w:rsidRPr="005566E6">
        <w:rPr>
          <w:b/>
        </w:rPr>
        <w:t xml:space="preserve">: </w:t>
      </w:r>
      <w:r>
        <w:rPr>
          <w:b/>
        </w:rPr>
        <w:t>simple modifications to the NR R15 RRM framework should be considered to make it more suitable for backhaul operations, such as</w:t>
      </w:r>
    </w:p>
    <w:p w14:paraId="57FD1BB8" w14:textId="77777777" w:rsidR="0011018C" w:rsidRDefault="0011018C" w:rsidP="0011018C">
      <w:pPr>
        <w:pStyle w:val="ListParagraph"/>
        <w:numPr>
          <w:ilvl w:val="0"/>
          <w:numId w:val="8"/>
        </w:numPr>
        <w:ind w:firstLineChars="0"/>
        <w:rPr>
          <w:b/>
        </w:rPr>
      </w:pPr>
      <w:r>
        <w:rPr>
          <w:b/>
        </w:rPr>
        <w:t xml:space="preserve">configuring new values for CSI-RS/SMTC periodicity (e.g. larger than 160 </w:t>
      </w:r>
      <w:proofErr w:type="spellStart"/>
      <w:r>
        <w:rPr>
          <w:b/>
        </w:rPr>
        <w:t>msec</w:t>
      </w:r>
      <w:proofErr w:type="spellEnd"/>
      <w:r>
        <w:rPr>
          <w:b/>
        </w:rPr>
        <w:t>),</w:t>
      </w:r>
    </w:p>
    <w:p w14:paraId="241D3F0E" w14:textId="77777777" w:rsidR="0011018C" w:rsidRDefault="0011018C" w:rsidP="0011018C">
      <w:pPr>
        <w:pStyle w:val="ListParagraph"/>
        <w:numPr>
          <w:ilvl w:val="0"/>
          <w:numId w:val="8"/>
        </w:numPr>
        <w:ind w:firstLineChars="0"/>
        <w:rPr>
          <w:b/>
        </w:rPr>
      </w:pPr>
      <w:r>
        <w:rPr>
          <w:b/>
        </w:rPr>
        <w:lastRenderedPageBreak/>
        <w:t xml:space="preserve">increasing the maximum number of SMTC configured per frequency, </w:t>
      </w:r>
    </w:p>
    <w:p w14:paraId="1108D46E" w14:textId="77777777" w:rsidR="0011018C" w:rsidRDefault="0011018C" w:rsidP="0011018C">
      <w:pPr>
        <w:pStyle w:val="ListParagraph"/>
        <w:numPr>
          <w:ilvl w:val="0"/>
          <w:numId w:val="8"/>
        </w:numPr>
        <w:ind w:firstLineChars="0"/>
        <w:rPr>
          <w:b/>
        </w:rPr>
      </w:pPr>
      <w:r>
        <w:rPr>
          <w:b/>
        </w:rPr>
        <w:t>supporting more flexible time-domain location of the SSBs within a SMTC,</w:t>
      </w:r>
    </w:p>
    <w:p w14:paraId="1ACA395C" w14:textId="77777777" w:rsidR="0011018C" w:rsidRPr="005C1785" w:rsidRDefault="0011018C" w:rsidP="0011018C">
      <w:pPr>
        <w:pStyle w:val="ListParagraph"/>
        <w:numPr>
          <w:ilvl w:val="0"/>
          <w:numId w:val="8"/>
        </w:numPr>
        <w:ind w:firstLineChars="0"/>
        <w:rPr>
          <w:b/>
        </w:rPr>
      </w:pPr>
      <w:r>
        <w:rPr>
          <w:b/>
        </w:rPr>
        <w:t xml:space="preserve">leveraging SMTC design to configure transmission windows (STTC). </w:t>
      </w:r>
    </w:p>
    <w:p w14:paraId="0D0216E3" w14:textId="203F3296" w:rsidR="003604FB" w:rsidRDefault="003604FB" w:rsidP="003604FB">
      <w:pPr>
        <w:rPr>
          <w:b/>
        </w:rPr>
      </w:pPr>
    </w:p>
    <w:p w14:paraId="3B05514E" w14:textId="77777777" w:rsidR="00D406D8" w:rsidRPr="0046480D" w:rsidRDefault="00D406D8" w:rsidP="00D406D8">
      <w:pPr>
        <w:rPr>
          <w:rFonts w:eastAsia="Arial"/>
        </w:rPr>
      </w:pPr>
    </w:p>
    <w:p w14:paraId="229E6225" w14:textId="4A4189BC" w:rsidR="00912CC6" w:rsidRDefault="00912CC6" w:rsidP="00912CC6">
      <w:pPr>
        <w:jc w:val="center"/>
        <w:rPr>
          <w:rFonts w:eastAsia="Arial"/>
        </w:rPr>
      </w:pPr>
      <w:r w:rsidRPr="0046480D">
        <w:rPr>
          <w:rFonts w:eastAsia="Arial"/>
        </w:rPr>
        <w:t xml:space="preserve">--- </w:t>
      </w:r>
      <w:r>
        <w:rPr>
          <w:rFonts w:eastAsia="Arial"/>
        </w:rPr>
        <w:t>synchronization</w:t>
      </w:r>
      <w:r w:rsidRPr="0046480D">
        <w:rPr>
          <w:rFonts w:eastAsia="Arial"/>
        </w:rPr>
        <w:t xml:space="preserve"> ---</w:t>
      </w:r>
    </w:p>
    <w:p w14:paraId="44305817" w14:textId="77777777" w:rsidR="00D66143" w:rsidRDefault="00D66143" w:rsidP="00D66143">
      <w:pPr>
        <w:rPr>
          <w:rFonts w:eastAsia="Arial"/>
          <w:b/>
        </w:rPr>
      </w:pPr>
      <w:r w:rsidRPr="00D9056D">
        <w:rPr>
          <w:rFonts w:eastAsia="Arial"/>
          <w:b/>
        </w:rPr>
        <w:t xml:space="preserve">Observation </w:t>
      </w:r>
      <w:r>
        <w:rPr>
          <w:rFonts w:eastAsia="Arial"/>
          <w:b/>
        </w:rPr>
        <w:t>4.1</w:t>
      </w:r>
      <w:r w:rsidRPr="00D9056D">
        <w:rPr>
          <w:rFonts w:eastAsia="Arial"/>
          <w:b/>
        </w:rPr>
        <w:t xml:space="preserve">: </w:t>
      </w:r>
      <w:r>
        <w:rPr>
          <w:rFonts w:eastAsia="Arial"/>
          <w:b/>
        </w:rPr>
        <w:t xml:space="preserve">TA-based </w:t>
      </w:r>
      <w:r w:rsidRPr="00D9056D">
        <w:rPr>
          <w:rFonts w:eastAsia="Arial"/>
          <w:b/>
        </w:rPr>
        <w:t xml:space="preserve">OTA synchronization </w:t>
      </w:r>
      <w:r>
        <w:rPr>
          <w:rFonts w:eastAsia="Arial"/>
          <w:b/>
        </w:rPr>
        <w:t xml:space="preserve">can support multi-hop IAB network (up to 5 hops) for </w:t>
      </w:r>
      <w:proofErr w:type="spellStart"/>
      <w:r>
        <w:rPr>
          <w:rFonts w:eastAsia="Arial"/>
          <w:b/>
        </w:rPr>
        <w:t>mmw</w:t>
      </w:r>
      <w:proofErr w:type="spellEnd"/>
      <w:r>
        <w:rPr>
          <w:rFonts w:eastAsia="Arial"/>
          <w:b/>
        </w:rPr>
        <w:t xml:space="preserve"> bands. TA-based OTA synchronization may not be sufficient to support multiple hops in lower bands.</w:t>
      </w:r>
    </w:p>
    <w:p w14:paraId="0DB04FBD" w14:textId="77777777" w:rsidR="00D66143" w:rsidRPr="00D9708E" w:rsidRDefault="00D66143" w:rsidP="00D66143">
      <w:pPr>
        <w:rPr>
          <w:rFonts w:eastAsia="Arial"/>
          <w:b/>
        </w:rPr>
      </w:pPr>
      <w:r>
        <w:rPr>
          <w:rFonts w:eastAsia="Arial"/>
          <w:b/>
        </w:rPr>
        <w:t>Proposal 4.1</w:t>
      </w:r>
      <w:r w:rsidRPr="00D9056D">
        <w:rPr>
          <w:rFonts w:eastAsia="Arial"/>
          <w:b/>
        </w:rPr>
        <w:t>:</w:t>
      </w:r>
      <w:r>
        <w:rPr>
          <w:rFonts w:eastAsia="Arial"/>
          <w:b/>
        </w:rPr>
        <w:t xml:space="preserve"> </w:t>
      </w:r>
      <w:r w:rsidRPr="00D9708E">
        <w:rPr>
          <w:rFonts w:eastAsia="Arial"/>
          <w:b/>
        </w:rPr>
        <w:t xml:space="preserve">To tighten the OTA timing error, especially in lower bands, </w:t>
      </w:r>
      <w:r>
        <w:rPr>
          <w:rFonts w:eastAsia="Arial"/>
          <w:b/>
        </w:rPr>
        <w:t>RAN1</w:t>
      </w:r>
      <w:r w:rsidRPr="00D9708E">
        <w:rPr>
          <w:rFonts w:eastAsia="Arial"/>
          <w:b/>
        </w:rPr>
        <w:t xml:space="preserve"> </w:t>
      </w:r>
      <w:r>
        <w:rPr>
          <w:rFonts w:eastAsia="Arial"/>
          <w:b/>
        </w:rPr>
        <w:t xml:space="preserve">should </w:t>
      </w:r>
      <w:r w:rsidRPr="00D9708E">
        <w:rPr>
          <w:rFonts w:eastAsia="Arial"/>
          <w:b/>
        </w:rPr>
        <w:t>consider the following solutions:</w:t>
      </w:r>
    </w:p>
    <w:p w14:paraId="3FEFAFEC" w14:textId="77777777" w:rsidR="00D66143" w:rsidRPr="00D9708E" w:rsidRDefault="00D66143" w:rsidP="00D66143">
      <w:pPr>
        <w:pStyle w:val="ListParagraph"/>
        <w:numPr>
          <w:ilvl w:val="0"/>
          <w:numId w:val="6"/>
        </w:numPr>
        <w:ind w:firstLineChars="0"/>
        <w:rPr>
          <w:rFonts w:eastAsia="Arial"/>
          <w:b/>
        </w:rPr>
      </w:pPr>
      <w:r w:rsidRPr="00D9708E">
        <w:rPr>
          <w:rFonts w:eastAsia="Arial"/>
          <w:b/>
        </w:rPr>
        <w:t>Using wider</w:t>
      </w:r>
      <w:r>
        <w:rPr>
          <w:rFonts w:eastAsia="Arial"/>
          <w:b/>
        </w:rPr>
        <w:t xml:space="preserve"> </w:t>
      </w:r>
      <w:r w:rsidRPr="00D9708E">
        <w:rPr>
          <w:rFonts w:eastAsia="Arial"/>
          <w:b/>
        </w:rPr>
        <w:t xml:space="preserve">band signals </w:t>
      </w:r>
      <w:r>
        <w:rPr>
          <w:rFonts w:eastAsia="Arial"/>
          <w:b/>
        </w:rPr>
        <w:t xml:space="preserve">(UL and DL) to achieve more accurate </w:t>
      </w:r>
      <w:r w:rsidRPr="00D9708E">
        <w:rPr>
          <w:rFonts w:eastAsia="Arial"/>
          <w:b/>
        </w:rPr>
        <w:t xml:space="preserve">timing estimation </w:t>
      </w:r>
    </w:p>
    <w:p w14:paraId="693CB54B" w14:textId="77777777" w:rsidR="00D66143" w:rsidRDefault="00D66143" w:rsidP="00D66143">
      <w:pPr>
        <w:pStyle w:val="ListParagraph"/>
        <w:numPr>
          <w:ilvl w:val="0"/>
          <w:numId w:val="6"/>
        </w:numPr>
        <w:ind w:firstLineChars="0"/>
        <w:rPr>
          <w:rFonts w:eastAsia="Arial"/>
          <w:b/>
        </w:rPr>
      </w:pPr>
      <w:r w:rsidRPr="00D9708E">
        <w:rPr>
          <w:rFonts w:eastAsia="Arial"/>
          <w:b/>
        </w:rPr>
        <w:t xml:space="preserve">Enhancing TA, e.g. by </w:t>
      </w:r>
      <w:r>
        <w:rPr>
          <w:rFonts w:eastAsia="Arial"/>
          <w:b/>
        </w:rPr>
        <w:t xml:space="preserve">reducing </w:t>
      </w:r>
      <w:r w:rsidRPr="00D9708E">
        <w:rPr>
          <w:rFonts w:eastAsia="Arial"/>
          <w:b/>
        </w:rPr>
        <w:t xml:space="preserve">its granularity and </w:t>
      </w:r>
      <w:r>
        <w:rPr>
          <w:rFonts w:eastAsia="Arial"/>
          <w:b/>
        </w:rPr>
        <w:t xml:space="preserve">increasing the </w:t>
      </w:r>
      <w:r w:rsidRPr="00D9708E">
        <w:rPr>
          <w:rFonts w:eastAsia="Arial"/>
          <w:b/>
        </w:rPr>
        <w:t>number of bits</w:t>
      </w:r>
    </w:p>
    <w:p w14:paraId="5903DFCD" w14:textId="77777777" w:rsidR="00D66143" w:rsidRDefault="00D66143" w:rsidP="00D66143">
      <w:pPr>
        <w:rPr>
          <w:rFonts w:eastAsia="Arial"/>
          <w:b/>
        </w:rPr>
      </w:pPr>
      <w:r>
        <w:rPr>
          <w:rFonts w:eastAsia="Arial"/>
          <w:b/>
        </w:rPr>
        <w:t xml:space="preserve">Proposal 4.2: IAB TR should mention TA-based OTA synchronization may support up to [5] hops in MMW bands. </w:t>
      </w:r>
    </w:p>
    <w:p w14:paraId="04ADA859" w14:textId="77777777" w:rsidR="00D66143" w:rsidRDefault="00D66143" w:rsidP="00D66143">
      <w:pPr>
        <w:rPr>
          <w:rFonts w:eastAsia="Arial"/>
          <w:b/>
        </w:rPr>
      </w:pPr>
      <w:r>
        <w:rPr>
          <w:rFonts w:eastAsia="Arial"/>
          <w:b/>
        </w:rPr>
        <w:t>Proposal</w:t>
      </w:r>
      <w:r w:rsidRPr="00D9056D">
        <w:rPr>
          <w:rFonts w:eastAsia="Arial"/>
          <w:b/>
        </w:rPr>
        <w:t xml:space="preserve"> </w:t>
      </w:r>
      <w:r>
        <w:rPr>
          <w:rFonts w:eastAsia="Arial"/>
          <w:b/>
        </w:rPr>
        <w:t>4.3</w:t>
      </w:r>
      <w:r w:rsidRPr="00D9056D">
        <w:rPr>
          <w:rFonts w:eastAsia="Arial"/>
          <w:b/>
        </w:rPr>
        <w:t>:</w:t>
      </w:r>
      <w:r>
        <w:rPr>
          <w:rFonts w:eastAsia="Arial"/>
          <w:b/>
        </w:rPr>
        <w:t xml:space="preserve"> IAB network can use other synchronization techniques, such as GNSS and PTP, along with OTA techniques to achieve tight network synchronization. </w:t>
      </w:r>
    </w:p>
    <w:p w14:paraId="268C02B2" w14:textId="594B98C3" w:rsidR="002E1EE8" w:rsidRDefault="002E1EE8" w:rsidP="002E1EE8">
      <w:pPr>
        <w:rPr>
          <w:rFonts w:eastAsia="Arial"/>
          <w:b/>
        </w:rPr>
      </w:pPr>
    </w:p>
    <w:p w14:paraId="28C32B89" w14:textId="77777777" w:rsidR="003726BC" w:rsidRDefault="003726BC" w:rsidP="003726BC">
      <w:pPr>
        <w:rPr>
          <w:rFonts w:eastAsia="Arial"/>
          <w:b/>
        </w:rPr>
      </w:pPr>
      <w:r w:rsidRPr="00312B4B">
        <w:rPr>
          <w:rFonts w:eastAsia="Arial"/>
          <w:b/>
        </w:rPr>
        <w:t xml:space="preserve">Observation </w:t>
      </w:r>
      <w:r>
        <w:rPr>
          <w:rFonts w:eastAsia="Arial"/>
          <w:b/>
        </w:rPr>
        <w:t>4.2</w:t>
      </w:r>
      <w:r w:rsidRPr="00312B4B">
        <w:rPr>
          <w:rFonts w:eastAsia="Arial"/>
          <w:b/>
        </w:rPr>
        <w:t xml:space="preserve">: </w:t>
      </w:r>
      <w:r>
        <w:rPr>
          <w:rFonts w:eastAsia="Arial"/>
          <w:b/>
        </w:rPr>
        <w:t xml:space="preserve">potential issues of </w:t>
      </w:r>
      <w:r w:rsidRPr="00312B4B">
        <w:rPr>
          <w:rFonts w:eastAsia="Arial"/>
          <w:b/>
        </w:rPr>
        <w:t>case #6</w:t>
      </w:r>
      <w:r>
        <w:rPr>
          <w:rFonts w:eastAsia="Arial"/>
          <w:b/>
        </w:rPr>
        <w:t xml:space="preserve">: </w:t>
      </w:r>
    </w:p>
    <w:p w14:paraId="6269DF6A" w14:textId="77777777" w:rsidR="003726BC" w:rsidRPr="00312B4B" w:rsidRDefault="003726BC" w:rsidP="003726BC">
      <w:pPr>
        <w:pStyle w:val="ListParagraph"/>
        <w:numPr>
          <w:ilvl w:val="0"/>
          <w:numId w:val="6"/>
        </w:numPr>
        <w:ind w:firstLineChars="0"/>
        <w:rPr>
          <w:rFonts w:eastAsia="Arial"/>
          <w:b/>
        </w:rPr>
      </w:pPr>
      <w:r w:rsidRPr="00312B4B">
        <w:rPr>
          <w:rFonts w:eastAsia="Arial"/>
          <w:b/>
        </w:rPr>
        <w:t>the UL reception timings from multiple children at a parent IAB-node are not aligned. If the misalignment is not contained within the CP, it would cause a receiver performance issue if TDM of UL communication with the children is not done.</w:t>
      </w:r>
    </w:p>
    <w:p w14:paraId="12ACCBA3" w14:textId="77777777" w:rsidR="003726BC" w:rsidRPr="00312B4B" w:rsidRDefault="003726BC" w:rsidP="003726BC">
      <w:pPr>
        <w:pStyle w:val="ListParagraph"/>
        <w:numPr>
          <w:ilvl w:val="0"/>
          <w:numId w:val="6"/>
        </w:numPr>
        <w:ind w:firstLineChars="0"/>
        <w:rPr>
          <w:rFonts w:eastAsia="Arial"/>
          <w:b/>
        </w:rPr>
      </w:pPr>
      <w:r>
        <w:rPr>
          <w:rFonts w:eastAsia="Arial"/>
          <w:b/>
        </w:rPr>
        <w:t xml:space="preserve">The </w:t>
      </w:r>
      <w:r w:rsidRPr="00312B4B">
        <w:rPr>
          <w:rFonts w:eastAsia="Arial"/>
          <w:b/>
        </w:rPr>
        <w:t>operation of a given node requires the parent node to perform some special handl</w:t>
      </w:r>
      <w:r w:rsidRPr="004D55D1">
        <w:rPr>
          <w:rFonts w:eastAsia="Arial"/>
          <w:b/>
        </w:rPr>
        <w:t>ing of the UL communication</w:t>
      </w:r>
      <w:r w:rsidRPr="00312B4B">
        <w:rPr>
          <w:rFonts w:eastAsia="Arial"/>
          <w:b/>
        </w:rPr>
        <w:t>, hence possibly causing some IAB nodes interoperability issues across different vendors.</w:t>
      </w:r>
    </w:p>
    <w:p w14:paraId="0A0CF5CC" w14:textId="77777777" w:rsidR="003726BC" w:rsidRPr="00312B4B" w:rsidRDefault="003726BC" w:rsidP="003726BC">
      <w:pPr>
        <w:rPr>
          <w:rFonts w:eastAsia="Arial"/>
          <w:b/>
        </w:rPr>
      </w:pPr>
      <w:r w:rsidRPr="00312B4B">
        <w:rPr>
          <w:rFonts w:eastAsia="Arial"/>
          <w:b/>
        </w:rPr>
        <w:t xml:space="preserve">Observation </w:t>
      </w:r>
      <w:r>
        <w:rPr>
          <w:rFonts w:eastAsia="Arial"/>
          <w:b/>
        </w:rPr>
        <w:t>4.3</w:t>
      </w:r>
      <w:r w:rsidRPr="00312B4B">
        <w:rPr>
          <w:rFonts w:eastAsia="Arial"/>
          <w:b/>
        </w:rPr>
        <w:t>: in case #7 and case #1, an IAB-node must be provided with an indication of (1) the estimated RTT to its parent IAB-node, and (2) the offset (if any) between the DL transmission timing and UL reception timing re</w:t>
      </w:r>
      <w:r w:rsidRPr="004D55D1">
        <w:rPr>
          <w:rFonts w:eastAsia="Arial"/>
          <w:b/>
        </w:rPr>
        <w:t>ferences of the parent IAB-node</w:t>
      </w:r>
      <w:r>
        <w:rPr>
          <w:rFonts w:eastAsia="Arial"/>
          <w:b/>
        </w:rPr>
        <w:t xml:space="preserve"> -- where</w:t>
      </w:r>
      <w:r w:rsidRPr="00312B4B">
        <w:rPr>
          <w:rFonts w:eastAsia="Arial"/>
          <w:b/>
        </w:rPr>
        <w:t xml:space="preserve"> the offset value,</w:t>
      </w:r>
    </w:p>
    <w:p w14:paraId="2E3E54D3" w14:textId="77777777" w:rsidR="003726BC" w:rsidRPr="00312B4B" w:rsidRDefault="003726BC" w:rsidP="003726BC">
      <w:pPr>
        <w:pStyle w:val="ListParagraph"/>
        <w:numPr>
          <w:ilvl w:val="0"/>
          <w:numId w:val="6"/>
        </w:numPr>
        <w:ind w:firstLineChars="0"/>
        <w:rPr>
          <w:rFonts w:eastAsia="Arial"/>
          <w:b/>
        </w:rPr>
      </w:pPr>
      <w:r w:rsidRPr="00312B4B">
        <w:rPr>
          <w:rFonts w:eastAsia="Arial"/>
          <w:b/>
        </w:rPr>
        <w:t>does not depend on the RTT of the link between an IAB-node and its parent IAB-node</w:t>
      </w:r>
    </w:p>
    <w:p w14:paraId="2848E198" w14:textId="77777777" w:rsidR="003726BC" w:rsidRPr="00312B4B" w:rsidRDefault="003726BC" w:rsidP="003726BC">
      <w:pPr>
        <w:pStyle w:val="ListParagraph"/>
        <w:numPr>
          <w:ilvl w:val="0"/>
          <w:numId w:val="6"/>
        </w:numPr>
        <w:ind w:firstLineChars="0"/>
        <w:rPr>
          <w:rFonts w:eastAsia="Arial"/>
          <w:b/>
        </w:rPr>
      </w:pPr>
      <w:r w:rsidRPr="00312B4B">
        <w:rPr>
          <w:rFonts w:eastAsia="Arial"/>
          <w:b/>
        </w:rPr>
        <w:t>is common to all children of the parent IAB-node</w:t>
      </w:r>
    </w:p>
    <w:p w14:paraId="0F034DE0" w14:textId="77777777" w:rsidR="003726BC" w:rsidRPr="00312B4B" w:rsidRDefault="003726BC" w:rsidP="003726BC">
      <w:pPr>
        <w:pStyle w:val="ListParagraph"/>
        <w:numPr>
          <w:ilvl w:val="0"/>
          <w:numId w:val="6"/>
        </w:numPr>
        <w:ind w:firstLineChars="0"/>
        <w:rPr>
          <w:rFonts w:eastAsia="Arial"/>
          <w:b/>
        </w:rPr>
      </w:pPr>
      <w:r w:rsidRPr="00312B4B">
        <w:rPr>
          <w:rFonts w:eastAsia="Arial"/>
          <w:b/>
        </w:rPr>
        <w:t xml:space="preserve">may change, </w:t>
      </w:r>
      <w:r>
        <w:rPr>
          <w:rFonts w:eastAsia="Arial"/>
          <w:b/>
        </w:rPr>
        <w:t xml:space="preserve">hence </w:t>
      </w:r>
      <w:r w:rsidRPr="00312B4B">
        <w:rPr>
          <w:rFonts w:eastAsia="Arial"/>
          <w:b/>
        </w:rPr>
        <w:t xml:space="preserve">an update should be provided to all children of the parent IAB-node. </w:t>
      </w:r>
    </w:p>
    <w:p w14:paraId="0CCF530F" w14:textId="77777777" w:rsidR="003726BC" w:rsidRPr="00312B4B" w:rsidRDefault="003726BC" w:rsidP="003726BC">
      <w:pPr>
        <w:rPr>
          <w:rFonts w:eastAsia="Arial"/>
          <w:b/>
        </w:rPr>
      </w:pPr>
      <w:r w:rsidRPr="00312B4B">
        <w:rPr>
          <w:rFonts w:eastAsia="Arial"/>
          <w:b/>
        </w:rPr>
        <w:t>Proposal 4</w:t>
      </w:r>
      <w:r>
        <w:rPr>
          <w:rFonts w:eastAsia="Arial"/>
          <w:b/>
        </w:rPr>
        <w:t>.4</w:t>
      </w:r>
      <w:r w:rsidRPr="00312B4B">
        <w:rPr>
          <w:rFonts w:eastAsia="Arial"/>
          <w:b/>
        </w:rPr>
        <w:t xml:space="preserve">: RAN1 should decide how to indicate the required timing information to </w:t>
      </w:r>
      <w:r>
        <w:rPr>
          <w:rFonts w:eastAsia="Arial"/>
          <w:b/>
        </w:rPr>
        <w:t>an</w:t>
      </w:r>
      <w:r w:rsidRPr="00312B4B">
        <w:rPr>
          <w:rFonts w:eastAsia="Arial"/>
          <w:b/>
        </w:rPr>
        <w:t xml:space="preserve"> IAB-node.</w:t>
      </w:r>
    </w:p>
    <w:p w14:paraId="08B22146" w14:textId="77777777" w:rsidR="003726BC" w:rsidRPr="00312B4B" w:rsidRDefault="003726BC" w:rsidP="003726BC">
      <w:pPr>
        <w:pStyle w:val="ListParagraph"/>
        <w:numPr>
          <w:ilvl w:val="0"/>
          <w:numId w:val="6"/>
        </w:numPr>
        <w:ind w:firstLineChars="0"/>
        <w:rPr>
          <w:rFonts w:eastAsia="Arial"/>
          <w:b/>
        </w:rPr>
      </w:pPr>
      <w:r w:rsidRPr="00312B4B">
        <w:rPr>
          <w:rFonts w:eastAsia="Arial"/>
          <w:b/>
        </w:rPr>
        <w:t xml:space="preserve">Alt 1. IAB-node is provided with two TA commands. </w:t>
      </w:r>
    </w:p>
    <w:p w14:paraId="34B31E19" w14:textId="77777777" w:rsidR="003726BC" w:rsidRPr="00312B4B" w:rsidRDefault="003726BC" w:rsidP="003726BC">
      <w:pPr>
        <w:pStyle w:val="ListParagraph"/>
        <w:numPr>
          <w:ilvl w:val="0"/>
          <w:numId w:val="6"/>
        </w:numPr>
        <w:ind w:firstLineChars="0"/>
        <w:rPr>
          <w:rFonts w:eastAsia="Arial"/>
          <w:b/>
        </w:rPr>
      </w:pPr>
      <w:r w:rsidRPr="00312B4B">
        <w:rPr>
          <w:rFonts w:eastAsia="Arial"/>
          <w:b/>
        </w:rPr>
        <w:t xml:space="preserve">Alt 2. IAB-node is provided with a TA command, and a separate indication of extra timing information -- e.g. TA command provides RTT, and </w:t>
      </w:r>
      <w:r w:rsidRPr="004D55D1">
        <w:rPr>
          <w:rFonts w:eastAsia="Arial"/>
          <w:b/>
        </w:rPr>
        <w:t>t</w:t>
      </w:r>
      <w:r>
        <w:rPr>
          <w:rFonts w:eastAsia="Arial"/>
          <w:b/>
        </w:rPr>
        <w:t>he</w:t>
      </w:r>
      <w:r w:rsidRPr="00312B4B">
        <w:rPr>
          <w:rFonts w:eastAsia="Arial"/>
          <w:b/>
        </w:rPr>
        <w:t xml:space="preserve"> timing offset (between DL TX timing and UL RX timing of the parent node) is indicated separately</w:t>
      </w:r>
      <w:r>
        <w:rPr>
          <w:rFonts w:eastAsia="Arial"/>
          <w:b/>
        </w:rPr>
        <w:t>.</w:t>
      </w:r>
    </w:p>
    <w:p w14:paraId="19F20F2C" w14:textId="77777777" w:rsidR="007C63B1" w:rsidRPr="0046480D" w:rsidRDefault="007C63B1" w:rsidP="002E1EE8">
      <w:pPr>
        <w:rPr>
          <w:rFonts w:eastAsia="Arial"/>
        </w:rPr>
      </w:pPr>
    </w:p>
    <w:p w14:paraId="13E9A30F" w14:textId="33411477" w:rsidR="002E1EE8" w:rsidRDefault="002E1EE8" w:rsidP="002E1EE8">
      <w:pPr>
        <w:jc w:val="center"/>
        <w:rPr>
          <w:rFonts w:eastAsia="Arial"/>
        </w:rPr>
      </w:pPr>
      <w:r w:rsidRPr="00036DAB">
        <w:rPr>
          <w:rFonts w:eastAsia="Arial"/>
        </w:rPr>
        <w:t xml:space="preserve">--- resource </w:t>
      </w:r>
      <w:r w:rsidR="008530C5">
        <w:rPr>
          <w:rFonts w:eastAsia="Arial"/>
        </w:rPr>
        <w:t>management</w:t>
      </w:r>
      <w:r w:rsidRPr="00036DAB">
        <w:rPr>
          <w:rFonts w:eastAsia="Arial"/>
        </w:rPr>
        <w:t xml:space="preserve"> ---</w:t>
      </w:r>
    </w:p>
    <w:p w14:paraId="75E8DB8C" w14:textId="77777777" w:rsidR="00680F39" w:rsidRPr="00462327" w:rsidRDefault="00680F39" w:rsidP="00680F39">
      <w:pPr>
        <w:rPr>
          <w:b/>
        </w:rPr>
      </w:pPr>
      <w:r w:rsidRPr="00462327">
        <w:rPr>
          <w:b/>
        </w:rPr>
        <w:t>Observation</w:t>
      </w:r>
      <w:r>
        <w:rPr>
          <w:b/>
        </w:rPr>
        <w:t xml:space="preserve"> 5.</w:t>
      </w:r>
      <w:r w:rsidRPr="00462327">
        <w:rPr>
          <w:b/>
        </w:rPr>
        <w:t>1: More efficient resource utilization can be achieved if resource partition across IAB</w:t>
      </w:r>
      <w:r>
        <w:rPr>
          <w:b/>
        </w:rPr>
        <w:t xml:space="preserve"> </w:t>
      </w:r>
      <w:r w:rsidRPr="00462327">
        <w:rPr>
          <w:b/>
        </w:rPr>
        <w:t xml:space="preserve">network can be determined and updated based on information reported from </w:t>
      </w:r>
      <w:r>
        <w:rPr>
          <w:b/>
        </w:rPr>
        <w:t>the</w:t>
      </w:r>
      <w:r w:rsidRPr="00462327">
        <w:rPr>
          <w:b/>
        </w:rPr>
        <w:t xml:space="preserve"> IAB-node</w:t>
      </w:r>
      <w:r>
        <w:rPr>
          <w:b/>
        </w:rPr>
        <w:t>s</w:t>
      </w:r>
      <w:r w:rsidRPr="00462327">
        <w:rPr>
          <w:b/>
        </w:rPr>
        <w:t>, such as node capability,</w:t>
      </w:r>
      <w:r>
        <w:rPr>
          <w:b/>
        </w:rPr>
        <w:t xml:space="preserve"> topology,</w:t>
      </w:r>
      <w:r w:rsidRPr="00462327">
        <w:rPr>
          <w:b/>
        </w:rPr>
        <w:t xml:space="preserve"> traffic loading, or resource utilization, etc.</w:t>
      </w:r>
    </w:p>
    <w:p w14:paraId="013B76CF" w14:textId="77777777" w:rsidR="00680F39" w:rsidRDefault="00680F39" w:rsidP="00680F39">
      <w:pPr>
        <w:rPr>
          <w:b/>
        </w:rPr>
      </w:pPr>
      <w:r w:rsidRPr="00462327">
        <w:rPr>
          <w:b/>
        </w:rPr>
        <w:t>Proposal</w:t>
      </w:r>
      <w:r>
        <w:rPr>
          <w:b/>
        </w:rPr>
        <w:t xml:space="preserve"> 5.</w:t>
      </w:r>
      <w:r w:rsidRPr="00462327">
        <w:rPr>
          <w:b/>
        </w:rPr>
        <w:t xml:space="preserve">1: RAN1 to send an LS to RAN2 </w:t>
      </w:r>
      <w:r>
        <w:rPr>
          <w:b/>
        </w:rPr>
        <w:t>to support</w:t>
      </w:r>
      <w:r w:rsidRPr="00462327">
        <w:rPr>
          <w:b/>
        </w:rPr>
        <w:t xml:space="preserve"> </w:t>
      </w:r>
      <w:r>
        <w:rPr>
          <w:b/>
        </w:rPr>
        <w:t>an IAB-node to report information such as its capability, topology, traffic loading and resource utilization.</w:t>
      </w:r>
    </w:p>
    <w:p w14:paraId="61499ADF" w14:textId="77777777" w:rsidR="00680F39" w:rsidRDefault="00680F39" w:rsidP="00680F39">
      <w:pPr>
        <w:pStyle w:val="ListParagraph"/>
        <w:numPr>
          <w:ilvl w:val="0"/>
          <w:numId w:val="52"/>
        </w:numPr>
        <w:ind w:firstLineChars="0"/>
        <w:rPr>
          <w:b/>
        </w:rPr>
      </w:pPr>
      <w:r w:rsidRPr="00DD2295">
        <w:rPr>
          <w:b/>
        </w:rPr>
        <w:t>Node capability can include capability of half/full duplex, capability of supporting SDM/FDM</w:t>
      </w:r>
      <w:r>
        <w:rPr>
          <w:b/>
        </w:rPr>
        <w:t xml:space="preserve"> TX</w:t>
      </w:r>
      <w:r w:rsidRPr="00DD2295">
        <w:rPr>
          <w:b/>
        </w:rPr>
        <w:t>, capability of supporting SDM/FDM RX.</w:t>
      </w:r>
    </w:p>
    <w:p w14:paraId="5FC73547" w14:textId="77777777" w:rsidR="00680F39" w:rsidRDefault="00680F39" w:rsidP="00680F39">
      <w:pPr>
        <w:rPr>
          <w:b/>
        </w:rPr>
      </w:pPr>
      <w:r w:rsidRPr="00462327">
        <w:rPr>
          <w:b/>
        </w:rPr>
        <w:t>Proposal</w:t>
      </w:r>
      <w:r>
        <w:rPr>
          <w:b/>
        </w:rPr>
        <w:t xml:space="preserve"> 5.</w:t>
      </w:r>
      <w:r w:rsidRPr="00462327">
        <w:rPr>
          <w:b/>
        </w:rPr>
        <w:t xml:space="preserve">2: </w:t>
      </w:r>
      <w:r>
        <w:rPr>
          <w:b/>
        </w:rPr>
        <w:t>Further s</w:t>
      </w:r>
      <w:r w:rsidRPr="00462327">
        <w:rPr>
          <w:b/>
        </w:rPr>
        <w:t xml:space="preserve">ignaling </w:t>
      </w:r>
      <w:r>
        <w:rPr>
          <w:b/>
        </w:rPr>
        <w:t>enhancements</w:t>
      </w:r>
      <w:r w:rsidRPr="00462327">
        <w:rPr>
          <w:b/>
        </w:rPr>
        <w:t xml:space="preserve"> in physical and/or MAC layer</w:t>
      </w:r>
      <w:r>
        <w:rPr>
          <w:b/>
        </w:rPr>
        <w:t xml:space="preserve"> should be considered for</w:t>
      </w:r>
      <w:r w:rsidRPr="00462327">
        <w:rPr>
          <w:b/>
        </w:rPr>
        <w:t xml:space="preserve"> </w:t>
      </w:r>
      <w:r>
        <w:rPr>
          <w:b/>
        </w:rPr>
        <w:t>more efficient use</w:t>
      </w:r>
      <w:r w:rsidRPr="00462327">
        <w:rPr>
          <w:b/>
        </w:rPr>
        <w:t xml:space="preserve"> of soft resources.</w:t>
      </w:r>
    </w:p>
    <w:p w14:paraId="7853C90B" w14:textId="77777777" w:rsidR="00680F39" w:rsidRDefault="00680F39" w:rsidP="00680F39">
      <w:pPr>
        <w:rPr>
          <w:b/>
        </w:rPr>
      </w:pPr>
      <w:r w:rsidRPr="00462327">
        <w:rPr>
          <w:b/>
        </w:rPr>
        <w:t>Observation</w:t>
      </w:r>
      <w:r>
        <w:rPr>
          <w:b/>
        </w:rPr>
        <w:t xml:space="preserve"> 5.</w:t>
      </w:r>
      <w:r w:rsidRPr="00462327">
        <w:rPr>
          <w:b/>
        </w:rPr>
        <w:t xml:space="preserve">2: When an IAB-node is granted permission by </w:t>
      </w:r>
      <w:r>
        <w:rPr>
          <w:b/>
        </w:rPr>
        <w:t>a</w:t>
      </w:r>
      <w:r w:rsidRPr="00462327">
        <w:rPr>
          <w:b/>
        </w:rPr>
        <w:t xml:space="preserve"> parent node to use a soft resource,</w:t>
      </w:r>
      <w:r>
        <w:rPr>
          <w:b/>
        </w:rPr>
        <w:t xml:space="preserve"> there can be potential scheduling conflict of using this soft resource if the corresponding resource type at the child backhaul node is a hard resource.</w:t>
      </w:r>
    </w:p>
    <w:p w14:paraId="4154AC8C" w14:textId="77777777" w:rsidR="00680F39" w:rsidRDefault="00680F39" w:rsidP="00680F39">
      <w:pPr>
        <w:rPr>
          <w:b/>
        </w:rPr>
      </w:pPr>
      <w:r>
        <w:rPr>
          <w:b/>
        </w:rPr>
        <w:t>Observation 5.3</w:t>
      </w:r>
      <w:r w:rsidRPr="0014051B">
        <w:rPr>
          <w:b/>
        </w:rPr>
        <w:t>: When an IAB-n</w:t>
      </w:r>
      <w:r>
        <w:rPr>
          <w:b/>
        </w:rPr>
        <w:t>ode is granted permission by a</w:t>
      </w:r>
      <w:r w:rsidRPr="0014051B">
        <w:rPr>
          <w:b/>
        </w:rPr>
        <w:t xml:space="preserve"> parent node to use a soft resource,</w:t>
      </w:r>
      <w:r>
        <w:rPr>
          <w:b/>
        </w:rPr>
        <w:t xml:space="preserve"> there can be potential scheduling conflict of using this soft resource if this IAB-node has multiple parent nodes.</w:t>
      </w:r>
    </w:p>
    <w:p w14:paraId="686C52F2" w14:textId="77777777" w:rsidR="00680F39" w:rsidRDefault="00680F39" w:rsidP="00680F39">
      <w:pPr>
        <w:rPr>
          <w:b/>
        </w:rPr>
      </w:pPr>
      <w:r w:rsidRPr="00462327">
        <w:rPr>
          <w:b/>
        </w:rPr>
        <w:t>Proposal</w:t>
      </w:r>
      <w:r>
        <w:rPr>
          <w:b/>
        </w:rPr>
        <w:t xml:space="preserve"> 5.3</w:t>
      </w:r>
      <w:r w:rsidRPr="00462327">
        <w:rPr>
          <w:b/>
        </w:rPr>
        <w:t>: Some specification rules or signaling enhancements should be considered to avoid potential scheduling conflict</w:t>
      </w:r>
      <w:r>
        <w:rPr>
          <w:b/>
        </w:rPr>
        <w:t xml:space="preserve"> during coordination of soft resources without too many restrictions on resource pattern</w:t>
      </w:r>
      <w:r w:rsidRPr="00462327">
        <w:rPr>
          <w:b/>
        </w:rPr>
        <w:t>.</w:t>
      </w:r>
    </w:p>
    <w:p w14:paraId="1EB6F0D2" w14:textId="77777777" w:rsidR="00680F39" w:rsidRDefault="00680F39" w:rsidP="00680F39">
      <w:r w:rsidRPr="00462327">
        <w:rPr>
          <w:b/>
        </w:rPr>
        <w:t>Observation</w:t>
      </w:r>
      <w:r>
        <w:rPr>
          <w:b/>
        </w:rPr>
        <w:t xml:space="preserve"> 5.</w:t>
      </w:r>
      <w:r w:rsidRPr="00462327">
        <w:rPr>
          <w:b/>
        </w:rPr>
        <w:t>4:</w:t>
      </w:r>
      <w:r>
        <w:t xml:space="preserve"> </w:t>
      </w:r>
      <w:r>
        <w:rPr>
          <w:b/>
        </w:rPr>
        <w:t>The</w:t>
      </w:r>
      <w:r w:rsidRPr="0014051B">
        <w:rPr>
          <w:b/>
        </w:rPr>
        <w:t xml:space="preserve"> implicit method </w:t>
      </w:r>
      <w:r>
        <w:rPr>
          <w:b/>
        </w:rPr>
        <w:t>can result in a higher traffic delay than an explicit method</w:t>
      </w:r>
      <w:r w:rsidRPr="00462327">
        <w:rPr>
          <w:b/>
        </w:rPr>
        <w:t xml:space="preserve">, </w:t>
      </w:r>
      <w:r>
        <w:rPr>
          <w:b/>
        </w:rPr>
        <w:t xml:space="preserve">since </w:t>
      </w:r>
      <w:r w:rsidRPr="00462327">
        <w:rPr>
          <w:b/>
        </w:rPr>
        <w:t xml:space="preserve">a larger scheduling gap </w:t>
      </w:r>
      <w:r>
        <w:rPr>
          <w:b/>
        </w:rPr>
        <w:t>has to</w:t>
      </w:r>
      <w:r w:rsidRPr="00462327">
        <w:rPr>
          <w:b/>
        </w:rPr>
        <w:t xml:space="preserve"> be configured at </w:t>
      </w:r>
      <w:r>
        <w:rPr>
          <w:b/>
        </w:rPr>
        <w:t>a parent node</w:t>
      </w:r>
      <w:r w:rsidRPr="00462327">
        <w:rPr>
          <w:b/>
        </w:rPr>
        <w:t xml:space="preserve"> </w:t>
      </w:r>
      <w:r>
        <w:rPr>
          <w:b/>
        </w:rPr>
        <w:t xml:space="preserve">for an implicit method </w:t>
      </w:r>
      <w:r w:rsidRPr="00462327">
        <w:rPr>
          <w:b/>
        </w:rPr>
        <w:t xml:space="preserve">to account for extra PDCCH processing delay at </w:t>
      </w:r>
      <w:r>
        <w:rPr>
          <w:b/>
        </w:rPr>
        <w:t>an</w:t>
      </w:r>
      <w:r w:rsidRPr="00462327">
        <w:rPr>
          <w:b/>
        </w:rPr>
        <w:t xml:space="preserve"> IAB-node for monitoring its parent node.</w:t>
      </w:r>
      <w:r>
        <w:t xml:space="preserve"> </w:t>
      </w:r>
    </w:p>
    <w:p w14:paraId="6B417922" w14:textId="77777777" w:rsidR="00680F39" w:rsidRDefault="00680F39" w:rsidP="00680F39">
      <w:pPr>
        <w:rPr>
          <w:b/>
        </w:rPr>
      </w:pPr>
      <w:r w:rsidRPr="00462327">
        <w:rPr>
          <w:b/>
        </w:rPr>
        <w:t>Observation</w:t>
      </w:r>
      <w:r>
        <w:rPr>
          <w:b/>
        </w:rPr>
        <w:t xml:space="preserve"> </w:t>
      </w:r>
      <w:r w:rsidRPr="00462327">
        <w:rPr>
          <w:b/>
        </w:rPr>
        <w:t>5</w:t>
      </w:r>
      <w:r>
        <w:rPr>
          <w:b/>
        </w:rPr>
        <w:t>.5</w:t>
      </w:r>
      <w:r w:rsidRPr="00462327">
        <w:rPr>
          <w:b/>
        </w:rPr>
        <w:t xml:space="preserve">: The issue of higher traffic delay when using an implicit method </w:t>
      </w:r>
      <w:r>
        <w:rPr>
          <w:b/>
        </w:rPr>
        <w:t>can be</w:t>
      </w:r>
      <w:r w:rsidRPr="00462327">
        <w:rPr>
          <w:b/>
        </w:rPr>
        <w:t xml:space="preserve"> more severe for a chain of multi-hop nodes with aligned soft resources, where scheduling gap at an IAB-node </w:t>
      </w:r>
      <w:r>
        <w:rPr>
          <w:b/>
        </w:rPr>
        <w:t>has to scale with number of downstream hops to avoid potential scheduling conflict</w:t>
      </w:r>
      <w:r w:rsidRPr="00462327">
        <w:rPr>
          <w:b/>
        </w:rPr>
        <w:t xml:space="preserve">. </w:t>
      </w:r>
    </w:p>
    <w:p w14:paraId="49D10D2E" w14:textId="2915CEE9" w:rsidR="00680F39" w:rsidRDefault="00680F39" w:rsidP="00680F39">
      <w:pPr>
        <w:rPr>
          <w:b/>
        </w:rPr>
      </w:pPr>
      <w:r>
        <w:rPr>
          <w:b/>
        </w:rPr>
        <w:t xml:space="preserve">Observation 5.6: </w:t>
      </w:r>
      <w:r w:rsidRPr="00DD2295">
        <w:rPr>
          <w:b/>
        </w:rPr>
        <w:t xml:space="preserve">In an explicit method, an IAB-node may decide whether to grant permission of using a soft resource to a child IAB-node based </w:t>
      </w:r>
      <w:r>
        <w:rPr>
          <w:b/>
        </w:rPr>
        <w:t xml:space="preserve">not only on </w:t>
      </w:r>
      <w:r w:rsidRPr="00DD2295">
        <w:rPr>
          <w:b/>
        </w:rPr>
        <w:t xml:space="preserve">its </w:t>
      </w:r>
      <w:r>
        <w:rPr>
          <w:b/>
        </w:rPr>
        <w:t>own traffic demand, but other factors, such as</w:t>
      </w:r>
      <w:r w:rsidRPr="00DD2295">
        <w:rPr>
          <w:b/>
        </w:rPr>
        <w:t xml:space="preserve"> </w:t>
      </w:r>
      <w:r>
        <w:rPr>
          <w:b/>
        </w:rPr>
        <w:t xml:space="preserve">status of its other child IAB-nodes, and </w:t>
      </w:r>
      <w:r w:rsidR="00A66208">
        <w:rPr>
          <w:b/>
        </w:rPr>
        <w:t>managing</w:t>
      </w:r>
      <w:r>
        <w:rPr>
          <w:b/>
        </w:rPr>
        <w:t xml:space="preserve"> inter-link interference.</w:t>
      </w:r>
    </w:p>
    <w:p w14:paraId="73F3730D" w14:textId="77777777" w:rsidR="00680F39" w:rsidRPr="00462327" w:rsidRDefault="00680F39" w:rsidP="00680F39">
      <w:pPr>
        <w:rPr>
          <w:b/>
        </w:rPr>
      </w:pPr>
      <w:r w:rsidRPr="00462327">
        <w:rPr>
          <w:b/>
        </w:rPr>
        <w:t>Observation</w:t>
      </w:r>
      <w:r>
        <w:rPr>
          <w:b/>
        </w:rPr>
        <w:t xml:space="preserve"> 5.</w:t>
      </w:r>
      <w:r w:rsidRPr="00462327">
        <w:rPr>
          <w:b/>
        </w:rPr>
        <w:t xml:space="preserve">7: Coordination of transmission power and/or timing-alignment may not be </w:t>
      </w:r>
      <w:r>
        <w:rPr>
          <w:b/>
        </w:rPr>
        <w:t xml:space="preserve">always </w:t>
      </w:r>
      <w:r w:rsidRPr="00462327">
        <w:rPr>
          <w:b/>
        </w:rPr>
        <w:t>required to support SDM/FDM</w:t>
      </w:r>
      <w:r>
        <w:rPr>
          <w:b/>
        </w:rPr>
        <w:t>, especially</w:t>
      </w:r>
      <w:r w:rsidRPr="00462327">
        <w:rPr>
          <w:b/>
        </w:rPr>
        <w:t xml:space="preserve"> when interference from undesirable signal before any signal processing is sufficient</w:t>
      </w:r>
      <w:r>
        <w:rPr>
          <w:b/>
        </w:rPr>
        <w:t>ly</w:t>
      </w:r>
      <w:r w:rsidRPr="00462327">
        <w:rPr>
          <w:b/>
        </w:rPr>
        <w:t xml:space="preserve"> low.</w:t>
      </w:r>
    </w:p>
    <w:p w14:paraId="5D91B5A7" w14:textId="77777777" w:rsidR="00680F39" w:rsidRPr="00FE356F" w:rsidRDefault="00680F39" w:rsidP="00680F39">
      <w:pPr>
        <w:rPr>
          <w:b/>
        </w:rPr>
      </w:pPr>
      <w:r w:rsidRPr="00462327">
        <w:rPr>
          <w:b/>
        </w:rPr>
        <w:t>Proposal</w:t>
      </w:r>
      <w:r>
        <w:rPr>
          <w:b/>
        </w:rPr>
        <w:t xml:space="preserve"> 5.</w:t>
      </w:r>
      <w:r w:rsidRPr="00462327">
        <w:rPr>
          <w:b/>
        </w:rPr>
        <w:t xml:space="preserve">4: </w:t>
      </w:r>
      <w:r>
        <w:rPr>
          <w:b/>
        </w:rPr>
        <w:t>Further study shall be done to identify conditions or scenarios for requiring coordination of power and/or timing alignment to support SDM/FDM in IAB network.</w:t>
      </w:r>
    </w:p>
    <w:p w14:paraId="1A64464C" w14:textId="77777777" w:rsidR="002E1EE8" w:rsidRDefault="002E1EE8" w:rsidP="002E1EE8">
      <w:pPr>
        <w:jc w:val="center"/>
        <w:rPr>
          <w:rFonts w:eastAsia="Arial"/>
        </w:rPr>
      </w:pPr>
    </w:p>
    <w:p w14:paraId="17007399" w14:textId="2FA2FA2C" w:rsidR="002E1EE8" w:rsidRDefault="002E1EE8" w:rsidP="002E1EE8">
      <w:pPr>
        <w:jc w:val="center"/>
        <w:rPr>
          <w:rFonts w:eastAsia="Arial"/>
        </w:rPr>
      </w:pPr>
      <w:r w:rsidRPr="0046480D">
        <w:rPr>
          <w:rFonts w:eastAsia="Arial"/>
        </w:rPr>
        <w:t xml:space="preserve">--- </w:t>
      </w:r>
      <w:r>
        <w:rPr>
          <w:rFonts w:eastAsia="Arial"/>
        </w:rPr>
        <w:t>power control</w:t>
      </w:r>
      <w:r w:rsidRPr="0046480D">
        <w:rPr>
          <w:rFonts w:eastAsia="Arial"/>
        </w:rPr>
        <w:t xml:space="preserve"> ---</w:t>
      </w:r>
    </w:p>
    <w:p w14:paraId="079B67F1" w14:textId="77777777" w:rsidR="003726BC" w:rsidRDefault="003726BC" w:rsidP="003726BC">
      <w:pPr>
        <w:rPr>
          <w:rFonts w:eastAsia="Arial"/>
          <w:b/>
        </w:rPr>
      </w:pPr>
      <w:r>
        <w:rPr>
          <w:rFonts w:eastAsia="Arial"/>
          <w:b/>
        </w:rPr>
        <w:t>Proposal 6.1: the power of the concurrent parent BH link and access/child BH link (multiplexed in frequency or spatial)</w:t>
      </w:r>
    </w:p>
    <w:p w14:paraId="6FEF43E4" w14:textId="77777777" w:rsidR="003726BC" w:rsidRDefault="003726BC" w:rsidP="003726BC">
      <w:pPr>
        <w:pStyle w:val="ListParagraph"/>
        <w:numPr>
          <w:ilvl w:val="0"/>
          <w:numId w:val="8"/>
        </w:numPr>
        <w:ind w:firstLineChars="0"/>
        <w:rPr>
          <w:rFonts w:eastAsia="Arial"/>
          <w:b/>
        </w:rPr>
      </w:pPr>
      <w:r w:rsidRPr="006755A4">
        <w:rPr>
          <w:rFonts w:eastAsia="Arial"/>
          <w:b/>
        </w:rPr>
        <w:t xml:space="preserve">should be controlled semi-statically – at least for the transmissions that cannot dynamically change the power (like </w:t>
      </w:r>
      <w:r>
        <w:rPr>
          <w:rFonts w:eastAsia="Arial"/>
          <w:b/>
        </w:rPr>
        <w:t>DL RS for RRM, periodic CSI-RS)</w:t>
      </w:r>
    </w:p>
    <w:p w14:paraId="490C7CA3" w14:textId="77777777" w:rsidR="003726BC" w:rsidRPr="006755A4" w:rsidRDefault="003726BC" w:rsidP="003726BC">
      <w:pPr>
        <w:pStyle w:val="ListParagraph"/>
        <w:numPr>
          <w:ilvl w:val="0"/>
          <w:numId w:val="8"/>
        </w:numPr>
        <w:ind w:firstLineChars="0"/>
        <w:rPr>
          <w:rFonts w:eastAsia="Arial"/>
          <w:b/>
        </w:rPr>
      </w:pPr>
      <w:r>
        <w:rPr>
          <w:rFonts w:eastAsia="Arial"/>
          <w:b/>
        </w:rPr>
        <w:lastRenderedPageBreak/>
        <w:t xml:space="preserve">can be determined dynamically for the remaining transmissions. </w:t>
      </w:r>
    </w:p>
    <w:p w14:paraId="7F1647F6" w14:textId="77777777" w:rsidR="003726BC" w:rsidRDefault="003726BC" w:rsidP="003726BC">
      <w:pPr>
        <w:pStyle w:val="ListParagraph"/>
        <w:numPr>
          <w:ilvl w:val="0"/>
          <w:numId w:val="8"/>
        </w:numPr>
        <w:ind w:firstLineChars="0"/>
        <w:rPr>
          <w:rFonts w:eastAsia="Arial"/>
          <w:b/>
        </w:rPr>
      </w:pPr>
      <w:r>
        <w:rPr>
          <w:rFonts w:eastAsia="Arial"/>
          <w:b/>
        </w:rPr>
        <w:t>FFS: enhancements to allow more efficient SDM/FDM of the access and backhaul links.</w:t>
      </w:r>
    </w:p>
    <w:p w14:paraId="5C54DD38" w14:textId="77777777" w:rsidR="007C63B1" w:rsidRPr="0046480D" w:rsidRDefault="007C63B1" w:rsidP="002E1EE8">
      <w:pPr>
        <w:rPr>
          <w:rFonts w:eastAsia="Arial"/>
        </w:rPr>
      </w:pPr>
    </w:p>
    <w:p w14:paraId="10FDE7EF" w14:textId="227CB848" w:rsidR="007C63B1" w:rsidRDefault="007C63B1" w:rsidP="007C63B1">
      <w:pPr>
        <w:jc w:val="center"/>
        <w:rPr>
          <w:rFonts w:eastAsia="Arial"/>
        </w:rPr>
      </w:pPr>
      <w:r w:rsidRPr="0046480D">
        <w:rPr>
          <w:rFonts w:eastAsia="Arial"/>
        </w:rPr>
        <w:t xml:space="preserve">--- </w:t>
      </w:r>
      <w:r>
        <w:rPr>
          <w:rFonts w:eastAsia="Arial"/>
        </w:rPr>
        <w:t xml:space="preserve">cross-link </w:t>
      </w:r>
      <w:r w:rsidR="00BB6109">
        <w:rPr>
          <w:rFonts w:eastAsia="Arial"/>
        </w:rPr>
        <w:t>interference</w:t>
      </w:r>
      <w:r w:rsidRPr="0046480D">
        <w:rPr>
          <w:rFonts w:eastAsia="Arial"/>
        </w:rPr>
        <w:t xml:space="preserve"> ---</w:t>
      </w:r>
    </w:p>
    <w:p w14:paraId="2A147A78" w14:textId="77777777" w:rsidR="00A63046" w:rsidRDefault="00A63046" w:rsidP="00A63046">
      <w:pPr>
        <w:rPr>
          <w:rFonts w:eastAsia="Arial"/>
          <w:b/>
        </w:rPr>
      </w:pPr>
      <w:r>
        <w:rPr>
          <w:rFonts w:eastAsia="Arial"/>
          <w:b/>
        </w:rPr>
        <w:t>Observation</w:t>
      </w:r>
      <w:r w:rsidRPr="00707A3D">
        <w:rPr>
          <w:rFonts w:eastAsia="Arial"/>
          <w:b/>
        </w:rPr>
        <w:t xml:space="preserve"> </w:t>
      </w:r>
      <w:r>
        <w:rPr>
          <w:rFonts w:eastAsia="Arial"/>
          <w:b/>
        </w:rPr>
        <w:t xml:space="preserve">7.1: IAB CLI scenarios are very similar to cross-link (in flexible TDD) and inter-cell interference scenarios in the access network.  </w:t>
      </w:r>
    </w:p>
    <w:p w14:paraId="6EAB287B" w14:textId="77777777" w:rsidR="00A63046" w:rsidRDefault="00A63046" w:rsidP="00A63046">
      <w:pPr>
        <w:rPr>
          <w:rFonts w:eastAsia="Arial"/>
          <w:b/>
        </w:rPr>
      </w:pPr>
      <w:r>
        <w:rPr>
          <w:rFonts w:eastAsia="Arial"/>
          <w:b/>
        </w:rPr>
        <w:t>Proposal 7.1: IAB CLI study should be unified with other CLI scenarios and worked out in the CLI WI.</w:t>
      </w:r>
    </w:p>
    <w:p w14:paraId="373CDD30" w14:textId="77777777" w:rsidR="00A63046" w:rsidRPr="00013058" w:rsidRDefault="00A63046" w:rsidP="00A63046">
      <w:pPr>
        <w:pStyle w:val="ListParagraph"/>
        <w:numPr>
          <w:ilvl w:val="0"/>
          <w:numId w:val="8"/>
        </w:numPr>
        <w:ind w:firstLineChars="0"/>
        <w:rPr>
          <w:rFonts w:eastAsia="Arial"/>
          <w:b/>
        </w:rPr>
      </w:pPr>
      <w:r>
        <w:rPr>
          <w:rFonts w:eastAsia="Arial"/>
          <w:b/>
        </w:rPr>
        <w:t xml:space="preserve">IAB SI should identify IAB-specific aspects of CLI and provide an input to CLI WI to investigate such aspects. </w:t>
      </w:r>
    </w:p>
    <w:p w14:paraId="569D2553" w14:textId="3D9F79E7" w:rsidR="002E1EE8" w:rsidRPr="00312B4B" w:rsidRDefault="002E1EE8" w:rsidP="00312B4B">
      <w:pPr>
        <w:rPr>
          <w:b/>
        </w:rPr>
      </w:pPr>
    </w:p>
    <w:p w14:paraId="4814FDBF" w14:textId="77777777" w:rsidR="007C63B1" w:rsidRPr="0046480D" w:rsidRDefault="007C63B1" w:rsidP="007C63B1">
      <w:pPr>
        <w:jc w:val="center"/>
        <w:rPr>
          <w:rFonts w:eastAsia="Arial"/>
        </w:rPr>
      </w:pPr>
    </w:p>
    <w:p w14:paraId="3119B60C" w14:textId="2D95D43B" w:rsidR="002E1EE8" w:rsidRDefault="002E1EE8" w:rsidP="002E1EE8">
      <w:pPr>
        <w:jc w:val="center"/>
        <w:rPr>
          <w:rFonts w:eastAsia="Arial"/>
        </w:rPr>
      </w:pPr>
      <w:r w:rsidRPr="00D406D8">
        <w:rPr>
          <w:rFonts w:eastAsia="Arial"/>
        </w:rPr>
        <w:t xml:space="preserve">--- link </w:t>
      </w:r>
      <w:r>
        <w:rPr>
          <w:rFonts w:eastAsia="Arial"/>
        </w:rPr>
        <w:t>management</w:t>
      </w:r>
      <w:r w:rsidRPr="00D406D8">
        <w:rPr>
          <w:rFonts w:eastAsia="Arial"/>
        </w:rPr>
        <w:t xml:space="preserve"> ---</w:t>
      </w:r>
    </w:p>
    <w:p w14:paraId="1558DF55" w14:textId="77777777" w:rsidR="00AC3BE4" w:rsidRPr="00BA6356" w:rsidRDefault="00AC3BE4" w:rsidP="00AC3BE4">
      <w:pPr>
        <w:rPr>
          <w:b/>
        </w:rPr>
      </w:pPr>
      <w:r w:rsidRPr="0003712E">
        <w:rPr>
          <w:b/>
          <w:lang w:val="en-GB"/>
        </w:rPr>
        <w:t>Observation</w:t>
      </w:r>
      <w:r>
        <w:rPr>
          <w:b/>
          <w:lang w:val="en-GB"/>
        </w:rPr>
        <w:t xml:space="preserve"> </w:t>
      </w:r>
      <w:r w:rsidRPr="0003712E">
        <w:rPr>
          <w:b/>
          <w:lang w:val="en-GB"/>
        </w:rPr>
        <w:t>8.1:</w:t>
      </w:r>
      <w:r w:rsidRPr="00BA6356">
        <w:rPr>
          <w:b/>
          <w:lang w:val="en-GB"/>
        </w:rPr>
        <w:t xml:space="preserve"> In Rel-15,</w:t>
      </w:r>
      <w:r w:rsidRPr="00BA6356">
        <w:rPr>
          <w:rFonts w:hAnsi="Microsoft Sans Serif"/>
          <w:b/>
          <w:color w:val="262626" w:themeColor="text1" w:themeTint="D9"/>
          <w:kern w:val="24"/>
          <w:sz w:val="36"/>
          <w:szCs w:val="36"/>
        </w:rPr>
        <w:t xml:space="preserve"> </w:t>
      </w:r>
      <w:r>
        <w:rPr>
          <w:b/>
        </w:rPr>
        <w:t xml:space="preserve">RLF is declared after N310 </w:t>
      </w:r>
      <w:r w:rsidRPr="00BA6356">
        <w:rPr>
          <w:b/>
        </w:rPr>
        <w:t>consecutive OOS are detected and T310 timer runs for the configured time without receiving N311 consecutive IS indications.</w:t>
      </w:r>
    </w:p>
    <w:p w14:paraId="0D7C6F50" w14:textId="77777777" w:rsidR="00AC3BE4" w:rsidRDefault="00AC3BE4" w:rsidP="00AC3BE4">
      <w:pPr>
        <w:pStyle w:val="ListParagraph"/>
        <w:numPr>
          <w:ilvl w:val="0"/>
          <w:numId w:val="7"/>
        </w:numPr>
        <w:ind w:firstLineChars="0"/>
        <w:rPr>
          <w:b/>
        </w:rPr>
      </w:pPr>
      <w:r w:rsidRPr="00BA6356">
        <w:rPr>
          <w:b/>
        </w:rPr>
        <w:t xml:space="preserve">In Rel-15, failure of beam recovery procedure leads to RLF declaration. </w:t>
      </w:r>
    </w:p>
    <w:p w14:paraId="79C702B6" w14:textId="77777777" w:rsidR="00AC3BE4" w:rsidRPr="00BA6356" w:rsidRDefault="00AC3BE4" w:rsidP="00AC3BE4">
      <w:pPr>
        <w:pStyle w:val="ListParagraph"/>
        <w:numPr>
          <w:ilvl w:val="0"/>
          <w:numId w:val="7"/>
        </w:numPr>
        <w:ind w:firstLineChars="0"/>
        <w:rPr>
          <w:b/>
        </w:rPr>
      </w:pPr>
      <w:r>
        <w:rPr>
          <w:b/>
        </w:rPr>
        <w:t>In Rel-15, s</w:t>
      </w:r>
      <w:r w:rsidRPr="00BA6356">
        <w:rPr>
          <w:b/>
        </w:rPr>
        <w:t>uccess of beam recovery procedure does not impact RLF procedure.</w:t>
      </w:r>
    </w:p>
    <w:p w14:paraId="19ECC3D0" w14:textId="77777777" w:rsidR="00AC3BE4" w:rsidRPr="00BA6356" w:rsidRDefault="00AC3BE4" w:rsidP="00AC3BE4">
      <w:pPr>
        <w:rPr>
          <w:b/>
        </w:rPr>
      </w:pPr>
      <w:r w:rsidRPr="0003712E">
        <w:rPr>
          <w:b/>
        </w:rPr>
        <w:t xml:space="preserve">Observation </w:t>
      </w:r>
      <w:r>
        <w:rPr>
          <w:b/>
        </w:rPr>
        <w:t>8</w:t>
      </w:r>
      <w:r w:rsidRPr="0003712E">
        <w:rPr>
          <w:b/>
        </w:rPr>
        <w:t>.2:</w:t>
      </w:r>
      <w:r w:rsidRPr="00BA6356">
        <w:rPr>
          <w:b/>
        </w:rPr>
        <w:t xml:space="preserve"> Radio link monitoring and candidate beam reference signals can be different.</w:t>
      </w:r>
    </w:p>
    <w:p w14:paraId="2B20CA0C" w14:textId="77777777" w:rsidR="00AC3BE4" w:rsidRPr="00BA6356" w:rsidRDefault="00AC3BE4" w:rsidP="00AC3BE4">
      <w:pPr>
        <w:pStyle w:val="ListParagraph"/>
        <w:numPr>
          <w:ilvl w:val="0"/>
          <w:numId w:val="7"/>
        </w:numPr>
        <w:ind w:firstLineChars="0"/>
        <w:rPr>
          <w:b/>
        </w:rPr>
      </w:pPr>
      <w:r w:rsidRPr="00BA6356">
        <w:rPr>
          <w:b/>
        </w:rPr>
        <w:t>Communication can happen via candidate beam reference signal even if radio link monitoring reference fail.</w:t>
      </w:r>
    </w:p>
    <w:p w14:paraId="23F3ECC7" w14:textId="77777777" w:rsidR="00AC3BE4" w:rsidRPr="00BA6356" w:rsidRDefault="00AC3BE4" w:rsidP="00AC3BE4">
      <w:pPr>
        <w:rPr>
          <w:b/>
        </w:rPr>
      </w:pPr>
      <w:r w:rsidRPr="0003712E">
        <w:rPr>
          <w:b/>
        </w:rPr>
        <w:t>Observation 8.3:</w:t>
      </w:r>
      <w:r w:rsidRPr="00BA6356">
        <w:rPr>
          <w:b/>
        </w:rPr>
        <w:t xml:space="preserve"> Declaring RLF is costly for an IAB </w:t>
      </w:r>
      <w:r>
        <w:rPr>
          <w:b/>
        </w:rPr>
        <w:t xml:space="preserve">MT </w:t>
      </w:r>
      <w:r w:rsidRPr="00BA6356">
        <w:rPr>
          <w:b/>
        </w:rPr>
        <w:t>node.</w:t>
      </w:r>
    </w:p>
    <w:p w14:paraId="5FCF4D88" w14:textId="77777777" w:rsidR="00AC3BE4" w:rsidRDefault="00AC3BE4" w:rsidP="00AC3BE4">
      <w:pPr>
        <w:pStyle w:val="ListParagraph"/>
        <w:numPr>
          <w:ilvl w:val="0"/>
          <w:numId w:val="7"/>
        </w:numPr>
        <w:ind w:firstLineChars="0"/>
        <w:rPr>
          <w:b/>
        </w:rPr>
      </w:pPr>
      <w:r w:rsidRPr="00BA6356">
        <w:rPr>
          <w:b/>
        </w:rPr>
        <w:t>The corresponding IAB DU will have to release all resources of its child nodes.</w:t>
      </w:r>
    </w:p>
    <w:p w14:paraId="1F479263" w14:textId="77777777" w:rsidR="00AC3BE4" w:rsidRPr="00AC3BE4" w:rsidRDefault="00AC3BE4" w:rsidP="00AC3BE4">
      <w:pPr>
        <w:rPr>
          <w:b/>
          <w:lang w:val="en-GB"/>
        </w:rPr>
      </w:pPr>
      <w:r w:rsidRPr="00AC3BE4">
        <w:rPr>
          <w:b/>
          <w:lang w:val="en-GB"/>
        </w:rPr>
        <w:t xml:space="preserve">Proposal 8.1: NR supports success of beam recovery procedure </w:t>
      </w:r>
      <w:r w:rsidRPr="00AC3BE4">
        <w:rPr>
          <w:b/>
        </w:rPr>
        <w:t>stopping the T310 timer and preventing the MT to declare RLF.</w:t>
      </w:r>
    </w:p>
    <w:p w14:paraId="6766909B" w14:textId="77777777" w:rsidR="00FF17C7" w:rsidRDefault="00FF17C7" w:rsidP="00FF17C7">
      <w:pPr>
        <w:rPr>
          <w:lang w:val="en-GB"/>
        </w:rPr>
      </w:pPr>
      <w:r w:rsidRPr="0003712E">
        <w:rPr>
          <w:b/>
          <w:lang w:val="en-GB"/>
        </w:rPr>
        <w:t>Proposal 8.</w:t>
      </w:r>
      <w:r>
        <w:rPr>
          <w:b/>
          <w:lang w:val="en-GB"/>
        </w:rPr>
        <w:t>2</w:t>
      </w:r>
      <w:r w:rsidRPr="0003712E">
        <w:rPr>
          <w:b/>
          <w:lang w:val="en-GB"/>
        </w:rPr>
        <w:t>:</w:t>
      </w:r>
      <w:r w:rsidRPr="00BA6356">
        <w:rPr>
          <w:b/>
          <w:lang w:val="en-GB"/>
        </w:rPr>
        <w:t xml:space="preserve"> </w:t>
      </w:r>
      <w:r>
        <w:rPr>
          <w:b/>
          <w:lang w:val="en-GB"/>
        </w:rPr>
        <w:t xml:space="preserve">NR supports DCI-based QCL indication for PDCCH, to enable faster beam switching. </w:t>
      </w:r>
    </w:p>
    <w:p w14:paraId="647DFD1A" w14:textId="77777777" w:rsidR="00FF17C7" w:rsidRDefault="00FF17C7" w:rsidP="00FF17C7">
      <w:pPr>
        <w:rPr>
          <w:b/>
        </w:rPr>
      </w:pPr>
      <w:r>
        <w:rPr>
          <w:b/>
        </w:rPr>
        <w:t xml:space="preserve">Observation </w:t>
      </w:r>
      <w:r w:rsidRPr="0003712E">
        <w:rPr>
          <w:b/>
        </w:rPr>
        <w:t>8.</w:t>
      </w:r>
      <w:r>
        <w:rPr>
          <w:b/>
        </w:rPr>
        <w:t>4</w:t>
      </w:r>
      <w:r w:rsidRPr="0003712E">
        <w:rPr>
          <w:b/>
        </w:rPr>
        <w:t>:</w:t>
      </w:r>
      <w:r>
        <w:rPr>
          <w:b/>
        </w:rPr>
        <w:t xml:space="preserve"> an IAB-node can provide a notification to it children, when all its parent BH links are failed. </w:t>
      </w:r>
    </w:p>
    <w:p w14:paraId="5063C20F" w14:textId="77777777" w:rsidR="00FF17C7" w:rsidRPr="00AC5042" w:rsidRDefault="00FF17C7" w:rsidP="00FF17C7">
      <w:pPr>
        <w:pStyle w:val="ListParagraph"/>
        <w:numPr>
          <w:ilvl w:val="0"/>
          <w:numId w:val="8"/>
        </w:numPr>
        <w:ind w:firstLineChars="0"/>
        <w:rPr>
          <w:b/>
        </w:rPr>
      </w:pPr>
      <w:r w:rsidRPr="00AC5042">
        <w:rPr>
          <w:b/>
        </w:rPr>
        <w:t>The notification can be implicitly via stopping the transmission of RLM-RS.</w:t>
      </w:r>
    </w:p>
    <w:p w14:paraId="1E189DB5" w14:textId="77777777" w:rsidR="00FF17C7" w:rsidRDefault="00FF17C7" w:rsidP="00FF17C7">
      <w:pPr>
        <w:pStyle w:val="ListParagraph"/>
        <w:numPr>
          <w:ilvl w:val="0"/>
          <w:numId w:val="8"/>
        </w:numPr>
        <w:ind w:firstLineChars="0"/>
        <w:rPr>
          <w:b/>
        </w:rPr>
      </w:pPr>
      <w:r>
        <w:rPr>
          <w:b/>
        </w:rPr>
        <w:t>Any explicit notification can be provided through upper-layer signaling.</w:t>
      </w:r>
    </w:p>
    <w:p w14:paraId="3166DD94" w14:textId="77777777" w:rsidR="00FF17C7" w:rsidRDefault="00FF17C7" w:rsidP="00FF17C7">
      <w:pPr>
        <w:rPr>
          <w:b/>
        </w:rPr>
      </w:pPr>
      <w:r>
        <w:rPr>
          <w:b/>
        </w:rPr>
        <w:t xml:space="preserve">Observation 8.5: </w:t>
      </w:r>
      <w:r w:rsidRPr="00A46E2E">
        <w:rPr>
          <w:b/>
        </w:rPr>
        <w:t xml:space="preserve">The potential savings of a few milli-second, </w:t>
      </w:r>
      <w:r w:rsidRPr="00A46E2E">
        <w:rPr>
          <w:b/>
          <w:lang w:val="en-GB"/>
        </w:rPr>
        <w:t>that a physical layer-based explicit notification offers over MAC-CE based explicit notification, is negligible compared to the overall latency that an IAB node would incur to search for a new parent.</w:t>
      </w:r>
    </w:p>
    <w:p w14:paraId="524F52C7" w14:textId="77777777" w:rsidR="00FF17C7" w:rsidRPr="00AC5042" w:rsidRDefault="00FF17C7" w:rsidP="00FF17C7">
      <w:pPr>
        <w:rPr>
          <w:b/>
        </w:rPr>
      </w:pPr>
      <w:r>
        <w:rPr>
          <w:b/>
        </w:rPr>
        <w:t xml:space="preserve">Proposal 8.3: NR supports an IAB-node to provide an explicit notification to its children, when all its parent BH links have failed, through upper-layer signaling. </w:t>
      </w:r>
      <w:r w:rsidRPr="00E97A99">
        <w:rPr>
          <w:b/>
        </w:rPr>
        <w:t>RAN2 should discuss</w:t>
      </w:r>
      <w:r>
        <w:rPr>
          <w:b/>
        </w:rPr>
        <w:t xml:space="preserve"> the details of this notification.</w:t>
      </w:r>
      <w:r w:rsidRPr="00E97A99">
        <w:rPr>
          <w:b/>
        </w:rPr>
        <w:t xml:space="preserve"> </w:t>
      </w:r>
    </w:p>
    <w:p w14:paraId="4A576915" w14:textId="16671DA7" w:rsidR="0046480D" w:rsidRDefault="0046480D" w:rsidP="00996E3B">
      <w:pPr>
        <w:rPr>
          <w:rFonts w:eastAsia="Arial"/>
          <w:b/>
        </w:rPr>
      </w:pPr>
    </w:p>
    <w:p w14:paraId="529B3E86" w14:textId="77777777" w:rsidR="00A314B3" w:rsidRPr="006E13D1" w:rsidRDefault="00A314B3" w:rsidP="00DE0CBB">
      <w:pPr>
        <w:pStyle w:val="Heading1"/>
      </w:pPr>
      <w:r w:rsidRPr="006E13D1">
        <w:lastRenderedPageBreak/>
        <w:t>References</w:t>
      </w:r>
    </w:p>
    <w:p w14:paraId="22C42459" w14:textId="0CE910B2" w:rsidR="00ED51F1" w:rsidRDefault="00ED51F1" w:rsidP="00C679A5">
      <w:pPr>
        <w:numPr>
          <w:ilvl w:val="0"/>
          <w:numId w:val="4"/>
        </w:numPr>
      </w:pPr>
      <w:r w:rsidRPr="00BA1B20">
        <w:t>R1-18</w:t>
      </w:r>
      <w:r w:rsidR="00BA1B20">
        <w:t>1</w:t>
      </w:r>
      <w:r w:rsidR="00312B4B">
        <w:t>3419</w:t>
      </w:r>
      <w:r w:rsidRPr="00BA1B20">
        <w:t>, “IAB resource management”, Qualcomm.</w:t>
      </w:r>
    </w:p>
    <w:p w14:paraId="7245BF94" w14:textId="20A4C369" w:rsidR="00312B4B" w:rsidRDefault="00312B4B" w:rsidP="00312B4B">
      <w:pPr>
        <w:numPr>
          <w:ilvl w:val="0"/>
          <w:numId w:val="4"/>
        </w:numPr>
      </w:pPr>
      <w:r w:rsidRPr="00BA1B20">
        <w:t>R1-181</w:t>
      </w:r>
      <w:r>
        <w:t>3420</w:t>
      </w:r>
      <w:r w:rsidRPr="00BA1B20">
        <w:t xml:space="preserve">, “Network synchronization for multi-hop IAB networks”, Qualcomm. </w:t>
      </w:r>
    </w:p>
    <w:p w14:paraId="6BE94A84" w14:textId="120E7C0C" w:rsidR="00A80A6A" w:rsidRPr="00BA1B20" w:rsidRDefault="00A80A6A" w:rsidP="00A80A6A">
      <w:pPr>
        <w:numPr>
          <w:ilvl w:val="0"/>
          <w:numId w:val="4"/>
        </w:numPr>
      </w:pPr>
      <w:r w:rsidRPr="004555F9">
        <w:t>R1-1804835, “Enhancements to support NR backhaul links”, Qualcomm.</w:t>
      </w:r>
    </w:p>
    <w:p w14:paraId="643221C0" w14:textId="78D38221" w:rsidR="00312B4B" w:rsidRDefault="00312B4B" w:rsidP="00312B4B"/>
    <w:p w14:paraId="4560DC54" w14:textId="3215A500" w:rsidR="00143E95" w:rsidRDefault="00B354BB" w:rsidP="00312B4B">
      <w:pPr>
        <w:pStyle w:val="Heading1"/>
      </w:pPr>
      <w:r>
        <w:t>Relevant agreements from prior RAN1 meetings</w:t>
      </w:r>
    </w:p>
    <w:p w14:paraId="0367CCDE" w14:textId="108DE853" w:rsidR="00B354BB" w:rsidRPr="00577485" w:rsidRDefault="00577485" w:rsidP="00312B4B">
      <w:pPr>
        <w:pStyle w:val="Heading2"/>
        <w:spacing w:after="240"/>
        <w:rPr>
          <w:sz w:val="28"/>
        </w:rPr>
      </w:pPr>
      <w:r w:rsidRPr="00577485">
        <w:rPr>
          <w:sz w:val="28"/>
        </w:rPr>
        <w:t xml:space="preserve"> </w:t>
      </w:r>
      <w:r w:rsidR="00A876AE" w:rsidRPr="00577485">
        <w:rPr>
          <w:sz w:val="28"/>
        </w:rPr>
        <w:t>Random access for backhaul links</w:t>
      </w:r>
    </w:p>
    <w:p w14:paraId="1257F3FF" w14:textId="14435DA9" w:rsidR="00A876AE" w:rsidRPr="00577485" w:rsidRDefault="00577485" w:rsidP="00312B4B">
      <w:pPr>
        <w:pStyle w:val="Heading3"/>
        <w:spacing w:after="240"/>
        <w:rPr>
          <w:sz w:val="24"/>
        </w:rPr>
      </w:pPr>
      <w:bookmarkStart w:id="25" w:name="_Ref528790779"/>
      <w:r>
        <w:rPr>
          <w:sz w:val="24"/>
        </w:rPr>
        <w:t xml:space="preserve"> </w:t>
      </w:r>
      <w:r w:rsidR="005445FC" w:rsidRPr="00577485">
        <w:rPr>
          <w:sz w:val="24"/>
        </w:rPr>
        <w:t>RAN1 #94bis</w:t>
      </w:r>
      <w:bookmarkEnd w:id="25"/>
    </w:p>
    <w:p w14:paraId="2ED49B45" w14:textId="77777777" w:rsidR="005445FC" w:rsidRPr="00D36DD1" w:rsidRDefault="005445FC">
      <w:r w:rsidRPr="00D36DD1">
        <w:rPr>
          <w:highlight w:val="green"/>
        </w:rPr>
        <w:t>Agreements</w:t>
      </w:r>
      <w:r w:rsidRPr="00D36DD1">
        <w:t>:</w:t>
      </w:r>
    </w:p>
    <w:p w14:paraId="2D5573FE" w14:textId="77777777" w:rsidR="005445FC" w:rsidRPr="00D36DD1" w:rsidRDefault="005445FC" w:rsidP="00312B4B">
      <w:r w:rsidRPr="00D36DD1">
        <w:t>For IAB node random access support</w:t>
      </w:r>
    </w:p>
    <w:p w14:paraId="424FAD84" w14:textId="77777777" w:rsidR="005445FC" w:rsidRPr="00D36DD1" w:rsidRDefault="005445FC" w:rsidP="00312B4B">
      <w:pPr>
        <w:pStyle w:val="ListParagraph"/>
        <w:numPr>
          <w:ilvl w:val="0"/>
          <w:numId w:val="32"/>
        </w:numPr>
        <w:ind w:firstLineChars="0"/>
      </w:pPr>
      <w:r w:rsidRPr="00D36DD1">
        <w:t>Longer RACH periodicity</w:t>
      </w:r>
    </w:p>
    <w:p w14:paraId="05C07D6B" w14:textId="77777777" w:rsidR="005445FC" w:rsidRPr="00D36DD1" w:rsidRDefault="005445FC" w:rsidP="00312B4B">
      <w:pPr>
        <w:pStyle w:val="ListParagraph"/>
        <w:numPr>
          <w:ilvl w:val="0"/>
          <w:numId w:val="32"/>
        </w:numPr>
        <w:ind w:firstLineChars="0"/>
      </w:pPr>
      <w:r w:rsidRPr="00D36DD1">
        <w:t>Additional preamble formats allowing for longer RTT</w:t>
      </w:r>
    </w:p>
    <w:p w14:paraId="44982AE4" w14:textId="77777777" w:rsidR="005445FC" w:rsidRPr="00D36DD1" w:rsidRDefault="005445FC" w:rsidP="00312B4B">
      <w:pPr>
        <w:pStyle w:val="ListParagraph"/>
        <w:numPr>
          <w:ilvl w:val="0"/>
          <w:numId w:val="32"/>
        </w:numPr>
        <w:ind w:firstLineChars="0"/>
      </w:pPr>
      <w:r w:rsidRPr="00D36DD1">
        <w:t>Details left for WI phase</w:t>
      </w:r>
    </w:p>
    <w:p w14:paraId="1CB24F70" w14:textId="77777777" w:rsidR="005445FC" w:rsidRDefault="005445FC" w:rsidP="00312B4B"/>
    <w:p w14:paraId="7F9E30A9" w14:textId="77777777" w:rsidR="005445FC" w:rsidRPr="009C5C4C" w:rsidRDefault="005445FC">
      <w:r w:rsidRPr="009C5C4C">
        <w:rPr>
          <w:highlight w:val="green"/>
        </w:rPr>
        <w:t>Agreements</w:t>
      </w:r>
      <w:r w:rsidRPr="009C5C4C">
        <w:t>:</w:t>
      </w:r>
    </w:p>
    <w:p w14:paraId="72BDAD57" w14:textId="14D5A2D8" w:rsidR="005445FC" w:rsidRDefault="005445FC" w:rsidP="00312B4B">
      <w:r w:rsidRPr="009C5C4C">
        <w:t>Based on Rel-15 PRACH configurations, NR allows network to configure offset(s) for PRACH occasions for MT IAB node(s), to TDM backhaul RACH resources across adjacent hops. The detailed granularity of the offset (e.g., radio frame, subframe, slot, etc.) is left for WI phase</w:t>
      </w:r>
    </w:p>
    <w:p w14:paraId="62D4F42F" w14:textId="776CDAE2" w:rsidR="00E5208E" w:rsidRPr="00577485" w:rsidRDefault="00577485" w:rsidP="00312B4B">
      <w:pPr>
        <w:pStyle w:val="Heading3"/>
        <w:spacing w:after="240"/>
        <w:rPr>
          <w:sz w:val="24"/>
          <w:szCs w:val="24"/>
        </w:rPr>
      </w:pPr>
      <w:bookmarkStart w:id="26" w:name="_RAN1_#94"/>
      <w:bookmarkStart w:id="27" w:name="_Ref528792422"/>
      <w:bookmarkEnd w:id="26"/>
      <w:r w:rsidRPr="00577485">
        <w:rPr>
          <w:sz w:val="24"/>
          <w:szCs w:val="24"/>
        </w:rPr>
        <w:t xml:space="preserve"> </w:t>
      </w:r>
      <w:r w:rsidR="00E5208E" w:rsidRPr="00577485">
        <w:rPr>
          <w:sz w:val="24"/>
          <w:szCs w:val="24"/>
        </w:rPr>
        <w:t>RAN1 #94</w:t>
      </w:r>
      <w:bookmarkEnd w:id="27"/>
    </w:p>
    <w:p w14:paraId="56E53C2E" w14:textId="77777777" w:rsidR="00FB2E54" w:rsidRDefault="00FB2E54" w:rsidP="00FB2E54">
      <w:pPr>
        <w:rPr>
          <w:rFonts w:ascii="Times" w:eastAsia="Batang" w:hAnsi="Times" w:cs="Times New Roman"/>
          <w:sz w:val="20"/>
          <w:szCs w:val="20"/>
          <w:lang w:eastAsia="x-none"/>
        </w:rPr>
      </w:pPr>
      <w:r>
        <w:rPr>
          <w:szCs w:val="20"/>
          <w:highlight w:val="green"/>
          <w:lang w:eastAsia="x-none"/>
        </w:rPr>
        <w:t>Agreements</w:t>
      </w:r>
      <w:r>
        <w:rPr>
          <w:szCs w:val="20"/>
          <w:lang w:eastAsia="x-none"/>
        </w:rPr>
        <w:t>:</w:t>
      </w:r>
    </w:p>
    <w:p w14:paraId="3342951E" w14:textId="77777777" w:rsidR="00FB2E54" w:rsidRDefault="00FB2E54" w:rsidP="00312B4B">
      <w:pPr>
        <w:pStyle w:val="ListParagraph"/>
        <w:ind w:firstLineChars="0" w:firstLine="0"/>
      </w:pPr>
      <w:r>
        <w:t xml:space="preserve">IAB supports the ability of network flexibility to configure backhaul RACH resources with different occasions, periodicities, and/or formats, </w:t>
      </w:r>
      <w:r>
        <w:rPr>
          <w:bCs/>
        </w:rPr>
        <w:t>compared to access RACH resources without impacting Rel.15 UEs</w:t>
      </w:r>
    </w:p>
    <w:p w14:paraId="1E1F7B95" w14:textId="77777777" w:rsidR="00FB2E54" w:rsidRPr="00312B4B" w:rsidRDefault="00FB2E54" w:rsidP="00312B4B">
      <w:pPr>
        <w:pStyle w:val="ListParagraph"/>
        <w:numPr>
          <w:ilvl w:val="0"/>
          <w:numId w:val="33"/>
        </w:numPr>
        <w:ind w:firstLineChars="0"/>
      </w:pPr>
      <w:r>
        <w:t>F</w:t>
      </w:r>
      <w:r>
        <w:rPr>
          <w:kern w:val="2"/>
        </w:rPr>
        <w:t xml:space="preserve">urther study mechanisms under current PRACH design framework to ensure that after initial access, IAB nodes and access UE of its mother node can be configured or identify </w:t>
      </w:r>
      <w:proofErr w:type="spellStart"/>
      <w:r>
        <w:rPr>
          <w:kern w:val="2"/>
        </w:rPr>
        <w:t>TDMed</w:t>
      </w:r>
      <w:proofErr w:type="spellEnd"/>
      <w:r>
        <w:rPr>
          <w:kern w:val="2"/>
        </w:rPr>
        <w:t xml:space="preserve"> PRACH occasions.</w:t>
      </w:r>
    </w:p>
    <w:p w14:paraId="27FB1F2C" w14:textId="6AA02E5C" w:rsidR="00E5208E" w:rsidRDefault="00FB2E54" w:rsidP="00312B4B">
      <w:pPr>
        <w:pStyle w:val="ListParagraph"/>
        <w:numPr>
          <w:ilvl w:val="0"/>
          <w:numId w:val="33"/>
        </w:numPr>
        <w:ind w:firstLineChars="0"/>
      </w:pPr>
      <w:r w:rsidRPr="00CE4384">
        <w:t>Further study the need for new RACH formats/configurations specific for IAB node random access</w:t>
      </w:r>
    </w:p>
    <w:p w14:paraId="3D13F088" w14:textId="0E936ED7" w:rsidR="00FB2E54" w:rsidRPr="00FB2E54" w:rsidRDefault="00FB2E54" w:rsidP="00312B4B">
      <w:pPr>
        <w:pStyle w:val="ListParagraph"/>
        <w:ind w:firstLine="440"/>
      </w:pPr>
    </w:p>
    <w:p w14:paraId="05CF75C8" w14:textId="16F93F29" w:rsidR="00427BB3" w:rsidRPr="0048517E" w:rsidRDefault="0048517E" w:rsidP="00312B4B">
      <w:pPr>
        <w:pStyle w:val="Heading2"/>
        <w:spacing w:after="240"/>
        <w:rPr>
          <w:sz w:val="28"/>
        </w:rPr>
      </w:pPr>
      <w:r w:rsidRPr="0048517E">
        <w:rPr>
          <w:sz w:val="28"/>
        </w:rPr>
        <w:t xml:space="preserve"> </w:t>
      </w:r>
      <w:r w:rsidR="008E3407" w:rsidRPr="0048517E">
        <w:rPr>
          <w:sz w:val="28"/>
        </w:rPr>
        <w:t>Inter-node discovery and measurements</w:t>
      </w:r>
    </w:p>
    <w:p w14:paraId="66CBA06D" w14:textId="72F8C21C" w:rsidR="008E3407" w:rsidRPr="0048517E" w:rsidRDefault="0048517E" w:rsidP="00312B4B">
      <w:pPr>
        <w:pStyle w:val="Heading3"/>
        <w:spacing w:after="240"/>
        <w:rPr>
          <w:sz w:val="24"/>
        </w:rPr>
      </w:pPr>
      <w:bookmarkStart w:id="28" w:name="_Ref528844030"/>
      <w:r w:rsidRPr="0048517E">
        <w:rPr>
          <w:sz w:val="24"/>
        </w:rPr>
        <w:t xml:space="preserve"> </w:t>
      </w:r>
      <w:r w:rsidR="008E3407" w:rsidRPr="0048517E">
        <w:rPr>
          <w:sz w:val="24"/>
        </w:rPr>
        <w:t>RAN1 #94bis</w:t>
      </w:r>
      <w:bookmarkEnd w:id="28"/>
    </w:p>
    <w:p w14:paraId="586A93B6" w14:textId="77777777" w:rsidR="000F63D6" w:rsidRPr="00D92931" w:rsidRDefault="000F63D6" w:rsidP="000F63D6">
      <w:pPr>
        <w:rPr>
          <w:szCs w:val="20"/>
          <w:lang w:eastAsia="x-none"/>
        </w:rPr>
      </w:pPr>
      <w:r w:rsidRPr="00D92931">
        <w:rPr>
          <w:szCs w:val="20"/>
          <w:highlight w:val="green"/>
          <w:lang w:eastAsia="x-none"/>
        </w:rPr>
        <w:t>Agreements</w:t>
      </w:r>
      <w:r w:rsidRPr="00D92931">
        <w:rPr>
          <w:szCs w:val="20"/>
          <w:lang w:eastAsia="x-none"/>
        </w:rPr>
        <w:t>:</w:t>
      </w:r>
    </w:p>
    <w:p w14:paraId="0BB18E3A" w14:textId="77777777" w:rsidR="000F63D6" w:rsidRPr="00312B4B" w:rsidRDefault="000F63D6" w:rsidP="00312B4B">
      <w:r w:rsidRPr="00312B4B">
        <w:lastRenderedPageBreak/>
        <w:t>Solution 1-B means SSB, that may get muted, for inter-IAB cell search and measurement in stage 2 is not on the currently defined sync raster for a SA frequency layer, while for a NSA frequency layer the SSBs are transmitted outside of the SMTC configured for access UEs</w:t>
      </w:r>
    </w:p>
    <w:p w14:paraId="35AA0A22" w14:textId="77777777" w:rsidR="000F63D6" w:rsidRPr="00312B4B" w:rsidRDefault="000F63D6" w:rsidP="00312B4B">
      <w:r w:rsidRPr="00312B4B">
        <w:t>Solution 1-A means SSB for inter-IAB cell search in stage 2 is on the currently defined sync raster for a SA frequency layer, while for a NSA frequency layer the SSBs are transmitted inside of the SMTC configured for access UEs</w:t>
      </w:r>
    </w:p>
    <w:p w14:paraId="575383A1" w14:textId="77777777" w:rsidR="000F63D6" w:rsidRDefault="000F63D6" w:rsidP="000F63D6">
      <w:pPr>
        <w:rPr>
          <w:lang w:eastAsia="x-none"/>
        </w:rPr>
      </w:pPr>
    </w:p>
    <w:p w14:paraId="39EDAA0E" w14:textId="77777777" w:rsidR="000F63D6" w:rsidRPr="00D92931" w:rsidRDefault="000F63D6" w:rsidP="000F63D6">
      <w:pPr>
        <w:rPr>
          <w:szCs w:val="20"/>
          <w:lang w:eastAsia="x-none"/>
        </w:rPr>
      </w:pPr>
      <w:r w:rsidRPr="00D92931">
        <w:rPr>
          <w:szCs w:val="20"/>
          <w:highlight w:val="green"/>
          <w:lang w:eastAsia="x-none"/>
        </w:rPr>
        <w:t>Agreements</w:t>
      </w:r>
      <w:r w:rsidRPr="00D92931">
        <w:rPr>
          <w:szCs w:val="20"/>
          <w:lang w:eastAsia="x-none"/>
        </w:rPr>
        <w:t>:</w:t>
      </w:r>
    </w:p>
    <w:p w14:paraId="6DA1AA82" w14:textId="77777777" w:rsidR="000F63D6" w:rsidRPr="00D92931" w:rsidRDefault="000F63D6" w:rsidP="000F63D6">
      <w:pPr>
        <w:rPr>
          <w:rFonts w:ascii="Calibri" w:hAnsi="Calibri"/>
          <w:szCs w:val="20"/>
        </w:rPr>
      </w:pPr>
      <w:r w:rsidRPr="00D92931">
        <w:rPr>
          <w:rFonts w:ascii="Calibri" w:hAnsi="Calibri"/>
          <w:szCs w:val="20"/>
        </w:rPr>
        <w:t>An IAB node should not mute SSB transmissions targeting UE cell search and measurement when doing inter-IAB cell search in stage 2</w:t>
      </w:r>
    </w:p>
    <w:p w14:paraId="6E172BBE" w14:textId="77777777" w:rsidR="000F63D6" w:rsidRPr="00D92931" w:rsidRDefault="000F63D6" w:rsidP="00312B4B">
      <w:pPr>
        <w:pStyle w:val="ListParagraph"/>
        <w:numPr>
          <w:ilvl w:val="0"/>
          <w:numId w:val="43"/>
        </w:numPr>
        <w:ind w:firstLineChars="0"/>
      </w:pPr>
      <w:r w:rsidRPr="00D92931">
        <w:t xml:space="preserve">For SA, means that SSBs transmitted on the currently defined sync raster follows the currently defined periodicity for initial access </w:t>
      </w:r>
    </w:p>
    <w:p w14:paraId="09F6153B" w14:textId="76D1EA28" w:rsidR="000F63D6" w:rsidRDefault="000F63D6" w:rsidP="00312B4B">
      <w:pPr>
        <w:pStyle w:val="ListParagraph"/>
        <w:numPr>
          <w:ilvl w:val="0"/>
          <w:numId w:val="43"/>
        </w:numPr>
        <w:ind w:firstLineChars="0"/>
      </w:pPr>
      <w:r w:rsidRPr="00D92931">
        <w:t>Means that Solution 1-B implies SSB, that may get muted, for inter-IAB stage 2 cell search is at least TDM with SSB used for UE cell search and measurements</w:t>
      </w:r>
    </w:p>
    <w:p w14:paraId="6E10F03F" w14:textId="77777777" w:rsidR="000F63D6" w:rsidRPr="00D92931" w:rsidRDefault="000F63D6" w:rsidP="00312B4B">
      <w:pPr>
        <w:spacing w:before="60" w:after="120" w:line="240" w:lineRule="auto"/>
        <w:jc w:val="both"/>
        <w:rPr>
          <w:rFonts w:ascii="Calibri" w:hAnsi="Calibri"/>
          <w:szCs w:val="20"/>
        </w:rPr>
      </w:pPr>
    </w:p>
    <w:p w14:paraId="40993FFE" w14:textId="77777777" w:rsidR="000F63D6" w:rsidRPr="00D36DD1" w:rsidRDefault="000F63D6" w:rsidP="000F63D6">
      <w:pPr>
        <w:rPr>
          <w:szCs w:val="20"/>
          <w:lang w:eastAsia="x-none"/>
        </w:rPr>
      </w:pPr>
      <w:r w:rsidRPr="00D36DD1">
        <w:rPr>
          <w:szCs w:val="20"/>
          <w:highlight w:val="green"/>
          <w:lang w:eastAsia="x-none"/>
        </w:rPr>
        <w:t>Agreements</w:t>
      </w:r>
      <w:r w:rsidRPr="00D36DD1">
        <w:rPr>
          <w:szCs w:val="20"/>
          <w:lang w:eastAsia="x-none"/>
        </w:rPr>
        <w:t>:</w:t>
      </w:r>
    </w:p>
    <w:p w14:paraId="5238B8A8" w14:textId="77777777" w:rsidR="000F63D6" w:rsidRPr="00D36DD1" w:rsidRDefault="000F63D6" w:rsidP="00312B4B">
      <w:r w:rsidRPr="00D36DD1">
        <w:t>Solution 1-A and Solution 1-B are both supported</w:t>
      </w:r>
    </w:p>
    <w:p w14:paraId="6510E683" w14:textId="77777777" w:rsidR="000F63D6" w:rsidRPr="00D36DD1" w:rsidRDefault="000F63D6" w:rsidP="00312B4B">
      <w:pPr>
        <w:pStyle w:val="ListParagraph"/>
        <w:numPr>
          <w:ilvl w:val="0"/>
          <w:numId w:val="44"/>
        </w:numPr>
        <w:ind w:firstLineChars="0"/>
      </w:pPr>
      <w:r w:rsidRPr="00D36DD1">
        <w:t xml:space="preserve">Enhancements for off-raster SSB, e.g. new periodicities and time-domain mapping can be considered </w:t>
      </w:r>
    </w:p>
    <w:p w14:paraId="5468157E" w14:textId="77777777" w:rsidR="000F63D6" w:rsidRDefault="000F63D6" w:rsidP="000F63D6">
      <w:pPr>
        <w:rPr>
          <w:lang w:eastAsia="x-none"/>
        </w:rPr>
      </w:pPr>
    </w:p>
    <w:p w14:paraId="380D5DD0" w14:textId="77777777" w:rsidR="000F63D6" w:rsidRPr="00D36DD1" w:rsidRDefault="000F63D6" w:rsidP="000F63D6">
      <w:pPr>
        <w:rPr>
          <w:szCs w:val="20"/>
          <w:lang w:eastAsia="x-none"/>
        </w:rPr>
      </w:pPr>
      <w:r w:rsidRPr="00D36DD1">
        <w:rPr>
          <w:szCs w:val="20"/>
          <w:highlight w:val="green"/>
          <w:lang w:eastAsia="x-none"/>
        </w:rPr>
        <w:t>Agreements</w:t>
      </w:r>
      <w:r w:rsidRPr="00D36DD1">
        <w:rPr>
          <w:szCs w:val="20"/>
          <w:lang w:eastAsia="x-none"/>
        </w:rPr>
        <w:t>:</w:t>
      </w:r>
    </w:p>
    <w:p w14:paraId="73D4C2A3" w14:textId="77777777" w:rsidR="000F63D6" w:rsidRPr="00D36DD1" w:rsidRDefault="000F63D6" w:rsidP="00312B4B">
      <w:r w:rsidRPr="00D36DD1">
        <w:t>CSI-RS can be used for inter-IAB detection in synchronous network</w:t>
      </w:r>
    </w:p>
    <w:p w14:paraId="443BCB65" w14:textId="77777777" w:rsidR="000F63D6" w:rsidRPr="00D36DD1" w:rsidRDefault="000F63D6" w:rsidP="00312B4B">
      <w:pPr>
        <w:pStyle w:val="ListParagraph"/>
        <w:numPr>
          <w:ilvl w:val="0"/>
          <w:numId w:val="44"/>
        </w:numPr>
        <w:ind w:firstLineChars="0"/>
      </w:pPr>
      <w:r w:rsidRPr="00D36DD1">
        <w:t>E</w:t>
      </w:r>
      <w:proofErr w:type="spellStart"/>
      <w:r w:rsidRPr="00312B4B">
        <w:rPr>
          <w:rStyle w:val="ListParagraphChar"/>
          <w:rFonts w:eastAsiaTheme="minorHAnsi"/>
        </w:rPr>
        <w:t>xtended</w:t>
      </w:r>
      <w:proofErr w:type="spellEnd"/>
      <w:r w:rsidRPr="00312B4B">
        <w:rPr>
          <w:rStyle w:val="ListParagraphChar"/>
          <w:rFonts w:eastAsiaTheme="minorHAnsi"/>
        </w:rPr>
        <w:t xml:space="preserve"> CSI-RS periodicities can be considered.</w:t>
      </w:r>
      <w:r w:rsidRPr="00D36DD1">
        <w:t xml:space="preserve"> </w:t>
      </w:r>
    </w:p>
    <w:p w14:paraId="4C5B7CC3" w14:textId="77777777" w:rsidR="008E3407" w:rsidRPr="00312B4B" w:rsidRDefault="008E3407">
      <w:pPr>
        <w:rPr>
          <w:lang w:val="en-GB"/>
        </w:rPr>
      </w:pPr>
    </w:p>
    <w:p w14:paraId="717069D7" w14:textId="64C0B59B" w:rsidR="003C7202" w:rsidRPr="0048517E" w:rsidRDefault="0048517E" w:rsidP="00312B4B">
      <w:pPr>
        <w:pStyle w:val="Heading2"/>
        <w:spacing w:after="240"/>
        <w:rPr>
          <w:sz w:val="28"/>
        </w:rPr>
      </w:pPr>
      <w:r w:rsidRPr="0048517E">
        <w:rPr>
          <w:sz w:val="28"/>
        </w:rPr>
        <w:t xml:space="preserve"> </w:t>
      </w:r>
      <w:r w:rsidR="003C7202" w:rsidRPr="0048517E">
        <w:rPr>
          <w:sz w:val="28"/>
        </w:rPr>
        <w:t>Synchronization</w:t>
      </w:r>
    </w:p>
    <w:p w14:paraId="3CE68AD0" w14:textId="5003F24B" w:rsidR="003C7202" w:rsidRPr="0048517E" w:rsidRDefault="0048517E" w:rsidP="00312B4B">
      <w:pPr>
        <w:pStyle w:val="Heading3"/>
        <w:spacing w:after="240"/>
        <w:rPr>
          <w:sz w:val="24"/>
        </w:rPr>
      </w:pPr>
      <w:r w:rsidRPr="0048517E">
        <w:rPr>
          <w:sz w:val="24"/>
        </w:rPr>
        <w:t xml:space="preserve"> </w:t>
      </w:r>
      <w:r w:rsidR="00B7379D" w:rsidRPr="0048517E">
        <w:rPr>
          <w:sz w:val="24"/>
        </w:rPr>
        <w:t>RAN1 #94bis</w:t>
      </w:r>
    </w:p>
    <w:p w14:paraId="4AA8EFA1" w14:textId="77777777" w:rsidR="00891CD0" w:rsidRPr="00565FB6" w:rsidRDefault="00891CD0" w:rsidP="00891CD0">
      <w:pPr>
        <w:rPr>
          <w:rFonts w:ascii="Times New Roman" w:hAnsi="Times New Roman"/>
          <w:szCs w:val="20"/>
          <w:lang w:eastAsia="x-none"/>
        </w:rPr>
      </w:pPr>
      <w:r w:rsidRPr="00565FB6">
        <w:rPr>
          <w:rFonts w:ascii="Times New Roman" w:hAnsi="Times New Roman"/>
          <w:szCs w:val="20"/>
          <w:highlight w:val="green"/>
          <w:lang w:eastAsia="x-none"/>
        </w:rPr>
        <w:t>Agreements</w:t>
      </w:r>
      <w:r w:rsidRPr="00565FB6">
        <w:rPr>
          <w:rFonts w:ascii="Times New Roman" w:hAnsi="Times New Roman"/>
          <w:szCs w:val="20"/>
          <w:lang w:eastAsia="x-none"/>
        </w:rPr>
        <w:t>:</w:t>
      </w:r>
    </w:p>
    <w:p w14:paraId="4DFDC4EF" w14:textId="77777777" w:rsidR="00891CD0" w:rsidRPr="00565FB6" w:rsidRDefault="00891CD0" w:rsidP="00312B4B">
      <w:r w:rsidRPr="00565FB6">
        <w:t>For Timing and Synchronization</w:t>
      </w:r>
    </w:p>
    <w:p w14:paraId="1B78EFAD" w14:textId="77777777" w:rsidR="00891CD0" w:rsidRPr="00565FB6" w:rsidRDefault="00891CD0" w:rsidP="00312B4B">
      <w:pPr>
        <w:pStyle w:val="ListParagraph"/>
        <w:numPr>
          <w:ilvl w:val="0"/>
          <w:numId w:val="51"/>
        </w:numPr>
        <w:ind w:firstLineChars="0"/>
        <w:rPr>
          <w:lang w:val="en-GB"/>
        </w:rPr>
      </w:pPr>
      <w:r w:rsidRPr="00565FB6">
        <w:rPr>
          <w:lang w:val="en-GB"/>
        </w:rPr>
        <w:t>For case #1 &amp; case #7, if DL TX and UL RX are not well aligned at the parent node, additional information about the alignment is needed for the child node to properly set its DL TX timing for OTA based timing &amp; synchronization</w:t>
      </w:r>
    </w:p>
    <w:p w14:paraId="098F7414" w14:textId="77777777" w:rsidR="00891CD0" w:rsidRPr="00565FB6" w:rsidRDefault="00891CD0" w:rsidP="00312B4B">
      <w:pPr>
        <w:pStyle w:val="ListParagraph"/>
        <w:numPr>
          <w:ilvl w:val="0"/>
          <w:numId w:val="51"/>
        </w:numPr>
        <w:ind w:firstLineChars="0"/>
        <w:rPr>
          <w:lang w:val="en-GB"/>
        </w:rPr>
      </w:pPr>
      <w:r w:rsidRPr="00565FB6">
        <w:t xml:space="preserve">Case #7 to be supported if and only if compatible with release 15 </w:t>
      </w:r>
      <w:proofErr w:type="spellStart"/>
      <w:r w:rsidRPr="00565FB6">
        <w:t>Ues</w:t>
      </w:r>
      <w:proofErr w:type="spellEnd"/>
    </w:p>
    <w:p w14:paraId="5F64C788" w14:textId="77777777" w:rsidR="00891CD0" w:rsidRPr="00565FB6" w:rsidRDefault="00891CD0" w:rsidP="00312B4B">
      <w:pPr>
        <w:pStyle w:val="ListParagraph"/>
        <w:numPr>
          <w:ilvl w:val="1"/>
          <w:numId w:val="51"/>
        </w:numPr>
        <w:ind w:firstLineChars="0"/>
        <w:rPr>
          <w:lang w:val="en-GB"/>
        </w:rPr>
      </w:pPr>
      <w:r w:rsidRPr="00565FB6">
        <w:rPr>
          <w:lang w:val="en-GB"/>
        </w:rPr>
        <w:t xml:space="preserve">Further check </w:t>
      </w:r>
      <w:proofErr w:type="spellStart"/>
      <w:r w:rsidRPr="00565FB6">
        <w:rPr>
          <w:lang w:val="en-GB"/>
        </w:rPr>
        <w:t>w.r.t.</w:t>
      </w:r>
      <w:proofErr w:type="spellEnd"/>
      <w:r w:rsidRPr="00565FB6">
        <w:rPr>
          <w:lang w:val="en-GB"/>
        </w:rPr>
        <w:t xml:space="preserve"> compatibility</w:t>
      </w:r>
    </w:p>
    <w:p w14:paraId="384782F3" w14:textId="77777777" w:rsidR="00891CD0" w:rsidRPr="00565FB6" w:rsidRDefault="00891CD0" w:rsidP="00312B4B">
      <w:pPr>
        <w:pStyle w:val="ListParagraph"/>
        <w:numPr>
          <w:ilvl w:val="0"/>
          <w:numId w:val="51"/>
        </w:numPr>
        <w:ind w:firstLineChars="0"/>
      </w:pPr>
      <w:r w:rsidRPr="00565FB6">
        <w:t>Support of case #6 is FFS</w:t>
      </w:r>
    </w:p>
    <w:p w14:paraId="2A777640" w14:textId="77777777" w:rsidR="00891CD0" w:rsidRDefault="00891CD0" w:rsidP="00312B4B">
      <w:pPr>
        <w:pStyle w:val="ListParagraph"/>
        <w:numPr>
          <w:ilvl w:val="0"/>
          <w:numId w:val="51"/>
        </w:numPr>
        <w:ind w:firstLineChars="0"/>
      </w:pPr>
      <w:r w:rsidRPr="00565FB6">
        <w:t>No other cases are supported</w:t>
      </w:r>
    </w:p>
    <w:p w14:paraId="7CD533C1" w14:textId="77777777" w:rsidR="00B7379D" w:rsidRPr="00312B4B" w:rsidRDefault="00B7379D">
      <w:pPr>
        <w:rPr>
          <w:lang w:val="en-GB"/>
        </w:rPr>
      </w:pPr>
    </w:p>
    <w:p w14:paraId="7D874271" w14:textId="4273122B" w:rsidR="003C7202" w:rsidRPr="0048517E" w:rsidRDefault="0048517E" w:rsidP="00312B4B">
      <w:pPr>
        <w:pStyle w:val="Heading2"/>
        <w:spacing w:after="240"/>
        <w:rPr>
          <w:sz w:val="28"/>
        </w:rPr>
      </w:pPr>
      <w:r w:rsidRPr="0048517E">
        <w:rPr>
          <w:sz w:val="28"/>
        </w:rPr>
        <w:t xml:space="preserve"> </w:t>
      </w:r>
      <w:r w:rsidR="003C7202" w:rsidRPr="0048517E">
        <w:rPr>
          <w:sz w:val="28"/>
        </w:rPr>
        <w:t>Resource management</w:t>
      </w:r>
    </w:p>
    <w:p w14:paraId="1AE655A5" w14:textId="538CDD2D" w:rsidR="000E46D4" w:rsidRPr="0048517E" w:rsidRDefault="0048517E" w:rsidP="00312B4B">
      <w:pPr>
        <w:pStyle w:val="Heading3"/>
        <w:spacing w:after="240"/>
        <w:rPr>
          <w:sz w:val="24"/>
        </w:rPr>
      </w:pPr>
      <w:r w:rsidRPr="0048517E">
        <w:rPr>
          <w:sz w:val="24"/>
        </w:rPr>
        <w:t xml:space="preserve"> </w:t>
      </w:r>
      <w:r w:rsidR="000E46D4" w:rsidRPr="0048517E">
        <w:rPr>
          <w:sz w:val="24"/>
        </w:rPr>
        <w:t>RAN1 #94bis</w:t>
      </w:r>
    </w:p>
    <w:p w14:paraId="2F750BB8" w14:textId="77777777" w:rsidR="009B5589" w:rsidRPr="00AB1198" w:rsidRDefault="009B5589" w:rsidP="009B5589">
      <w:pPr>
        <w:rPr>
          <w:b/>
          <w:szCs w:val="20"/>
          <w:lang w:eastAsia="x-none"/>
        </w:rPr>
      </w:pPr>
      <w:r w:rsidRPr="00AB1198">
        <w:rPr>
          <w:szCs w:val="20"/>
          <w:highlight w:val="green"/>
          <w:lang w:eastAsia="x-none"/>
        </w:rPr>
        <w:t>Agreements</w:t>
      </w:r>
      <w:r w:rsidRPr="00AB1198">
        <w:rPr>
          <w:b/>
          <w:szCs w:val="20"/>
          <w:lang w:eastAsia="x-none"/>
        </w:rPr>
        <w:t>:</w:t>
      </w:r>
    </w:p>
    <w:p w14:paraId="384F52CF" w14:textId="77777777" w:rsidR="009B5589" w:rsidRPr="00AB1198" w:rsidRDefault="009B5589" w:rsidP="009B5589">
      <w:pPr>
        <w:rPr>
          <w:rFonts w:ascii="Calibri" w:hAnsi="Calibri"/>
          <w:szCs w:val="20"/>
        </w:rPr>
      </w:pPr>
      <w:r w:rsidRPr="00AB1198">
        <w:rPr>
          <w:rFonts w:ascii="Calibri" w:hAnsi="Calibri"/>
          <w:szCs w:val="20"/>
        </w:rPr>
        <w:t>From an MT point-of-view, the following time-domain resources can be indicated for the parent link:</w:t>
      </w:r>
    </w:p>
    <w:p w14:paraId="5628952E" w14:textId="77777777" w:rsidR="009B5589" w:rsidRPr="00AB1198" w:rsidRDefault="009B5589" w:rsidP="00312B4B">
      <w:pPr>
        <w:pStyle w:val="ListParagraph"/>
        <w:numPr>
          <w:ilvl w:val="0"/>
          <w:numId w:val="47"/>
        </w:numPr>
        <w:ind w:firstLineChars="0"/>
        <w:rPr>
          <w:lang w:eastAsia="sv-SE"/>
        </w:rPr>
      </w:pPr>
      <w:r w:rsidRPr="00AB1198">
        <w:t>Downlink time resource,</w:t>
      </w:r>
    </w:p>
    <w:p w14:paraId="6DEFF893" w14:textId="77777777" w:rsidR="009B5589" w:rsidRPr="00AB1198" w:rsidRDefault="009B5589" w:rsidP="00312B4B">
      <w:pPr>
        <w:pStyle w:val="ListParagraph"/>
        <w:numPr>
          <w:ilvl w:val="0"/>
          <w:numId w:val="47"/>
        </w:numPr>
        <w:ind w:firstLineChars="0"/>
      </w:pPr>
      <w:r w:rsidRPr="00AB1198">
        <w:t xml:space="preserve">uplink time resource, </w:t>
      </w:r>
    </w:p>
    <w:p w14:paraId="2A200AB4" w14:textId="77777777" w:rsidR="009B5589" w:rsidRPr="00AB1198" w:rsidRDefault="009B5589" w:rsidP="00312B4B">
      <w:pPr>
        <w:pStyle w:val="ListParagraph"/>
        <w:numPr>
          <w:ilvl w:val="0"/>
          <w:numId w:val="47"/>
        </w:numPr>
        <w:ind w:firstLineChars="0"/>
      </w:pPr>
      <w:r w:rsidRPr="00AB1198">
        <w:t xml:space="preserve">flexible time resource </w:t>
      </w:r>
    </w:p>
    <w:p w14:paraId="2A475310" w14:textId="77777777" w:rsidR="009B5589" w:rsidRPr="00AB1198" w:rsidRDefault="009B5589" w:rsidP="009B5589">
      <w:pPr>
        <w:rPr>
          <w:rFonts w:ascii="SimSun" w:hAnsi="SimSun"/>
          <w:szCs w:val="20"/>
        </w:rPr>
      </w:pPr>
      <w:r w:rsidRPr="00AB1198">
        <w:rPr>
          <w:rFonts w:ascii="Calibri" w:hAnsi="Calibri"/>
          <w:szCs w:val="20"/>
        </w:rPr>
        <w:t>as in release 15.</w:t>
      </w:r>
    </w:p>
    <w:p w14:paraId="0D4A6515" w14:textId="77777777" w:rsidR="009B5589" w:rsidRPr="00AB1198" w:rsidRDefault="009B5589" w:rsidP="009B5589">
      <w:pPr>
        <w:rPr>
          <w:szCs w:val="20"/>
        </w:rPr>
      </w:pPr>
      <w:r w:rsidRPr="00AB1198">
        <w:rPr>
          <w:rFonts w:ascii="Calibri" w:hAnsi="Calibri"/>
          <w:szCs w:val="20"/>
        </w:rPr>
        <w:t>From a DU point-of-view, the child link has the following types of time resources</w:t>
      </w:r>
    </w:p>
    <w:p w14:paraId="7A14890D" w14:textId="77777777" w:rsidR="009B5589" w:rsidRPr="00AB1198" w:rsidRDefault="009B5589" w:rsidP="00312B4B">
      <w:pPr>
        <w:pStyle w:val="ListParagraph"/>
        <w:numPr>
          <w:ilvl w:val="0"/>
          <w:numId w:val="48"/>
        </w:numPr>
        <w:ind w:firstLineChars="0"/>
      </w:pPr>
      <w:r w:rsidRPr="00AB1198">
        <w:t>Downlink time resource,</w:t>
      </w:r>
    </w:p>
    <w:p w14:paraId="00DAC14C" w14:textId="77777777" w:rsidR="009B5589" w:rsidRPr="00AB1198" w:rsidRDefault="009B5589" w:rsidP="00312B4B">
      <w:pPr>
        <w:pStyle w:val="ListParagraph"/>
        <w:numPr>
          <w:ilvl w:val="0"/>
          <w:numId w:val="48"/>
        </w:numPr>
        <w:ind w:firstLineChars="0"/>
      </w:pPr>
      <w:r w:rsidRPr="00AB1198">
        <w:t xml:space="preserve">uplink time resource, </w:t>
      </w:r>
    </w:p>
    <w:p w14:paraId="6336209A" w14:textId="77777777" w:rsidR="009B5589" w:rsidRPr="00AB1198" w:rsidRDefault="009B5589" w:rsidP="00312B4B">
      <w:pPr>
        <w:pStyle w:val="ListParagraph"/>
        <w:numPr>
          <w:ilvl w:val="0"/>
          <w:numId w:val="48"/>
        </w:numPr>
        <w:ind w:firstLineChars="0"/>
      </w:pPr>
      <w:r w:rsidRPr="00AB1198">
        <w:t xml:space="preserve">flexible time resource </w:t>
      </w:r>
    </w:p>
    <w:p w14:paraId="2E8DA34B" w14:textId="77777777" w:rsidR="009B5589" w:rsidRPr="00AB1198" w:rsidRDefault="009B5589" w:rsidP="00312B4B">
      <w:pPr>
        <w:pStyle w:val="ListParagraph"/>
        <w:numPr>
          <w:ilvl w:val="0"/>
          <w:numId w:val="48"/>
        </w:numPr>
        <w:ind w:firstLineChars="0"/>
      </w:pPr>
      <w:r w:rsidRPr="00AB1198">
        <w:t xml:space="preserve">not available time resources (not to be used for communication on the DU child links) </w:t>
      </w:r>
    </w:p>
    <w:p w14:paraId="0ABE300B" w14:textId="6FAE1A32" w:rsidR="009B5589" w:rsidRPr="00AB1198" w:rsidRDefault="009B5589" w:rsidP="009B5589">
      <w:pPr>
        <w:rPr>
          <w:rFonts w:ascii="Calibri" w:hAnsi="Calibri"/>
          <w:szCs w:val="20"/>
        </w:rPr>
      </w:pPr>
      <w:r w:rsidRPr="00AB1198">
        <w:rPr>
          <w:rFonts w:ascii="Calibri" w:hAnsi="Calibri"/>
          <w:szCs w:val="20"/>
        </w:rPr>
        <w:t>Exact configuration for DU is FFS</w:t>
      </w:r>
      <w:r w:rsidR="00B11AC2">
        <w:rPr>
          <w:rFonts w:ascii="Calibri" w:hAnsi="Calibri"/>
          <w:szCs w:val="20"/>
        </w:rPr>
        <w:t>.</w:t>
      </w:r>
    </w:p>
    <w:p w14:paraId="11C37AC5" w14:textId="24A7B50B" w:rsidR="00B11AC2" w:rsidRDefault="00B11AC2" w:rsidP="009B5589">
      <w:pPr>
        <w:rPr>
          <w:lang w:eastAsia="x-none"/>
        </w:rPr>
      </w:pPr>
    </w:p>
    <w:p w14:paraId="727E50B8" w14:textId="77777777" w:rsidR="009B5589" w:rsidRPr="001213E7" w:rsidRDefault="009B5589" w:rsidP="00312B4B">
      <w:pPr>
        <w:rPr>
          <w:b/>
          <w:lang w:val="en-GB"/>
        </w:rPr>
      </w:pPr>
      <w:r w:rsidRPr="001213E7">
        <w:rPr>
          <w:highlight w:val="green"/>
          <w:lang w:val="en-GB"/>
        </w:rPr>
        <w:t>Agreements</w:t>
      </w:r>
      <w:r w:rsidRPr="001213E7">
        <w:rPr>
          <w:b/>
          <w:lang w:val="en-GB"/>
        </w:rPr>
        <w:t>:</w:t>
      </w:r>
    </w:p>
    <w:p w14:paraId="72EB8DB0" w14:textId="77777777" w:rsidR="009B5589" w:rsidRPr="001213E7" w:rsidRDefault="009B5589" w:rsidP="00312B4B">
      <w:r w:rsidRPr="001213E7">
        <w:t>For each of the downlink, uplink and flexible time-resource types of the DU child link there are two flavors, hard and soft:</w:t>
      </w:r>
    </w:p>
    <w:p w14:paraId="51A79A0A" w14:textId="77777777" w:rsidR="009B5589" w:rsidRPr="001213E7" w:rsidRDefault="009B5589" w:rsidP="00312B4B">
      <w:pPr>
        <w:pStyle w:val="ListParagraph"/>
        <w:numPr>
          <w:ilvl w:val="0"/>
          <w:numId w:val="49"/>
        </w:numPr>
        <w:ind w:firstLineChars="0"/>
      </w:pPr>
      <w:r w:rsidRPr="001213E7">
        <w:t xml:space="preserve">Hard: The corresponding time resource is always available for the DU child link </w:t>
      </w:r>
    </w:p>
    <w:p w14:paraId="25CD4A46" w14:textId="77777777" w:rsidR="009B5589" w:rsidRPr="001213E7" w:rsidRDefault="009B5589" w:rsidP="00312B4B">
      <w:pPr>
        <w:pStyle w:val="ListParagraph"/>
        <w:numPr>
          <w:ilvl w:val="0"/>
          <w:numId w:val="49"/>
        </w:numPr>
        <w:ind w:firstLineChars="0"/>
      </w:pPr>
      <w:r w:rsidRPr="001213E7">
        <w:t xml:space="preserve">Soft: The availability of the corresponding time resource for the DU child link is explicitly and/or implicitly controlled by the parent node. </w:t>
      </w:r>
    </w:p>
    <w:p w14:paraId="11685CD3" w14:textId="77777777" w:rsidR="003C7202" w:rsidRDefault="003C7202">
      <w:pPr>
        <w:rPr>
          <w:lang w:val="en-GB"/>
        </w:rPr>
      </w:pPr>
    </w:p>
    <w:p w14:paraId="7F0CBCF5" w14:textId="7EABAD29" w:rsidR="003C7202" w:rsidRPr="0048517E" w:rsidRDefault="0048517E" w:rsidP="00312B4B">
      <w:pPr>
        <w:pStyle w:val="Heading2"/>
        <w:spacing w:after="240"/>
        <w:rPr>
          <w:sz w:val="28"/>
        </w:rPr>
      </w:pPr>
      <w:r w:rsidRPr="0048517E">
        <w:rPr>
          <w:sz w:val="28"/>
        </w:rPr>
        <w:t xml:space="preserve"> </w:t>
      </w:r>
      <w:r w:rsidR="003C7202" w:rsidRPr="0048517E">
        <w:rPr>
          <w:sz w:val="28"/>
        </w:rPr>
        <w:t>Power control</w:t>
      </w:r>
    </w:p>
    <w:p w14:paraId="56674FC1" w14:textId="1B1F08D0" w:rsidR="00A93F25" w:rsidRPr="0048517E" w:rsidRDefault="0048517E" w:rsidP="00312B4B">
      <w:pPr>
        <w:pStyle w:val="Heading3"/>
        <w:spacing w:after="240"/>
        <w:rPr>
          <w:sz w:val="24"/>
        </w:rPr>
      </w:pPr>
      <w:bookmarkStart w:id="29" w:name="_Ref528848944"/>
      <w:r w:rsidRPr="0048517E">
        <w:rPr>
          <w:sz w:val="24"/>
        </w:rPr>
        <w:t xml:space="preserve"> </w:t>
      </w:r>
      <w:r w:rsidR="00D63E3B" w:rsidRPr="0048517E">
        <w:rPr>
          <w:sz w:val="24"/>
        </w:rPr>
        <w:t>RAN1 #93</w:t>
      </w:r>
      <w:bookmarkEnd w:id="29"/>
    </w:p>
    <w:p w14:paraId="41B77856" w14:textId="77777777" w:rsidR="00D63E3B" w:rsidRPr="00B824DF" w:rsidRDefault="00D63E3B" w:rsidP="00D63E3B">
      <w:pPr>
        <w:rPr>
          <w:szCs w:val="20"/>
          <w:lang w:eastAsia="x-none"/>
        </w:rPr>
      </w:pPr>
      <w:r w:rsidRPr="00B824DF">
        <w:rPr>
          <w:szCs w:val="20"/>
          <w:highlight w:val="green"/>
          <w:lang w:eastAsia="x-none"/>
        </w:rPr>
        <w:t>Agreements</w:t>
      </w:r>
      <w:r w:rsidRPr="00B824DF">
        <w:rPr>
          <w:szCs w:val="20"/>
          <w:lang w:eastAsia="x-none"/>
        </w:rPr>
        <w:t>:</w:t>
      </w:r>
    </w:p>
    <w:p w14:paraId="36904499" w14:textId="77777777" w:rsidR="00D63E3B" w:rsidRPr="00B824DF" w:rsidRDefault="00D63E3B" w:rsidP="00312B4B">
      <w:r w:rsidRPr="00B824DF">
        <w:t>IAB supports TDM, FDM, and SDM between Access and BH links at an IAB node, subject to a half-duplex constraint. Further study the following solutions for the different multiplexing options:</w:t>
      </w:r>
    </w:p>
    <w:p w14:paraId="57A474C0" w14:textId="77777777" w:rsidR="00D63E3B" w:rsidRPr="00B824DF" w:rsidRDefault="00D63E3B" w:rsidP="00312B4B">
      <w:pPr>
        <w:pStyle w:val="ListParagraph"/>
        <w:numPr>
          <w:ilvl w:val="0"/>
          <w:numId w:val="50"/>
        </w:numPr>
        <w:ind w:firstLineChars="0"/>
      </w:pPr>
      <w:r>
        <w:t>…</w:t>
      </w:r>
    </w:p>
    <w:p w14:paraId="47D57FF3" w14:textId="77777777" w:rsidR="00D63E3B" w:rsidRDefault="00D63E3B" w:rsidP="00312B4B">
      <w:pPr>
        <w:pStyle w:val="ListParagraph"/>
        <w:numPr>
          <w:ilvl w:val="0"/>
          <w:numId w:val="50"/>
        </w:numPr>
        <w:ind w:firstLineChars="0"/>
      </w:pPr>
      <w:r w:rsidRPr="00B824DF">
        <w:t>DL and UL power control enhancements and timing requirements to allow for intra-panel FDM and SDM of backhaul and access links.</w:t>
      </w:r>
    </w:p>
    <w:p w14:paraId="078CDAED" w14:textId="5779C40D" w:rsidR="00D63E3B" w:rsidRDefault="00D63E3B" w:rsidP="00312B4B">
      <w:pPr>
        <w:pStyle w:val="ListParagraph"/>
        <w:numPr>
          <w:ilvl w:val="0"/>
          <w:numId w:val="50"/>
        </w:numPr>
        <w:ind w:firstLineChars="0"/>
      </w:pPr>
      <w:r w:rsidRPr="00312B4B">
        <w:t>…</w:t>
      </w:r>
    </w:p>
    <w:p w14:paraId="756309ED" w14:textId="77777777" w:rsidR="00D63E3B" w:rsidRPr="00D63E3B" w:rsidRDefault="00D63E3B"/>
    <w:p w14:paraId="5F489E6E" w14:textId="33004230" w:rsidR="005445FC" w:rsidRPr="0048517E" w:rsidRDefault="0048517E" w:rsidP="00312B4B">
      <w:pPr>
        <w:pStyle w:val="Heading2"/>
        <w:spacing w:after="240"/>
        <w:rPr>
          <w:sz w:val="28"/>
        </w:rPr>
      </w:pPr>
      <w:r w:rsidRPr="0048517E">
        <w:rPr>
          <w:sz w:val="28"/>
        </w:rPr>
        <w:t xml:space="preserve"> </w:t>
      </w:r>
      <w:r w:rsidR="00791721" w:rsidRPr="0048517E">
        <w:rPr>
          <w:sz w:val="28"/>
        </w:rPr>
        <w:t>Link management</w:t>
      </w:r>
    </w:p>
    <w:p w14:paraId="46AE1CE0" w14:textId="2BF7F89D" w:rsidR="00791721" w:rsidRPr="0048517E" w:rsidRDefault="0048517E" w:rsidP="00312B4B">
      <w:pPr>
        <w:pStyle w:val="Heading3"/>
        <w:spacing w:after="240"/>
        <w:rPr>
          <w:sz w:val="24"/>
        </w:rPr>
      </w:pPr>
      <w:bookmarkStart w:id="30" w:name="_Ref528830947"/>
      <w:r w:rsidRPr="0048517E">
        <w:rPr>
          <w:sz w:val="24"/>
        </w:rPr>
        <w:t xml:space="preserve"> </w:t>
      </w:r>
      <w:r w:rsidR="00791721" w:rsidRPr="0048517E">
        <w:rPr>
          <w:sz w:val="24"/>
        </w:rPr>
        <w:t>RAN1 #94</w:t>
      </w:r>
      <w:bookmarkEnd w:id="30"/>
    </w:p>
    <w:p w14:paraId="0AA4402D" w14:textId="77777777" w:rsidR="00C3781B" w:rsidRDefault="00C3781B" w:rsidP="00C3781B">
      <w:pPr>
        <w:rPr>
          <w:rFonts w:ascii="Times" w:eastAsia="Batang" w:hAnsi="Times" w:cs="Times New Roman"/>
          <w:sz w:val="20"/>
          <w:szCs w:val="20"/>
          <w:lang w:eastAsia="x-none"/>
        </w:rPr>
      </w:pPr>
      <w:r>
        <w:rPr>
          <w:szCs w:val="20"/>
          <w:highlight w:val="green"/>
          <w:lang w:eastAsia="x-none"/>
        </w:rPr>
        <w:t>Agreements</w:t>
      </w:r>
      <w:r>
        <w:rPr>
          <w:szCs w:val="20"/>
          <w:lang w:eastAsia="x-none"/>
        </w:rPr>
        <w:t>:</w:t>
      </w:r>
    </w:p>
    <w:p w14:paraId="5A3EA5C2" w14:textId="77777777" w:rsidR="00C3781B" w:rsidRDefault="00C3781B" w:rsidP="00312B4B">
      <w:r>
        <w:t xml:space="preserve">To support RLM/RLF procedures for IAB nodes, the following should be further studied: </w:t>
      </w:r>
    </w:p>
    <w:p w14:paraId="275AFB5A" w14:textId="77777777" w:rsidR="00C3781B" w:rsidRDefault="00C3781B" w:rsidP="00312B4B">
      <w:pPr>
        <w:pStyle w:val="ListParagraph"/>
        <w:numPr>
          <w:ilvl w:val="0"/>
          <w:numId w:val="34"/>
        </w:numPr>
        <w:ind w:firstLineChars="0"/>
      </w:pPr>
      <w:r>
        <w:t xml:space="preserve">Enhancements to support interaction between Beam Failure Recovery success indication and RLF </w:t>
      </w:r>
    </w:p>
    <w:p w14:paraId="33432D00" w14:textId="04274892" w:rsidR="00791721" w:rsidRDefault="00C3781B" w:rsidP="00312B4B">
      <w:pPr>
        <w:pStyle w:val="ListParagraph"/>
        <w:numPr>
          <w:ilvl w:val="0"/>
          <w:numId w:val="34"/>
        </w:numPr>
        <w:ind w:firstLineChars="0"/>
      </w:pPr>
      <w:r w:rsidRPr="00CE4384">
        <w:t xml:space="preserve">Enhancements to </w:t>
      </w:r>
      <w:r w:rsidRPr="00EC77DA">
        <w:t>existing beam management procedures for faster beam switching/coordination/recovery to avoid backhaul link outages should be considered for IAB no</w:t>
      </w:r>
      <w:r w:rsidRPr="00976539">
        <w:t>des</w:t>
      </w:r>
    </w:p>
    <w:p w14:paraId="7217B372" w14:textId="3D0CE772" w:rsidR="00C3781B" w:rsidRDefault="00C3781B"/>
    <w:p w14:paraId="2940151D" w14:textId="77777777" w:rsidR="009733B5" w:rsidRDefault="009733B5" w:rsidP="009733B5">
      <w:pPr>
        <w:rPr>
          <w:rFonts w:ascii="Times" w:eastAsia="Batang" w:hAnsi="Times" w:cs="Times New Roman"/>
          <w:sz w:val="20"/>
          <w:szCs w:val="20"/>
          <w:lang w:eastAsia="x-none"/>
        </w:rPr>
      </w:pPr>
      <w:r>
        <w:rPr>
          <w:szCs w:val="20"/>
          <w:highlight w:val="green"/>
          <w:lang w:eastAsia="x-none"/>
        </w:rPr>
        <w:t>Agreements</w:t>
      </w:r>
      <w:r>
        <w:rPr>
          <w:szCs w:val="20"/>
          <w:lang w:eastAsia="x-none"/>
        </w:rPr>
        <w:t>:</w:t>
      </w:r>
    </w:p>
    <w:p w14:paraId="1A76B2C8" w14:textId="77777777" w:rsidR="009733B5" w:rsidRDefault="009733B5" w:rsidP="00312B4B">
      <w:r>
        <w:t>Study the need for additional backhaul link condition notification mechanism from the parent IAB node DU to the child IAB node as well as corresponding IAB node behavior.</w:t>
      </w:r>
    </w:p>
    <w:p w14:paraId="44B44D6C" w14:textId="77777777" w:rsidR="009733B5" w:rsidRDefault="009733B5" w:rsidP="00312B4B">
      <w:pPr>
        <w:pStyle w:val="ListParagraph"/>
        <w:numPr>
          <w:ilvl w:val="0"/>
          <w:numId w:val="35"/>
        </w:numPr>
        <w:ind w:firstLineChars="0"/>
      </w:pPr>
      <w:r>
        <w:t xml:space="preserve">E.g., if the parent IAB node’s backhaul link fails (RLF or BF) </w:t>
      </w:r>
    </w:p>
    <w:p w14:paraId="3317D60F" w14:textId="403606FB" w:rsidR="00C3781B" w:rsidRDefault="009733B5" w:rsidP="00312B4B">
      <w:pPr>
        <w:pStyle w:val="ListParagraph"/>
        <w:numPr>
          <w:ilvl w:val="0"/>
          <w:numId w:val="35"/>
        </w:numPr>
        <w:ind w:firstLineChars="0"/>
      </w:pPr>
      <w:r w:rsidRPr="00CE4384">
        <w:t xml:space="preserve">Note: this study is intended to focus on RAN1 </w:t>
      </w:r>
      <w:proofErr w:type="spellStart"/>
      <w:r w:rsidRPr="00CE4384">
        <w:t>aspecs</w:t>
      </w:r>
      <w:proofErr w:type="spellEnd"/>
      <w:r w:rsidRPr="00CE4384">
        <w:t xml:space="preserve"> only (any higher layers aspects are to be handled by other WG</w:t>
      </w:r>
      <w:r w:rsidRPr="00EC77DA">
        <w:t>s)</w:t>
      </w:r>
    </w:p>
    <w:p w14:paraId="73B6ACBD" w14:textId="298D66F6" w:rsidR="009733B5" w:rsidRDefault="009733B5"/>
    <w:p w14:paraId="30B3B27A" w14:textId="77777777" w:rsidR="009733B5" w:rsidRPr="009733B5" w:rsidRDefault="009733B5"/>
    <w:sectPr w:rsidR="009733B5" w:rsidRPr="009733B5"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31CAE" w14:textId="77777777" w:rsidR="00312B4B" w:rsidRDefault="00312B4B">
      <w:r>
        <w:separator/>
      </w:r>
    </w:p>
  </w:endnote>
  <w:endnote w:type="continuationSeparator" w:id="0">
    <w:p w14:paraId="4FE82A35" w14:textId="77777777" w:rsidR="00312B4B" w:rsidRDefault="00312B4B">
      <w:r>
        <w:continuationSeparator/>
      </w:r>
    </w:p>
  </w:endnote>
  <w:endnote w:type="continuationNotice" w:id="1">
    <w:p w14:paraId="01C62680" w14:textId="77777777" w:rsidR="00312B4B" w:rsidRDefault="00312B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A562A" w14:textId="77777777" w:rsidR="00312B4B" w:rsidRDefault="00312B4B">
      <w:r>
        <w:separator/>
      </w:r>
    </w:p>
  </w:footnote>
  <w:footnote w:type="continuationSeparator" w:id="0">
    <w:p w14:paraId="2F0EB344" w14:textId="77777777" w:rsidR="00312B4B" w:rsidRDefault="00312B4B">
      <w:r>
        <w:continuationSeparator/>
      </w:r>
    </w:p>
  </w:footnote>
  <w:footnote w:type="continuationNotice" w:id="1">
    <w:p w14:paraId="3518B0EA" w14:textId="77777777" w:rsidR="00312B4B" w:rsidRDefault="00312B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A5"/>
    <w:multiLevelType w:val="hybridMultilevel"/>
    <w:tmpl w:val="89865748"/>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468FB"/>
    <w:multiLevelType w:val="hybridMultilevel"/>
    <w:tmpl w:val="FB487F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7141A"/>
    <w:multiLevelType w:val="hybridMultilevel"/>
    <w:tmpl w:val="B0D0B47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5"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C37CEE"/>
    <w:multiLevelType w:val="hybridMultilevel"/>
    <w:tmpl w:val="F316277E"/>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 w15:restartNumberingAfterBreak="0">
    <w:nsid w:val="12992D22"/>
    <w:multiLevelType w:val="hybridMultilevel"/>
    <w:tmpl w:val="8FBEE634"/>
    <w:lvl w:ilvl="0" w:tplc="E1F88338">
      <w:start w:val="38"/>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A3F"/>
    <w:multiLevelType w:val="hybridMultilevel"/>
    <w:tmpl w:val="9462ED5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114692"/>
    <w:multiLevelType w:val="hybridMultilevel"/>
    <w:tmpl w:val="2A963B5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1" w15:restartNumberingAfterBreak="0">
    <w:nsid w:val="19F46DCA"/>
    <w:multiLevelType w:val="hybridMultilevel"/>
    <w:tmpl w:val="3C56FFBE"/>
    <w:lvl w:ilvl="0" w:tplc="0409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FA1F73"/>
    <w:multiLevelType w:val="hybridMultilevel"/>
    <w:tmpl w:val="8274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02F8E"/>
    <w:multiLevelType w:val="hybridMultilevel"/>
    <w:tmpl w:val="0A42D320"/>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1700429"/>
    <w:multiLevelType w:val="hybridMultilevel"/>
    <w:tmpl w:val="6FE63078"/>
    <w:lvl w:ilvl="0" w:tplc="6DC243E6">
      <w:start w:val="1"/>
      <w:numFmt w:val="bullet"/>
      <w:lvlText w:val="•"/>
      <w:lvlJc w:val="left"/>
      <w:pPr>
        <w:tabs>
          <w:tab w:val="num" w:pos="360"/>
        </w:tabs>
        <w:ind w:left="360" w:hanging="360"/>
      </w:pPr>
      <w:rPr>
        <w:rFonts w:ascii="Arial" w:hAnsi="Arial" w:hint="default"/>
      </w:rPr>
    </w:lvl>
    <w:lvl w:ilvl="1" w:tplc="1D06D830" w:tentative="1">
      <w:start w:val="1"/>
      <w:numFmt w:val="bullet"/>
      <w:lvlText w:val="•"/>
      <w:lvlJc w:val="left"/>
      <w:pPr>
        <w:tabs>
          <w:tab w:val="num" w:pos="1080"/>
        </w:tabs>
        <w:ind w:left="1080" w:hanging="360"/>
      </w:pPr>
      <w:rPr>
        <w:rFonts w:ascii="Arial" w:hAnsi="Arial" w:hint="default"/>
      </w:rPr>
    </w:lvl>
    <w:lvl w:ilvl="2" w:tplc="2970FFC8" w:tentative="1">
      <w:start w:val="1"/>
      <w:numFmt w:val="bullet"/>
      <w:lvlText w:val="•"/>
      <w:lvlJc w:val="left"/>
      <w:pPr>
        <w:tabs>
          <w:tab w:val="num" w:pos="1800"/>
        </w:tabs>
        <w:ind w:left="1800" w:hanging="360"/>
      </w:pPr>
      <w:rPr>
        <w:rFonts w:ascii="Arial" w:hAnsi="Arial" w:hint="default"/>
      </w:rPr>
    </w:lvl>
    <w:lvl w:ilvl="3" w:tplc="3E9E89EE" w:tentative="1">
      <w:start w:val="1"/>
      <w:numFmt w:val="bullet"/>
      <w:lvlText w:val="•"/>
      <w:lvlJc w:val="left"/>
      <w:pPr>
        <w:tabs>
          <w:tab w:val="num" w:pos="2520"/>
        </w:tabs>
        <w:ind w:left="2520" w:hanging="360"/>
      </w:pPr>
      <w:rPr>
        <w:rFonts w:ascii="Arial" w:hAnsi="Arial" w:hint="default"/>
      </w:rPr>
    </w:lvl>
    <w:lvl w:ilvl="4" w:tplc="F184EE98" w:tentative="1">
      <w:start w:val="1"/>
      <w:numFmt w:val="bullet"/>
      <w:lvlText w:val="•"/>
      <w:lvlJc w:val="left"/>
      <w:pPr>
        <w:tabs>
          <w:tab w:val="num" w:pos="3240"/>
        </w:tabs>
        <w:ind w:left="3240" w:hanging="360"/>
      </w:pPr>
      <w:rPr>
        <w:rFonts w:ascii="Arial" w:hAnsi="Arial" w:hint="default"/>
      </w:rPr>
    </w:lvl>
    <w:lvl w:ilvl="5" w:tplc="02F24558" w:tentative="1">
      <w:start w:val="1"/>
      <w:numFmt w:val="bullet"/>
      <w:lvlText w:val="•"/>
      <w:lvlJc w:val="left"/>
      <w:pPr>
        <w:tabs>
          <w:tab w:val="num" w:pos="3960"/>
        </w:tabs>
        <w:ind w:left="3960" w:hanging="360"/>
      </w:pPr>
      <w:rPr>
        <w:rFonts w:ascii="Arial" w:hAnsi="Arial" w:hint="default"/>
      </w:rPr>
    </w:lvl>
    <w:lvl w:ilvl="6" w:tplc="B28E6288" w:tentative="1">
      <w:start w:val="1"/>
      <w:numFmt w:val="bullet"/>
      <w:lvlText w:val="•"/>
      <w:lvlJc w:val="left"/>
      <w:pPr>
        <w:tabs>
          <w:tab w:val="num" w:pos="4680"/>
        </w:tabs>
        <w:ind w:left="4680" w:hanging="360"/>
      </w:pPr>
      <w:rPr>
        <w:rFonts w:ascii="Arial" w:hAnsi="Arial" w:hint="default"/>
      </w:rPr>
    </w:lvl>
    <w:lvl w:ilvl="7" w:tplc="7CBEE444" w:tentative="1">
      <w:start w:val="1"/>
      <w:numFmt w:val="bullet"/>
      <w:lvlText w:val="•"/>
      <w:lvlJc w:val="left"/>
      <w:pPr>
        <w:tabs>
          <w:tab w:val="num" w:pos="5400"/>
        </w:tabs>
        <w:ind w:left="5400" w:hanging="360"/>
      </w:pPr>
      <w:rPr>
        <w:rFonts w:ascii="Arial" w:hAnsi="Arial" w:hint="default"/>
      </w:rPr>
    </w:lvl>
    <w:lvl w:ilvl="8" w:tplc="85CAF95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5986F0C"/>
    <w:multiLevelType w:val="hybridMultilevel"/>
    <w:tmpl w:val="C63A5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947DC9"/>
    <w:multiLevelType w:val="hybridMultilevel"/>
    <w:tmpl w:val="9C2E0FA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2" w15:restartNumberingAfterBreak="0">
    <w:nsid w:val="36D255E2"/>
    <w:multiLevelType w:val="hybridMultilevel"/>
    <w:tmpl w:val="87A89868"/>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3" w15:restartNumberingAfterBreak="0">
    <w:nsid w:val="39D979BE"/>
    <w:multiLevelType w:val="hybridMultilevel"/>
    <w:tmpl w:val="770A1548"/>
    <w:lvl w:ilvl="0" w:tplc="3C9E066A">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566C4E"/>
    <w:multiLevelType w:val="hybridMultilevel"/>
    <w:tmpl w:val="6DEE9E76"/>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0ED7A7D"/>
    <w:multiLevelType w:val="hybridMultilevel"/>
    <w:tmpl w:val="1EF2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5B1467"/>
    <w:multiLevelType w:val="hybridMultilevel"/>
    <w:tmpl w:val="DE24CCE6"/>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5563A83"/>
    <w:multiLevelType w:val="hybridMultilevel"/>
    <w:tmpl w:val="D38AD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A45B57"/>
    <w:multiLevelType w:val="hybridMultilevel"/>
    <w:tmpl w:val="EAC292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3C2ECF"/>
    <w:multiLevelType w:val="hybridMultilevel"/>
    <w:tmpl w:val="D652C2C8"/>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15:restartNumberingAfterBreak="0">
    <w:nsid w:val="51A448D0"/>
    <w:multiLevelType w:val="hybridMultilevel"/>
    <w:tmpl w:val="3EF6EC0A"/>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34"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5C6E38C7"/>
    <w:multiLevelType w:val="hybridMultilevel"/>
    <w:tmpl w:val="9500B530"/>
    <w:lvl w:ilvl="0" w:tplc="4C7E065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905B05"/>
    <w:multiLevelType w:val="hybridMultilevel"/>
    <w:tmpl w:val="10FAC326"/>
    <w:lvl w:ilvl="0" w:tplc="0409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5D107D4D"/>
    <w:multiLevelType w:val="hybridMultilevel"/>
    <w:tmpl w:val="A9BAC8DE"/>
    <w:lvl w:ilvl="0" w:tplc="21A055A4">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3FD3A69"/>
    <w:multiLevelType w:val="hybridMultilevel"/>
    <w:tmpl w:val="3576746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7353BD9"/>
    <w:multiLevelType w:val="hybridMultilevel"/>
    <w:tmpl w:val="B590C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815C37"/>
    <w:multiLevelType w:val="hybridMultilevel"/>
    <w:tmpl w:val="07DA74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631423"/>
    <w:multiLevelType w:val="hybridMultilevel"/>
    <w:tmpl w:val="93D6FC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BDB4F84"/>
    <w:multiLevelType w:val="hybridMultilevel"/>
    <w:tmpl w:val="CA5CB2C4"/>
    <w:lvl w:ilvl="0" w:tplc="615EE00E">
      <w:start w:val="1"/>
      <w:numFmt w:val="bullet"/>
      <w:lvlText w:val="•"/>
      <w:lvlJc w:val="left"/>
      <w:pPr>
        <w:tabs>
          <w:tab w:val="num" w:pos="360"/>
        </w:tabs>
        <w:ind w:left="360" w:hanging="360"/>
      </w:pPr>
      <w:rPr>
        <w:rFonts w:ascii="Arial" w:hAnsi="Arial" w:hint="default"/>
      </w:rPr>
    </w:lvl>
    <w:lvl w:ilvl="1" w:tplc="0BD2F022" w:tentative="1">
      <w:start w:val="1"/>
      <w:numFmt w:val="bullet"/>
      <w:lvlText w:val="•"/>
      <w:lvlJc w:val="left"/>
      <w:pPr>
        <w:tabs>
          <w:tab w:val="num" w:pos="1080"/>
        </w:tabs>
        <w:ind w:left="1080" w:hanging="360"/>
      </w:pPr>
      <w:rPr>
        <w:rFonts w:ascii="Arial" w:hAnsi="Arial" w:hint="default"/>
      </w:rPr>
    </w:lvl>
    <w:lvl w:ilvl="2" w:tplc="CA0829BA" w:tentative="1">
      <w:start w:val="1"/>
      <w:numFmt w:val="bullet"/>
      <w:lvlText w:val="•"/>
      <w:lvlJc w:val="left"/>
      <w:pPr>
        <w:tabs>
          <w:tab w:val="num" w:pos="1800"/>
        </w:tabs>
        <w:ind w:left="1800" w:hanging="360"/>
      </w:pPr>
      <w:rPr>
        <w:rFonts w:ascii="Arial" w:hAnsi="Arial" w:hint="default"/>
      </w:rPr>
    </w:lvl>
    <w:lvl w:ilvl="3" w:tplc="13EA3414" w:tentative="1">
      <w:start w:val="1"/>
      <w:numFmt w:val="bullet"/>
      <w:lvlText w:val="•"/>
      <w:lvlJc w:val="left"/>
      <w:pPr>
        <w:tabs>
          <w:tab w:val="num" w:pos="2520"/>
        </w:tabs>
        <w:ind w:left="2520" w:hanging="360"/>
      </w:pPr>
      <w:rPr>
        <w:rFonts w:ascii="Arial" w:hAnsi="Arial" w:hint="default"/>
      </w:rPr>
    </w:lvl>
    <w:lvl w:ilvl="4" w:tplc="39061D40" w:tentative="1">
      <w:start w:val="1"/>
      <w:numFmt w:val="bullet"/>
      <w:lvlText w:val="•"/>
      <w:lvlJc w:val="left"/>
      <w:pPr>
        <w:tabs>
          <w:tab w:val="num" w:pos="3240"/>
        </w:tabs>
        <w:ind w:left="3240" w:hanging="360"/>
      </w:pPr>
      <w:rPr>
        <w:rFonts w:ascii="Arial" w:hAnsi="Arial" w:hint="default"/>
      </w:rPr>
    </w:lvl>
    <w:lvl w:ilvl="5" w:tplc="803A949C" w:tentative="1">
      <w:start w:val="1"/>
      <w:numFmt w:val="bullet"/>
      <w:lvlText w:val="•"/>
      <w:lvlJc w:val="left"/>
      <w:pPr>
        <w:tabs>
          <w:tab w:val="num" w:pos="3960"/>
        </w:tabs>
        <w:ind w:left="3960" w:hanging="360"/>
      </w:pPr>
      <w:rPr>
        <w:rFonts w:ascii="Arial" w:hAnsi="Arial" w:hint="default"/>
      </w:rPr>
    </w:lvl>
    <w:lvl w:ilvl="6" w:tplc="C4B26A7C" w:tentative="1">
      <w:start w:val="1"/>
      <w:numFmt w:val="bullet"/>
      <w:lvlText w:val="•"/>
      <w:lvlJc w:val="left"/>
      <w:pPr>
        <w:tabs>
          <w:tab w:val="num" w:pos="4680"/>
        </w:tabs>
        <w:ind w:left="4680" w:hanging="360"/>
      </w:pPr>
      <w:rPr>
        <w:rFonts w:ascii="Arial" w:hAnsi="Arial" w:hint="default"/>
      </w:rPr>
    </w:lvl>
    <w:lvl w:ilvl="7" w:tplc="781C43D4" w:tentative="1">
      <w:start w:val="1"/>
      <w:numFmt w:val="bullet"/>
      <w:lvlText w:val="•"/>
      <w:lvlJc w:val="left"/>
      <w:pPr>
        <w:tabs>
          <w:tab w:val="num" w:pos="5400"/>
        </w:tabs>
        <w:ind w:left="5400" w:hanging="360"/>
      </w:pPr>
      <w:rPr>
        <w:rFonts w:ascii="Arial" w:hAnsi="Arial" w:hint="default"/>
      </w:rPr>
    </w:lvl>
    <w:lvl w:ilvl="8" w:tplc="762AA222"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24"/>
  </w:num>
  <w:num w:numId="3">
    <w:abstractNumId w:val="28"/>
  </w:num>
  <w:num w:numId="4">
    <w:abstractNumId w:val="20"/>
  </w:num>
  <w:num w:numId="5">
    <w:abstractNumId w:val="41"/>
  </w:num>
  <w:num w:numId="6">
    <w:abstractNumId w:val="35"/>
  </w:num>
  <w:num w:numId="7">
    <w:abstractNumId w:val="39"/>
  </w:num>
  <w:num w:numId="8">
    <w:abstractNumId w:val="7"/>
  </w:num>
  <w:num w:numId="9">
    <w:abstractNumId w:val="8"/>
  </w:num>
  <w:num w:numId="10">
    <w:abstractNumId w:val="1"/>
  </w:num>
  <w:num w:numId="11">
    <w:abstractNumId w:val="14"/>
  </w:num>
  <w:num w:numId="12">
    <w:abstractNumId w:val="43"/>
  </w:num>
  <w:num w:numId="13">
    <w:abstractNumId w:val="26"/>
  </w:num>
  <w:num w:numId="14">
    <w:abstractNumId w:val="44"/>
  </w:num>
  <w:num w:numId="15">
    <w:abstractNumId w:val="4"/>
  </w:num>
  <w:num w:numId="16">
    <w:abstractNumId w:val="18"/>
  </w:num>
  <w:num w:numId="17">
    <w:abstractNumId w:val="5"/>
  </w:num>
  <w:num w:numId="18">
    <w:abstractNumId w:val="45"/>
  </w:num>
  <w:num w:numId="19">
    <w:abstractNumId w:val="16"/>
  </w:num>
  <w:num w:numId="20">
    <w:abstractNumId w:val="37"/>
  </w:num>
  <w:num w:numId="21">
    <w:abstractNumId w:val="23"/>
  </w:num>
  <w:num w:numId="22">
    <w:abstractNumId w:val="35"/>
  </w:num>
  <w:num w:numId="23">
    <w:abstractNumId w:val="7"/>
  </w:num>
  <w:num w:numId="24">
    <w:abstractNumId w:val="39"/>
  </w:num>
  <w:num w:numId="25">
    <w:abstractNumId w:val="4"/>
  </w:num>
  <w:num w:numId="26">
    <w:abstractNumId w:val="18"/>
  </w:num>
  <w:num w:numId="27">
    <w:abstractNumId w:val="5"/>
  </w:num>
  <w:num w:numId="28">
    <w:abstractNumId w:val="13"/>
  </w:num>
  <w:num w:numId="29">
    <w:abstractNumId w:val="22"/>
  </w:num>
  <w:num w:numId="30">
    <w:abstractNumId w:val="10"/>
  </w:num>
  <w:num w:numId="31">
    <w:abstractNumId w:val="2"/>
  </w:num>
  <w:num w:numId="32">
    <w:abstractNumId w:val="29"/>
  </w:num>
  <w:num w:numId="33">
    <w:abstractNumId w:val="40"/>
  </w:num>
  <w:num w:numId="34">
    <w:abstractNumId w:val="31"/>
  </w:num>
  <w:num w:numId="35">
    <w:abstractNumId w:val="6"/>
  </w:num>
  <w:num w:numId="36">
    <w:abstractNumId w:val="30"/>
  </w:num>
  <w:num w:numId="37">
    <w:abstractNumId w:val="19"/>
  </w:num>
  <w:num w:numId="38">
    <w:abstractNumId w:val="33"/>
  </w:num>
  <w:num w:numId="39">
    <w:abstractNumId w:val="19"/>
  </w:num>
  <w:num w:numId="40">
    <w:abstractNumId w:val="11"/>
  </w:num>
  <w:num w:numId="41">
    <w:abstractNumId w:val="9"/>
  </w:num>
  <w:num w:numId="42">
    <w:abstractNumId w:val="36"/>
  </w:num>
  <w:num w:numId="43">
    <w:abstractNumId w:val="25"/>
  </w:num>
  <w:num w:numId="44">
    <w:abstractNumId w:val="27"/>
  </w:num>
  <w:num w:numId="45">
    <w:abstractNumId w:val="42"/>
  </w:num>
  <w:num w:numId="46">
    <w:abstractNumId w:val="34"/>
  </w:num>
  <w:num w:numId="47">
    <w:abstractNumId w:val="38"/>
  </w:num>
  <w:num w:numId="48">
    <w:abstractNumId w:val="32"/>
  </w:num>
  <w:num w:numId="49">
    <w:abstractNumId w:val="0"/>
  </w:num>
  <w:num w:numId="50">
    <w:abstractNumId w:val="3"/>
  </w:num>
  <w:num w:numId="51">
    <w:abstractNumId w:val="15"/>
  </w:num>
  <w:num w:numId="52">
    <w:abstractNumId w:val="17"/>
  </w:num>
  <w:num w:numId="53">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hideGrammaticalErrors/>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0761C"/>
    <w:rsid w:val="0001097A"/>
    <w:rsid w:val="000116BD"/>
    <w:rsid w:val="00011E1C"/>
    <w:rsid w:val="0001201B"/>
    <w:rsid w:val="00012217"/>
    <w:rsid w:val="000122DC"/>
    <w:rsid w:val="0001284D"/>
    <w:rsid w:val="00013058"/>
    <w:rsid w:val="000136DF"/>
    <w:rsid w:val="00013738"/>
    <w:rsid w:val="00014509"/>
    <w:rsid w:val="00014963"/>
    <w:rsid w:val="00014C47"/>
    <w:rsid w:val="000168D2"/>
    <w:rsid w:val="0001724C"/>
    <w:rsid w:val="00017A9E"/>
    <w:rsid w:val="00017B85"/>
    <w:rsid w:val="00017E2D"/>
    <w:rsid w:val="000203CC"/>
    <w:rsid w:val="00020776"/>
    <w:rsid w:val="00020E1B"/>
    <w:rsid w:val="00021042"/>
    <w:rsid w:val="000212A1"/>
    <w:rsid w:val="00021907"/>
    <w:rsid w:val="000220CE"/>
    <w:rsid w:val="000220E2"/>
    <w:rsid w:val="0002225D"/>
    <w:rsid w:val="000226AB"/>
    <w:rsid w:val="00022F63"/>
    <w:rsid w:val="00023C17"/>
    <w:rsid w:val="00023E27"/>
    <w:rsid w:val="00023F5A"/>
    <w:rsid w:val="000243C0"/>
    <w:rsid w:val="0002475A"/>
    <w:rsid w:val="00025ECB"/>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D71"/>
    <w:rsid w:val="00034F28"/>
    <w:rsid w:val="0003564D"/>
    <w:rsid w:val="000360A3"/>
    <w:rsid w:val="000368DA"/>
    <w:rsid w:val="00036DAB"/>
    <w:rsid w:val="0003712E"/>
    <w:rsid w:val="00040278"/>
    <w:rsid w:val="000402AB"/>
    <w:rsid w:val="00040356"/>
    <w:rsid w:val="00041AF5"/>
    <w:rsid w:val="00042536"/>
    <w:rsid w:val="000425B2"/>
    <w:rsid w:val="0004270D"/>
    <w:rsid w:val="00043DCE"/>
    <w:rsid w:val="00044123"/>
    <w:rsid w:val="000442CA"/>
    <w:rsid w:val="00044985"/>
    <w:rsid w:val="00044E77"/>
    <w:rsid w:val="000456A2"/>
    <w:rsid w:val="00045776"/>
    <w:rsid w:val="00045975"/>
    <w:rsid w:val="00045B4A"/>
    <w:rsid w:val="00045E91"/>
    <w:rsid w:val="00045EEA"/>
    <w:rsid w:val="00045FD7"/>
    <w:rsid w:val="0004622E"/>
    <w:rsid w:val="00046750"/>
    <w:rsid w:val="00046804"/>
    <w:rsid w:val="00047059"/>
    <w:rsid w:val="000471AA"/>
    <w:rsid w:val="0004729B"/>
    <w:rsid w:val="00047A83"/>
    <w:rsid w:val="00047E5E"/>
    <w:rsid w:val="000503DF"/>
    <w:rsid w:val="000505B8"/>
    <w:rsid w:val="00050B00"/>
    <w:rsid w:val="00050DA6"/>
    <w:rsid w:val="00050DBE"/>
    <w:rsid w:val="00052286"/>
    <w:rsid w:val="00052E91"/>
    <w:rsid w:val="00053083"/>
    <w:rsid w:val="0005317F"/>
    <w:rsid w:val="00053263"/>
    <w:rsid w:val="0005366B"/>
    <w:rsid w:val="00054259"/>
    <w:rsid w:val="00055AD9"/>
    <w:rsid w:val="00056CBD"/>
    <w:rsid w:val="00057835"/>
    <w:rsid w:val="000605E7"/>
    <w:rsid w:val="00060836"/>
    <w:rsid w:val="00061516"/>
    <w:rsid w:val="00061F04"/>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9EC"/>
    <w:rsid w:val="00067DAE"/>
    <w:rsid w:val="000707F9"/>
    <w:rsid w:val="00070E01"/>
    <w:rsid w:val="000714C2"/>
    <w:rsid w:val="00071777"/>
    <w:rsid w:val="00071C85"/>
    <w:rsid w:val="00071DB0"/>
    <w:rsid w:val="00071F47"/>
    <w:rsid w:val="000723F1"/>
    <w:rsid w:val="000723FE"/>
    <w:rsid w:val="00072438"/>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16E"/>
    <w:rsid w:val="00082230"/>
    <w:rsid w:val="0008285B"/>
    <w:rsid w:val="00083238"/>
    <w:rsid w:val="000832F7"/>
    <w:rsid w:val="000834ED"/>
    <w:rsid w:val="00083844"/>
    <w:rsid w:val="00084497"/>
    <w:rsid w:val="000846F3"/>
    <w:rsid w:val="00084DD6"/>
    <w:rsid w:val="00085335"/>
    <w:rsid w:val="000855C5"/>
    <w:rsid w:val="00085939"/>
    <w:rsid w:val="00085980"/>
    <w:rsid w:val="00085AC1"/>
    <w:rsid w:val="00085B28"/>
    <w:rsid w:val="00085C18"/>
    <w:rsid w:val="000860C0"/>
    <w:rsid w:val="00086E94"/>
    <w:rsid w:val="000870F0"/>
    <w:rsid w:val="0008727B"/>
    <w:rsid w:val="0008742B"/>
    <w:rsid w:val="00087BA0"/>
    <w:rsid w:val="00087D25"/>
    <w:rsid w:val="0009044A"/>
    <w:rsid w:val="00091044"/>
    <w:rsid w:val="00091F83"/>
    <w:rsid w:val="00092249"/>
    <w:rsid w:val="000923CF"/>
    <w:rsid w:val="00092432"/>
    <w:rsid w:val="00092C99"/>
    <w:rsid w:val="0009322C"/>
    <w:rsid w:val="00093610"/>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2D94"/>
    <w:rsid w:val="000A353E"/>
    <w:rsid w:val="000A3954"/>
    <w:rsid w:val="000A3FAD"/>
    <w:rsid w:val="000A46C2"/>
    <w:rsid w:val="000A471D"/>
    <w:rsid w:val="000A5151"/>
    <w:rsid w:val="000A5594"/>
    <w:rsid w:val="000A5C06"/>
    <w:rsid w:val="000A5C3A"/>
    <w:rsid w:val="000A7126"/>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3F9E"/>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266C"/>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6BC8"/>
    <w:rsid w:val="000D765D"/>
    <w:rsid w:val="000D7E31"/>
    <w:rsid w:val="000E0421"/>
    <w:rsid w:val="000E06FA"/>
    <w:rsid w:val="000E0B57"/>
    <w:rsid w:val="000E1093"/>
    <w:rsid w:val="000E1177"/>
    <w:rsid w:val="000E1221"/>
    <w:rsid w:val="000E1B40"/>
    <w:rsid w:val="000E23CA"/>
    <w:rsid w:val="000E2BCE"/>
    <w:rsid w:val="000E3591"/>
    <w:rsid w:val="000E3DDF"/>
    <w:rsid w:val="000E3E80"/>
    <w:rsid w:val="000E41EC"/>
    <w:rsid w:val="000E4472"/>
    <w:rsid w:val="000E46D4"/>
    <w:rsid w:val="000E4890"/>
    <w:rsid w:val="000E5033"/>
    <w:rsid w:val="000E692C"/>
    <w:rsid w:val="000E6C9C"/>
    <w:rsid w:val="000E72B8"/>
    <w:rsid w:val="000E79C6"/>
    <w:rsid w:val="000E7EE5"/>
    <w:rsid w:val="000F031A"/>
    <w:rsid w:val="000F0576"/>
    <w:rsid w:val="000F0F14"/>
    <w:rsid w:val="000F0F33"/>
    <w:rsid w:val="000F1DAE"/>
    <w:rsid w:val="000F271E"/>
    <w:rsid w:val="000F283B"/>
    <w:rsid w:val="000F328C"/>
    <w:rsid w:val="000F379D"/>
    <w:rsid w:val="000F3EB2"/>
    <w:rsid w:val="000F42D3"/>
    <w:rsid w:val="000F4599"/>
    <w:rsid w:val="000F5392"/>
    <w:rsid w:val="000F5488"/>
    <w:rsid w:val="000F5530"/>
    <w:rsid w:val="000F5AA3"/>
    <w:rsid w:val="000F63D6"/>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24F"/>
    <w:rsid w:val="001073CB"/>
    <w:rsid w:val="001074E9"/>
    <w:rsid w:val="001075BB"/>
    <w:rsid w:val="001076AC"/>
    <w:rsid w:val="001079CD"/>
    <w:rsid w:val="0011018C"/>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17DFB"/>
    <w:rsid w:val="00120141"/>
    <w:rsid w:val="00120BBB"/>
    <w:rsid w:val="00120F17"/>
    <w:rsid w:val="0012120A"/>
    <w:rsid w:val="00122A38"/>
    <w:rsid w:val="00122BEB"/>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0135"/>
    <w:rsid w:val="00131F11"/>
    <w:rsid w:val="00132B1C"/>
    <w:rsid w:val="0013329A"/>
    <w:rsid w:val="00133EB9"/>
    <w:rsid w:val="0013512A"/>
    <w:rsid w:val="00135141"/>
    <w:rsid w:val="00135467"/>
    <w:rsid w:val="00135536"/>
    <w:rsid w:val="00135575"/>
    <w:rsid w:val="00135796"/>
    <w:rsid w:val="00135898"/>
    <w:rsid w:val="00135C70"/>
    <w:rsid w:val="001360E2"/>
    <w:rsid w:val="001365A5"/>
    <w:rsid w:val="00136650"/>
    <w:rsid w:val="00136B9F"/>
    <w:rsid w:val="00136ECA"/>
    <w:rsid w:val="001375A2"/>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E95"/>
    <w:rsid w:val="00143F56"/>
    <w:rsid w:val="0014464C"/>
    <w:rsid w:val="001446B1"/>
    <w:rsid w:val="001448B7"/>
    <w:rsid w:val="00144D15"/>
    <w:rsid w:val="00144EC1"/>
    <w:rsid w:val="0014556D"/>
    <w:rsid w:val="00145D48"/>
    <w:rsid w:val="00146015"/>
    <w:rsid w:val="001460BE"/>
    <w:rsid w:val="001462C7"/>
    <w:rsid w:val="00147173"/>
    <w:rsid w:val="00147A9C"/>
    <w:rsid w:val="00150F49"/>
    <w:rsid w:val="00151161"/>
    <w:rsid w:val="0015196F"/>
    <w:rsid w:val="00152BC7"/>
    <w:rsid w:val="001531AF"/>
    <w:rsid w:val="00154011"/>
    <w:rsid w:val="00154F4D"/>
    <w:rsid w:val="0015524F"/>
    <w:rsid w:val="001562AB"/>
    <w:rsid w:val="00156B36"/>
    <w:rsid w:val="00156DBF"/>
    <w:rsid w:val="00156EEF"/>
    <w:rsid w:val="00156F4D"/>
    <w:rsid w:val="00156FA1"/>
    <w:rsid w:val="00156FDD"/>
    <w:rsid w:val="0015714C"/>
    <w:rsid w:val="00157C9C"/>
    <w:rsid w:val="0016089E"/>
    <w:rsid w:val="00160997"/>
    <w:rsid w:val="00160B74"/>
    <w:rsid w:val="00162405"/>
    <w:rsid w:val="001625A7"/>
    <w:rsid w:val="00162C66"/>
    <w:rsid w:val="001637D4"/>
    <w:rsid w:val="00163D7E"/>
    <w:rsid w:val="00163E02"/>
    <w:rsid w:val="00164375"/>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81F"/>
    <w:rsid w:val="00176A7B"/>
    <w:rsid w:val="00176AED"/>
    <w:rsid w:val="00177C30"/>
    <w:rsid w:val="00180258"/>
    <w:rsid w:val="001804BE"/>
    <w:rsid w:val="00180945"/>
    <w:rsid w:val="00180C24"/>
    <w:rsid w:val="00181048"/>
    <w:rsid w:val="0018126A"/>
    <w:rsid w:val="001815BA"/>
    <w:rsid w:val="001815F1"/>
    <w:rsid w:val="00181721"/>
    <w:rsid w:val="0018178B"/>
    <w:rsid w:val="00181976"/>
    <w:rsid w:val="00181AD5"/>
    <w:rsid w:val="001822D6"/>
    <w:rsid w:val="001824D1"/>
    <w:rsid w:val="00182628"/>
    <w:rsid w:val="00182D6C"/>
    <w:rsid w:val="00183012"/>
    <w:rsid w:val="0018314E"/>
    <w:rsid w:val="0018366E"/>
    <w:rsid w:val="00183942"/>
    <w:rsid w:val="001841B0"/>
    <w:rsid w:val="00184F5F"/>
    <w:rsid w:val="001851A2"/>
    <w:rsid w:val="0018686E"/>
    <w:rsid w:val="0018689E"/>
    <w:rsid w:val="00186918"/>
    <w:rsid w:val="00186B7C"/>
    <w:rsid w:val="00186FED"/>
    <w:rsid w:val="001874A3"/>
    <w:rsid w:val="001878F6"/>
    <w:rsid w:val="00187B6A"/>
    <w:rsid w:val="0019085E"/>
    <w:rsid w:val="001913A3"/>
    <w:rsid w:val="0019229B"/>
    <w:rsid w:val="00192CF8"/>
    <w:rsid w:val="00192E42"/>
    <w:rsid w:val="001930FA"/>
    <w:rsid w:val="001933B6"/>
    <w:rsid w:val="00193508"/>
    <w:rsid w:val="00193752"/>
    <w:rsid w:val="00193DA7"/>
    <w:rsid w:val="00193ED4"/>
    <w:rsid w:val="00194A72"/>
    <w:rsid w:val="00194A9F"/>
    <w:rsid w:val="00195DCD"/>
    <w:rsid w:val="00195F48"/>
    <w:rsid w:val="00196CED"/>
    <w:rsid w:val="0019781D"/>
    <w:rsid w:val="00197F54"/>
    <w:rsid w:val="00197FF0"/>
    <w:rsid w:val="001A070B"/>
    <w:rsid w:val="001A08FF"/>
    <w:rsid w:val="001A094C"/>
    <w:rsid w:val="001A0B80"/>
    <w:rsid w:val="001A1378"/>
    <w:rsid w:val="001A1571"/>
    <w:rsid w:val="001A183C"/>
    <w:rsid w:val="001A1A9E"/>
    <w:rsid w:val="001A1F55"/>
    <w:rsid w:val="001A2071"/>
    <w:rsid w:val="001A2187"/>
    <w:rsid w:val="001A45F5"/>
    <w:rsid w:val="001A4830"/>
    <w:rsid w:val="001A52F1"/>
    <w:rsid w:val="001A5655"/>
    <w:rsid w:val="001A5951"/>
    <w:rsid w:val="001A5FAC"/>
    <w:rsid w:val="001A652B"/>
    <w:rsid w:val="001A69B0"/>
    <w:rsid w:val="001A6C81"/>
    <w:rsid w:val="001A71BC"/>
    <w:rsid w:val="001A7702"/>
    <w:rsid w:val="001A7991"/>
    <w:rsid w:val="001A7F63"/>
    <w:rsid w:val="001B044D"/>
    <w:rsid w:val="001B0458"/>
    <w:rsid w:val="001B14C1"/>
    <w:rsid w:val="001B15B6"/>
    <w:rsid w:val="001B1AF7"/>
    <w:rsid w:val="001B2357"/>
    <w:rsid w:val="001B2B27"/>
    <w:rsid w:val="001B316E"/>
    <w:rsid w:val="001B32FB"/>
    <w:rsid w:val="001B37F7"/>
    <w:rsid w:val="001B3BC3"/>
    <w:rsid w:val="001B4001"/>
    <w:rsid w:val="001B4A01"/>
    <w:rsid w:val="001B4F8C"/>
    <w:rsid w:val="001B57DA"/>
    <w:rsid w:val="001B637A"/>
    <w:rsid w:val="001B659B"/>
    <w:rsid w:val="001B6B6A"/>
    <w:rsid w:val="001B7033"/>
    <w:rsid w:val="001B708E"/>
    <w:rsid w:val="001B72DC"/>
    <w:rsid w:val="001C111E"/>
    <w:rsid w:val="001C1B20"/>
    <w:rsid w:val="001C1B58"/>
    <w:rsid w:val="001C1BB3"/>
    <w:rsid w:val="001C20B1"/>
    <w:rsid w:val="001C23E8"/>
    <w:rsid w:val="001C2AAC"/>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C7C55"/>
    <w:rsid w:val="001D0A03"/>
    <w:rsid w:val="001D0E49"/>
    <w:rsid w:val="001D1BDA"/>
    <w:rsid w:val="001D1C24"/>
    <w:rsid w:val="001D1F10"/>
    <w:rsid w:val="001D200C"/>
    <w:rsid w:val="001D2089"/>
    <w:rsid w:val="001D2676"/>
    <w:rsid w:val="001D272D"/>
    <w:rsid w:val="001D297B"/>
    <w:rsid w:val="001D3743"/>
    <w:rsid w:val="001D42F7"/>
    <w:rsid w:val="001D4547"/>
    <w:rsid w:val="001D4717"/>
    <w:rsid w:val="001D4AC5"/>
    <w:rsid w:val="001D4F42"/>
    <w:rsid w:val="001D509A"/>
    <w:rsid w:val="001D5249"/>
    <w:rsid w:val="001D53AF"/>
    <w:rsid w:val="001D54EC"/>
    <w:rsid w:val="001D5B3E"/>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64D"/>
    <w:rsid w:val="001F09BA"/>
    <w:rsid w:val="001F0F50"/>
    <w:rsid w:val="001F1DEF"/>
    <w:rsid w:val="001F1E6B"/>
    <w:rsid w:val="001F2087"/>
    <w:rsid w:val="001F27B2"/>
    <w:rsid w:val="001F2ABA"/>
    <w:rsid w:val="001F30BA"/>
    <w:rsid w:val="001F341A"/>
    <w:rsid w:val="001F37EA"/>
    <w:rsid w:val="001F3909"/>
    <w:rsid w:val="001F39C3"/>
    <w:rsid w:val="001F3CE4"/>
    <w:rsid w:val="001F4468"/>
    <w:rsid w:val="001F49B6"/>
    <w:rsid w:val="001F51D9"/>
    <w:rsid w:val="001F5512"/>
    <w:rsid w:val="001F5890"/>
    <w:rsid w:val="001F6042"/>
    <w:rsid w:val="001F626C"/>
    <w:rsid w:val="001F6B21"/>
    <w:rsid w:val="001F6F34"/>
    <w:rsid w:val="001F71E4"/>
    <w:rsid w:val="001F7A64"/>
    <w:rsid w:val="001F7C4D"/>
    <w:rsid w:val="00200324"/>
    <w:rsid w:val="002004D3"/>
    <w:rsid w:val="002006E3"/>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88"/>
    <w:rsid w:val="00213A98"/>
    <w:rsid w:val="00214076"/>
    <w:rsid w:val="002140BC"/>
    <w:rsid w:val="0021494A"/>
    <w:rsid w:val="00214EB5"/>
    <w:rsid w:val="002151E7"/>
    <w:rsid w:val="00215964"/>
    <w:rsid w:val="00215988"/>
    <w:rsid w:val="00215FE3"/>
    <w:rsid w:val="00216342"/>
    <w:rsid w:val="002165ED"/>
    <w:rsid w:val="00216AE8"/>
    <w:rsid w:val="00216D56"/>
    <w:rsid w:val="002172FE"/>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7ED"/>
    <w:rsid w:val="002368E0"/>
    <w:rsid w:val="00236BCA"/>
    <w:rsid w:val="00237447"/>
    <w:rsid w:val="00237506"/>
    <w:rsid w:val="0024120C"/>
    <w:rsid w:val="002415BD"/>
    <w:rsid w:val="00241962"/>
    <w:rsid w:val="002426C7"/>
    <w:rsid w:val="00242901"/>
    <w:rsid w:val="00242D37"/>
    <w:rsid w:val="00242E3C"/>
    <w:rsid w:val="00243513"/>
    <w:rsid w:val="002436BD"/>
    <w:rsid w:val="0024385E"/>
    <w:rsid w:val="00243A02"/>
    <w:rsid w:val="00243F07"/>
    <w:rsid w:val="00244041"/>
    <w:rsid w:val="00244C32"/>
    <w:rsid w:val="00245132"/>
    <w:rsid w:val="002454B7"/>
    <w:rsid w:val="00245814"/>
    <w:rsid w:val="002458BE"/>
    <w:rsid w:val="00245CCE"/>
    <w:rsid w:val="00245F55"/>
    <w:rsid w:val="00246077"/>
    <w:rsid w:val="00246595"/>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7E1"/>
    <w:rsid w:val="00262996"/>
    <w:rsid w:val="002629DD"/>
    <w:rsid w:val="00262AE6"/>
    <w:rsid w:val="00262B41"/>
    <w:rsid w:val="00262E3A"/>
    <w:rsid w:val="00263628"/>
    <w:rsid w:val="0026385D"/>
    <w:rsid w:val="0026439E"/>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974"/>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EBC"/>
    <w:rsid w:val="00286FD6"/>
    <w:rsid w:val="0028762A"/>
    <w:rsid w:val="00287B44"/>
    <w:rsid w:val="00287EF9"/>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871"/>
    <w:rsid w:val="002B59FD"/>
    <w:rsid w:val="002B5B27"/>
    <w:rsid w:val="002B6BCD"/>
    <w:rsid w:val="002B7B57"/>
    <w:rsid w:val="002C01E3"/>
    <w:rsid w:val="002C070D"/>
    <w:rsid w:val="002C0B67"/>
    <w:rsid w:val="002C11E0"/>
    <w:rsid w:val="002C202E"/>
    <w:rsid w:val="002C2ACB"/>
    <w:rsid w:val="002C2DFE"/>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1EE8"/>
    <w:rsid w:val="002E3202"/>
    <w:rsid w:val="002E3275"/>
    <w:rsid w:val="002E32E6"/>
    <w:rsid w:val="002E3C54"/>
    <w:rsid w:val="002E4453"/>
    <w:rsid w:val="002E49E6"/>
    <w:rsid w:val="002E5A74"/>
    <w:rsid w:val="002E5FFC"/>
    <w:rsid w:val="002E675E"/>
    <w:rsid w:val="002E6824"/>
    <w:rsid w:val="002E6D3D"/>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E14"/>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2B4B"/>
    <w:rsid w:val="003132D0"/>
    <w:rsid w:val="00313DDB"/>
    <w:rsid w:val="003141EF"/>
    <w:rsid w:val="00315414"/>
    <w:rsid w:val="00315554"/>
    <w:rsid w:val="003157EA"/>
    <w:rsid w:val="00315C82"/>
    <w:rsid w:val="00315DC8"/>
    <w:rsid w:val="003165D6"/>
    <w:rsid w:val="00316E2C"/>
    <w:rsid w:val="00317637"/>
    <w:rsid w:val="00317EDB"/>
    <w:rsid w:val="003205C2"/>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0AC5"/>
    <w:rsid w:val="00331251"/>
    <w:rsid w:val="0033133D"/>
    <w:rsid w:val="0033148B"/>
    <w:rsid w:val="00331B0D"/>
    <w:rsid w:val="00332816"/>
    <w:rsid w:val="00332A3B"/>
    <w:rsid w:val="00332C47"/>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1F31"/>
    <w:rsid w:val="00342479"/>
    <w:rsid w:val="00343043"/>
    <w:rsid w:val="00343AF1"/>
    <w:rsid w:val="00343E3C"/>
    <w:rsid w:val="003442B0"/>
    <w:rsid w:val="003443F3"/>
    <w:rsid w:val="003446BA"/>
    <w:rsid w:val="00345E5B"/>
    <w:rsid w:val="00345EE0"/>
    <w:rsid w:val="0034618E"/>
    <w:rsid w:val="0034651C"/>
    <w:rsid w:val="003465C1"/>
    <w:rsid w:val="00346A1C"/>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4FB"/>
    <w:rsid w:val="0036082C"/>
    <w:rsid w:val="00360CF3"/>
    <w:rsid w:val="003610D3"/>
    <w:rsid w:val="003611F4"/>
    <w:rsid w:val="00361BA2"/>
    <w:rsid w:val="00363418"/>
    <w:rsid w:val="003637C4"/>
    <w:rsid w:val="003637DB"/>
    <w:rsid w:val="00363852"/>
    <w:rsid w:val="00363A78"/>
    <w:rsid w:val="00363C34"/>
    <w:rsid w:val="00364D7D"/>
    <w:rsid w:val="00364F7D"/>
    <w:rsid w:val="003655DB"/>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6BC"/>
    <w:rsid w:val="00372869"/>
    <w:rsid w:val="00372C70"/>
    <w:rsid w:val="00373353"/>
    <w:rsid w:val="003735E2"/>
    <w:rsid w:val="00373EA6"/>
    <w:rsid w:val="003746C2"/>
    <w:rsid w:val="00374A4E"/>
    <w:rsid w:val="00374A6C"/>
    <w:rsid w:val="003751FA"/>
    <w:rsid w:val="003753A5"/>
    <w:rsid w:val="003753F2"/>
    <w:rsid w:val="00375734"/>
    <w:rsid w:val="003763BB"/>
    <w:rsid w:val="003765D2"/>
    <w:rsid w:val="00376966"/>
    <w:rsid w:val="00376D4B"/>
    <w:rsid w:val="00376ED2"/>
    <w:rsid w:val="00377118"/>
    <w:rsid w:val="00377271"/>
    <w:rsid w:val="003778C9"/>
    <w:rsid w:val="0038060E"/>
    <w:rsid w:val="003806B5"/>
    <w:rsid w:val="00380C80"/>
    <w:rsid w:val="0038207E"/>
    <w:rsid w:val="00382108"/>
    <w:rsid w:val="00382207"/>
    <w:rsid w:val="00382335"/>
    <w:rsid w:val="00382784"/>
    <w:rsid w:val="00382D5F"/>
    <w:rsid w:val="00382DFF"/>
    <w:rsid w:val="003833AC"/>
    <w:rsid w:val="00383877"/>
    <w:rsid w:val="00384028"/>
    <w:rsid w:val="00384B99"/>
    <w:rsid w:val="0038575C"/>
    <w:rsid w:val="003865CA"/>
    <w:rsid w:val="00386E67"/>
    <w:rsid w:val="00387098"/>
    <w:rsid w:val="003871C1"/>
    <w:rsid w:val="00387427"/>
    <w:rsid w:val="00387A30"/>
    <w:rsid w:val="00387B0B"/>
    <w:rsid w:val="003901C2"/>
    <w:rsid w:val="003903D3"/>
    <w:rsid w:val="00390858"/>
    <w:rsid w:val="00390A1E"/>
    <w:rsid w:val="00390E9F"/>
    <w:rsid w:val="00390EAA"/>
    <w:rsid w:val="003913A3"/>
    <w:rsid w:val="003915C1"/>
    <w:rsid w:val="00391622"/>
    <w:rsid w:val="0039167C"/>
    <w:rsid w:val="00392DF8"/>
    <w:rsid w:val="00392F11"/>
    <w:rsid w:val="00393614"/>
    <w:rsid w:val="003936F2"/>
    <w:rsid w:val="00393870"/>
    <w:rsid w:val="00393873"/>
    <w:rsid w:val="003945D6"/>
    <w:rsid w:val="00394D01"/>
    <w:rsid w:val="003950DD"/>
    <w:rsid w:val="0039553F"/>
    <w:rsid w:val="0039607A"/>
    <w:rsid w:val="00396825"/>
    <w:rsid w:val="00396D51"/>
    <w:rsid w:val="00396E15"/>
    <w:rsid w:val="0039777A"/>
    <w:rsid w:val="003A0043"/>
    <w:rsid w:val="003A189F"/>
    <w:rsid w:val="003A1B19"/>
    <w:rsid w:val="003A3A24"/>
    <w:rsid w:val="003A3E23"/>
    <w:rsid w:val="003A416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1489"/>
    <w:rsid w:val="003C2545"/>
    <w:rsid w:val="003C2EC7"/>
    <w:rsid w:val="003C3A38"/>
    <w:rsid w:val="003C3C29"/>
    <w:rsid w:val="003C3E48"/>
    <w:rsid w:val="003C5C76"/>
    <w:rsid w:val="003C6879"/>
    <w:rsid w:val="003C6E8A"/>
    <w:rsid w:val="003C7202"/>
    <w:rsid w:val="003C7350"/>
    <w:rsid w:val="003C7437"/>
    <w:rsid w:val="003C74D4"/>
    <w:rsid w:val="003C7958"/>
    <w:rsid w:val="003D014F"/>
    <w:rsid w:val="003D072B"/>
    <w:rsid w:val="003D0774"/>
    <w:rsid w:val="003D10F1"/>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03BC"/>
    <w:rsid w:val="003E06A2"/>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E7DEE"/>
    <w:rsid w:val="003F0446"/>
    <w:rsid w:val="003F0DA9"/>
    <w:rsid w:val="003F0E03"/>
    <w:rsid w:val="003F13F9"/>
    <w:rsid w:val="003F163F"/>
    <w:rsid w:val="003F1884"/>
    <w:rsid w:val="003F18A6"/>
    <w:rsid w:val="003F1C38"/>
    <w:rsid w:val="003F1E01"/>
    <w:rsid w:val="003F2E48"/>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7B5"/>
    <w:rsid w:val="00406D37"/>
    <w:rsid w:val="00410ABC"/>
    <w:rsid w:val="00410B0A"/>
    <w:rsid w:val="00412385"/>
    <w:rsid w:val="0041281C"/>
    <w:rsid w:val="00412A80"/>
    <w:rsid w:val="00412C67"/>
    <w:rsid w:val="00412E5A"/>
    <w:rsid w:val="00413164"/>
    <w:rsid w:val="004138D2"/>
    <w:rsid w:val="00413CB5"/>
    <w:rsid w:val="00414074"/>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E37"/>
    <w:rsid w:val="004272E5"/>
    <w:rsid w:val="004278C3"/>
    <w:rsid w:val="00427B1A"/>
    <w:rsid w:val="00427BB3"/>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2C5"/>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5F9"/>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480D"/>
    <w:rsid w:val="0046566A"/>
    <w:rsid w:val="00465A7C"/>
    <w:rsid w:val="00465AE3"/>
    <w:rsid w:val="00466012"/>
    <w:rsid w:val="00466075"/>
    <w:rsid w:val="0046622A"/>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4EEC"/>
    <w:rsid w:val="0047518D"/>
    <w:rsid w:val="00475E71"/>
    <w:rsid w:val="004762F0"/>
    <w:rsid w:val="0047656F"/>
    <w:rsid w:val="004766CD"/>
    <w:rsid w:val="004766D7"/>
    <w:rsid w:val="00476EE7"/>
    <w:rsid w:val="0047795F"/>
    <w:rsid w:val="00477ECA"/>
    <w:rsid w:val="00480212"/>
    <w:rsid w:val="00480A4B"/>
    <w:rsid w:val="004819D9"/>
    <w:rsid w:val="004828E7"/>
    <w:rsid w:val="00482DFB"/>
    <w:rsid w:val="004835A3"/>
    <w:rsid w:val="00483B51"/>
    <w:rsid w:val="00484050"/>
    <w:rsid w:val="0048517E"/>
    <w:rsid w:val="004854CF"/>
    <w:rsid w:val="00485C7E"/>
    <w:rsid w:val="00485CF6"/>
    <w:rsid w:val="00485F39"/>
    <w:rsid w:val="004865B0"/>
    <w:rsid w:val="00486982"/>
    <w:rsid w:val="00487531"/>
    <w:rsid w:val="004879E3"/>
    <w:rsid w:val="00487D57"/>
    <w:rsid w:val="00490029"/>
    <w:rsid w:val="00490145"/>
    <w:rsid w:val="00490287"/>
    <w:rsid w:val="004908C2"/>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D6C"/>
    <w:rsid w:val="00495E61"/>
    <w:rsid w:val="00496435"/>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3D76"/>
    <w:rsid w:val="004B5067"/>
    <w:rsid w:val="004B5128"/>
    <w:rsid w:val="004B5E9B"/>
    <w:rsid w:val="004B677B"/>
    <w:rsid w:val="004B68BB"/>
    <w:rsid w:val="004B73EB"/>
    <w:rsid w:val="004B783F"/>
    <w:rsid w:val="004C006E"/>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1C58"/>
    <w:rsid w:val="004D2C7D"/>
    <w:rsid w:val="004D331E"/>
    <w:rsid w:val="004D3551"/>
    <w:rsid w:val="004D3656"/>
    <w:rsid w:val="004D3ADB"/>
    <w:rsid w:val="004D3C23"/>
    <w:rsid w:val="004D3CB7"/>
    <w:rsid w:val="004D3E54"/>
    <w:rsid w:val="004D40F2"/>
    <w:rsid w:val="004D4538"/>
    <w:rsid w:val="004D4A9F"/>
    <w:rsid w:val="004D4FB6"/>
    <w:rsid w:val="004D55D1"/>
    <w:rsid w:val="004D572F"/>
    <w:rsid w:val="004D593B"/>
    <w:rsid w:val="004D5DB5"/>
    <w:rsid w:val="004D62DA"/>
    <w:rsid w:val="004D64B3"/>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60A"/>
    <w:rsid w:val="004F084D"/>
    <w:rsid w:val="004F0C43"/>
    <w:rsid w:val="004F16E2"/>
    <w:rsid w:val="004F21EE"/>
    <w:rsid w:val="004F2614"/>
    <w:rsid w:val="004F2DB1"/>
    <w:rsid w:val="004F3BBF"/>
    <w:rsid w:val="004F4340"/>
    <w:rsid w:val="004F4AC8"/>
    <w:rsid w:val="004F4E02"/>
    <w:rsid w:val="004F52E1"/>
    <w:rsid w:val="004F6196"/>
    <w:rsid w:val="004F6373"/>
    <w:rsid w:val="004F6E37"/>
    <w:rsid w:val="004F702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5565"/>
    <w:rsid w:val="00516146"/>
    <w:rsid w:val="00516384"/>
    <w:rsid w:val="0051647D"/>
    <w:rsid w:val="00516C15"/>
    <w:rsid w:val="00517B5C"/>
    <w:rsid w:val="00517F10"/>
    <w:rsid w:val="0052053E"/>
    <w:rsid w:val="00520D93"/>
    <w:rsid w:val="00520F0F"/>
    <w:rsid w:val="005211C4"/>
    <w:rsid w:val="00522156"/>
    <w:rsid w:val="00522772"/>
    <w:rsid w:val="00522C81"/>
    <w:rsid w:val="00523175"/>
    <w:rsid w:val="005242E9"/>
    <w:rsid w:val="00524DE1"/>
    <w:rsid w:val="00524F42"/>
    <w:rsid w:val="00525BF0"/>
    <w:rsid w:val="00525C2F"/>
    <w:rsid w:val="00525F1C"/>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0CD"/>
    <w:rsid w:val="00543111"/>
    <w:rsid w:val="00543B0B"/>
    <w:rsid w:val="00543C48"/>
    <w:rsid w:val="00543C5D"/>
    <w:rsid w:val="005445FC"/>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5CC"/>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661"/>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7485"/>
    <w:rsid w:val="0058033C"/>
    <w:rsid w:val="0058071E"/>
    <w:rsid w:val="00581A68"/>
    <w:rsid w:val="00581B00"/>
    <w:rsid w:val="00581C51"/>
    <w:rsid w:val="0058229F"/>
    <w:rsid w:val="00582FDB"/>
    <w:rsid w:val="005836AF"/>
    <w:rsid w:val="0058454D"/>
    <w:rsid w:val="005851D2"/>
    <w:rsid w:val="0058528B"/>
    <w:rsid w:val="0058532E"/>
    <w:rsid w:val="005864FA"/>
    <w:rsid w:val="00586774"/>
    <w:rsid w:val="00586905"/>
    <w:rsid w:val="00586956"/>
    <w:rsid w:val="00586F2B"/>
    <w:rsid w:val="00587942"/>
    <w:rsid w:val="00590164"/>
    <w:rsid w:val="005902E8"/>
    <w:rsid w:val="005902F9"/>
    <w:rsid w:val="00590652"/>
    <w:rsid w:val="00590995"/>
    <w:rsid w:val="00591628"/>
    <w:rsid w:val="00591AD4"/>
    <w:rsid w:val="0059211A"/>
    <w:rsid w:val="005929A6"/>
    <w:rsid w:val="00593956"/>
    <w:rsid w:val="005956C5"/>
    <w:rsid w:val="005964D3"/>
    <w:rsid w:val="005966C7"/>
    <w:rsid w:val="00596976"/>
    <w:rsid w:val="00596F7D"/>
    <w:rsid w:val="00597401"/>
    <w:rsid w:val="00597649"/>
    <w:rsid w:val="00597918"/>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05E"/>
    <w:rsid w:val="005B05C2"/>
    <w:rsid w:val="005B0C52"/>
    <w:rsid w:val="005B15C2"/>
    <w:rsid w:val="005B2390"/>
    <w:rsid w:val="005B25EB"/>
    <w:rsid w:val="005B28D6"/>
    <w:rsid w:val="005B3056"/>
    <w:rsid w:val="005B3177"/>
    <w:rsid w:val="005B363B"/>
    <w:rsid w:val="005B36AB"/>
    <w:rsid w:val="005B3D5F"/>
    <w:rsid w:val="005B4166"/>
    <w:rsid w:val="005B49ED"/>
    <w:rsid w:val="005B56F0"/>
    <w:rsid w:val="005B622A"/>
    <w:rsid w:val="005B6C6F"/>
    <w:rsid w:val="005B6D07"/>
    <w:rsid w:val="005B7577"/>
    <w:rsid w:val="005B7CF7"/>
    <w:rsid w:val="005B7FE3"/>
    <w:rsid w:val="005C0023"/>
    <w:rsid w:val="005C00BF"/>
    <w:rsid w:val="005C0348"/>
    <w:rsid w:val="005C061A"/>
    <w:rsid w:val="005C0FCA"/>
    <w:rsid w:val="005C107E"/>
    <w:rsid w:val="005C145C"/>
    <w:rsid w:val="005C1947"/>
    <w:rsid w:val="005C25A5"/>
    <w:rsid w:val="005C319B"/>
    <w:rsid w:val="005C4B21"/>
    <w:rsid w:val="005C4DBE"/>
    <w:rsid w:val="005C5490"/>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13B"/>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624"/>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6656"/>
    <w:rsid w:val="00617417"/>
    <w:rsid w:val="006177D1"/>
    <w:rsid w:val="00617BC9"/>
    <w:rsid w:val="0062093A"/>
    <w:rsid w:val="00620B56"/>
    <w:rsid w:val="00620BAD"/>
    <w:rsid w:val="00620DDD"/>
    <w:rsid w:val="0062124E"/>
    <w:rsid w:val="00621420"/>
    <w:rsid w:val="00621C92"/>
    <w:rsid w:val="006229C8"/>
    <w:rsid w:val="0062322C"/>
    <w:rsid w:val="00624600"/>
    <w:rsid w:val="006248EC"/>
    <w:rsid w:val="00624F42"/>
    <w:rsid w:val="006253DC"/>
    <w:rsid w:val="00625450"/>
    <w:rsid w:val="0062545C"/>
    <w:rsid w:val="006255C3"/>
    <w:rsid w:val="00625AA8"/>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2B74"/>
    <w:rsid w:val="00653279"/>
    <w:rsid w:val="0065338B"/>
    <w:rsid w:val="00653606"/>
    <w:rsid w:val="00653A5E"/>
    <w:rsid w:val="0065457E"/>
    <w:rsid w:val="00654584"/>
    <w:rsid w:val="006549FD"/>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1886"/>
    <w:rsid w:val="00673145"/>
    <w:rsid w:val="00673291"/>
    <w:rsid w:val="00673EC0"/>
    <w:rsid w:val="006740EF"/>
    <w:rsid w:val="0067485A"/>
    <w:rsid w:val="00674BA3"/>
    <w:rsid w:val="006755A4"/>
    <w:rsid w:val="006755C2"/>
    <w:rsid w:val="00675884"/>
    <w:rsid w:val="00675C27"/>
    <w:rsid w:val="00675D5F"/>
    <w:rsid w:val="00675F92"/>
    <w:rsid w:val="0067674D"/>
    <w:rsid w:val="006768A6"/>
    <w:rsid w:val="0067691F"/>
    <w:rsid w:val="00677056"/>
    <w:rsid w:val="006772B6"/>
    <w:rsid w:val="00677343"/>
    <w:rsid w:val="00677371"/>
    <w:rsid w:val="0067751B"/>
    <w:rsid w:val="006775B0"/>
    <w:rsid w:val="00677966"/>
    <w:rsid w:val="00677D4A"/>
    <w:rsid w:val="0068004C"/>
    <w:rsid w:val="00680255"/>
    <w:rsid w:val="00680F39"/>
    <w:rsid w:val="006810B6"/>
    <w:rsid w:val="00681358"/>
    <w:rsid w:val="00681635"/>
    <w:rsid w:val="00681722"/>
    <w:rsid w:val="00682042"/>
    <w:rsid w:val="00682A8F"/>
    <w:rsid w:val="006832CC"/>
    <w:rsid w:val="00683FFC"/>
    <w:rsid w:val="00684427"/>
    <w:rsid w:val="00684908"/>
    <w:rsid w:val="00684B6C"/>
    <w:rsid w:val="00684D08"/>
    <w:rsid w:val="006852A1"/>
    <w:rsid w:val="00685312"/>
    <w:rsid w:val="0068535B"/>
    <w:rsid w:val="006857FB"/>
    <w:rsid w:val="0068593D"/>
    <w:rsid w:val="00685CF7"/>
    <w:rsid w:val="00685D13"/>
    <w:rsid w:val="00686188"/>
    <w:rsid w:val="006876C7"/>
    <w:rsid w:val="00687843"/>
    <w:rsid w:val="006878F3"/>
    <w:rsid w:val="00687F74"/>
    <w:rsid w:val="00690875"/>
    <w:rsid w:val="00690B50"/>
    <w:rsid w:val="00690BA3"/>
    <w:rsid w:val="0069121E"/>
    <w:rsid w:val="00691346"/>
    <w:rsid w:val="00692A9B"/>
    <w:rsid w:val="006930A3"/>
    <w:rsid w:val="006931E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247"/>
    <w:rsid w:val="006A2332"/>
    <w:rsid w:val="006A3056"/>
    <w:rsid w:val="006A35BD"/>
    <w:rsid w:val="006A369C"/>
    <w:rsid w:val="006A3874"/>
    <w:rsid w:val="006A395C"/>
    <w:rsid w:val="006A3E7B"/>
    <w:rsid w:val="006A3FD2"/>
    <w:rsid w:val="006A4095"/>
    <w:rsid w:val="006A46A7"/>
    <w:rsid w:val="006A4A4E"/>
    <w:rsid w:val="006A5591"/>
    <w:rsid w:val="006A5C86"/>
    <w:rsid w:val="006A60DA"/>
    <w:rsid w:val="006A61F2"/>
    <w:rsid w:val="006A6527"/>
    <w:rsid w:val="006A75D8"/>
    <w:rsid w:val="006A7836"/>
    <w:rsid w:val="006A789F"/>
    <w:rsid w:val="006B06D5"/>
    <w:rsid w:val="006B1CCC"/>
    <w:rsid w:val="006B1FBC"/>
    <w:rsid w:val="006B264B"/>
    <w:rsid w:val="006B266D"/>
    <w:rsid w:val="006B2FF6"/>
    <w:rsid w:val="006B32CC"/>
    <w:rsid w:val="006B3348"/>
    <w:rsid w:val="006B35C6"/>
    <w:rsid w:val="006B3728"/>
    <w:rsid w:val="006B400B"/>
    <w:rsid w:val="006B4C45"/>
    <w:rsid w:val="006B4EE7"/>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D7B0F"/>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375"/>
    <w:rsid w:val="006F0624"/>
    <w:rsid w:val="006F158E"/>
    <w:rsid w:val="006F179B"/>
    <w:rsid w:val="006F1CE8"/>
    <w:rsid w:val="006F1D3C"/>
    <w:rsid w:val="006F1DA9"/>
    <w:rsid w:val="006F2110"/>
    <w:rsid w:val="006F2884"/>
    <w:rsid w:val="006F2E00"/>
    <w:rsid w:val="006F304D"/>
    <w:rsid w:val="006F3728"/>
    <w:rsid w:val="006F38FF"/>
    <w:rsid w:val="006F4479"/>
    <w:rsid w:val="006F4553"/>
    <w:rsid w:val="006F469B"/>
    <w:rsid w:val="006F48A3"/>
    <w:rsid w:val="006F48C4"/>
    <w:rsid w:val="006F509B"/>
    <w:rsid w:val="006F5576"/>
    <w:rsid w:val="006F61FC"/>
    <w:rsid w:val="006F65C9"/>
    <w:rsid w:val="006F73DC"/>
    <w:rsid w:val="006F7610"/>
    <w:rsid w:val="006F7ABE"/>
    <w:rsid w:val="006F7DEB"/>
    <w:rsid w:val="007002D7"/>
    <w:rsid w:val="007006D6"/>
    <w:rsid w:val="00700732"/>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7E6"/>
    <w:rsid w:val="007069A9"/>
    <w:rsid w:val="007070F5"/>
    <w:rsid w:val="00707A3D"/>
    <w:rsid w:val="0071026F"/>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251"/>
    <w:rsid w:val="00715C64"/>
    <w:rsid w:val="00715F29"/>
    <w:rsid w:val="00715F9F"/>
    <w:rsid w:val="0071664A"/>
    <w:rsid w:val="00716909"/>
    <w:rsid w:val="00716B79"/>
    <w:rsid w:val="00716E59"/>
    <w:rsid w:val="00721FBA"/>
    <w:rsid w:val="0072216B"/>
    <w:rsid w:val="00722A3F"/>
    <w:rsid w:val="00722C89"/>
    <w:rsid w:val="00723240"/>
    <w:rsid w:val="00723743"/>
    <w:rsid w:val="00724153"/>
    <w:rsid w:val="0072428F"/>
    <w:rsid w:val="00724347"/>
    <w:rsid w:val="00724408"/>
    <w:rsid w:val="007245D5"/>
    <w:rsid w:val="007246E8"/>
    <w:rsid w:val="00724826"/>
    <w:rsid w:val="00724D7B"/>
    <w:rsid w:val="00725AD4"/>
    <w:rsid w:val="007264BA"/>
    <w:rsid w:val="007266CB"/>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934"/>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E77"/>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04B"/>
    <w:rsid w:val="007705CC"/>
    <w:rsid w:val="007707D4"/>
    <w:rsid w:val="00770991"/>
    <w:rsid w:val="00770C60"/>
    <w:rsid w:val="00770E78"/>
    <w:rsid w:val="00771D69"/>
    <w:rsid w:val="007726A7"/>
    <w:rsid w:val="007726F1"/>
    <w:rsid w:val="0077302C"/>
    <w:rsid w:val="00773B75"/>
    <w:rsid w:val="007742C2"/>
    <w:rsid w:val="007743F6"/>
    <w:rsid w:val="00774995"/>
    <w:rsid w:val="00775C1B"/>
    <w:rsid w:val="00776A7B"/>
    <w:rsid w:val="00776FEC"/>
    <w:rsid w:val="0077744F"/>
    <w:rsid w:val="00777A30"/>
    <w:rsid w:val="00780611"/>
    <w:rsid w:val="007810AF"/>
    <w:rsid w:val="00781C86"/>
    <w:rsid w:val="0078268D"/>
    <w:rsid w:val="007832CA"/>
    <w:rsid w:val="00783E94"/>
    <w:rsid w:val="007848B7"/>
    <w:rsid w:val="007857D8"/>
    <w:rsid w:val="00786000"/>
    <w:rsid w:val="0078603F"/>
    <w:rsid w:val="00786356"/>
    <w:rsid w:val="00786FB4"/>
    <w:rsid w:val="007877C2"/>
    <w:rsid w:val="00787980"/>
    <w:rsid w:val="00787E3B"/>
    <w:rsid w:val="00787EC1"/>
    <w:rsid w:val="0079028B"/>
    <w:rsid w:val="00790B4E"/>
    <w:rsid w:val="00790E56"/>
    <w:rsid w:val="00791721"/>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50"/>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1EF7"/>
    <w:rsid w:val="007B23FA"/>
    <w:rsid w:val="007B291C"/>
    <w:rsid w:val="007B2A75"/>
    <w:rsid w:val="007B34A4"/>
    <w:rsid w:val="007B3B0E"/>
    <w:rsid w:val="007B3E89"/>
    <w:rsid w:val="007B4571"/>
    <w:rsid w:val="007B528E"/>
    <w:rsid w:val="007B5701"/>
    <w:rsid w:val="007B5708"/>
    <w:rsid w:val="007B5D79"/>
    <w:rsid w:val="007B692F"/>
    <w:rsid w:val="007B74A3"/>
    <w:rsid w:val="007B75FE"/>
    <w:rsid w:val="007B7756"/>
    <w:rsid w:val="007B7F8A"/>
    <w:rsid w:val="007C06A8"/>
    <w:rsid w:val="007C0907"/>
    <w:rsid w:val="007C103D"/>
    <w:rsid w:val="007C1079"/>
    <w:rsid w:val="007C14EE"/>
    <w:rsid w:val="007C1537"/>
    <w:rsid w:val="007C158A"/>
    <w:rsid w:val="007C1B7E"/>
    <w:rsid w:val="007C2B34"/>
    <w:rsid w:val="007C2D23"/>
    <w:rsid w:val="007C2F71"/>
    <w:rsid w:val="007C3E71"/>
    <w:rsid w:val="007C437A"/>
    <w:rsid w:val="007C48A8"/>
    <w:rsid w:val="007C4900"/>
    <w:rsid w:val="007C4C29"/>
    <w:rsid w:val="007C4E9A"/>
    <w:rsid w:val="007C53D3"/>
    <w:rsid w:val="007C5930"/>
    <w:rsid w:val="007C5C32"/>
    <w:rsid w:val="007C5CF0"/>
    <w:rsid w:val="007C5FFF"/>
    <w:rsid w:val="007C61DB"/>
    <w:rsid w:val="007C6201"/>
    <w:rsid w:val="007C63B1"/>
    <w:rsid w:val="007C7447"/>
    <w:rsid w:val="007C7CCF"/>
    <w:rsid w:val="007C7CF6"/>
    <w:rsid w:val="007D011A"/>
    <w:rsid w:val="007D19AD"/>
    <w:rsid w:val="007D26C1"/>
    <w:rsid w:val="007D2D68"/>
    <w:rsid w:val="007D2E32"/>
    <w:rsid w:val="007D3A5B"/>
    <w:rsid w:val="007D3D49"/>
    <w:rsid w:val="007D3FCB"/>
    <w:rsid w:val="007D42F7"/>
    <w:rsid w:val="007D45F3"/>
    <w:rsid w:val="007D4751"/>
    <w:rsid w:val="007D53E2"/>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942"/>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E7BFB"/>
    <w:rsid w:val="007F03E9"/>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8F8"/>
    <w:rsid w:val="00802C2D"/>
    <w:rsid w:val="008030A2"/>
    <w:rsid w:val="008038A1"/>
    <w:rsid w:val="00804A2A"/>
    <w:rsid w:val="00804EC6"/>
    <w:rsid w:val="00805355"/>
    <w:rsid w:val="008057A5"/>
    <w:rsid w:val="00805B99"/>
    <w:rsid w:val="00805C26"/>
    <w:rsid w:val="00806376"/>
    <w:rsid w:val="008068AF"/>
    <w:rsid w:val="00806A55"/>
    <w:rsid w:val="00807460"/>
    <w:rsid w:val="008074C5"/>
    <w:rsid w:val="00807B39"/>
    <w:rsid w:val="00810015"/>
    <w:rsid w:val="00810362"/>
    <w:rsid w:val="00811546"/>
    <w:rsid w:val="00811BDE"/>
    <w:rsid w:val="00812146"/>
    <w:rsid w:val="00812258"/>
    <w:rsid w:val="00812818"/>
    <w:rsid w:val="008134ED"/>
    <w:rsid w:val="00813673"/>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991"/>
    <w:rsid w:val="00822C52"/>
    <w:rsid w:val="00822CDE"/>
    <w:rsid w:val="00822EB2"/>
    <w:rsid w:val="008238C5"/>
    <w:rsid w:val="0082440F"/>
    <w:rsid w:val="00824468"/>
    <w:rsid w:val="00824BE5"/>
    <w:rsid w:val="008257F1"/>
    <w:rsid w:val="008258E0"/>
    <w:rsid w:val="00825B9E"/>
    <w:rsid w:val="008263F4"/>
    <w:rsid w:val="00826E1D"/>
    <w:rsid w:val="008270E1"/>
    <w:rsid w:val="00827737"/>
    <w:rsid w:val="00827DAA"/>
    <w:rsid w:val="00830103"/>
    <w:rsid w:val="008307B3"/>
    <w:rsid w:val="00831007"/>
    <w:rsid w:val="0083110C"/>
    <w:rsid w:val="008314E4"/>
    <w:rsid w:val="0083153B"/>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39B"/>
    <w:rsid w:val="00842609"/>
    <w:rsid w:val="00842869"/>
    <w:rsid w:val="00842881"/>
    <w:rsid w:val="00842FE0"/>
    <w:rsid w:val="00843B6C"/>
    <w:rsid w:val="00843EEE"/>
    <w:rsid w:val="008444F9"/>
    <w:rsid w:val="00844881"/>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0C5"/>
    <w:rsid w:val="0085352E"/>
    <w:rsid w:val="008537A1"/>
    <w:rsid w:val="00853926"/>
    <w:rsid w:val="00853FFE"/>
    <w:rsid w:val="008547AE"/>
    <w:rsid w:val="0085498E"/>
    <w:rsid w:val="00855690"/>
    <w:rsid w:val="00855F51"/>
    <w:rsid w:val="008567D3"/>
    <w:rsid w:val="00856D48"/>
    <w:rsid w:val="00856E68"/>
    <w:rsid w:val="00857A1F"/>
    <w:rsid w:val="00857ABD"/>
    <w:rsid w:val="008603B1"/>
    <w:rsid w:val="00862B09"/>
    <w:rsid w:val="00862E0F"/>
    <w:rsid w:val="00863426"/>
    <w:rsid w:val="00864A6D"/>
    <w:rsid w:val="00865227"/>
    <w:rsid w:val="008666D1"/>
    <w:rsid w:val="008666F3"/>
    <w:rsid w:val="008667E2"/>
    <w:rsid w:val="00866B4D"/>
    <w:rsid w:val="0086701B"/>
    <w:rsid w:val="00867A8D"/>
    <w:rsid w:val="008709BA"/>
    <w:rsid w:val="00870A83"/>
    <w:rsid w:val="00870AA0"/>
    <w:rsid w:val="00871390"/>
    <w:rsid w:val="00872029"/>
    <w:rsid w:val="0087220C"/>
    <w:rsid w:val="008731D1"/>
    <w:rsid w:val="008731D6"/>
    <w:rsid w:val="00874211"/>
    <w:rsid w:val="00874CEC"/>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41"/>
    <w:rsid w:val="008827AD"/>
    <w:rsid w:val="008829FB"/>
    <w:rsid w:val="00883486"/>
    <w:rsid w:val="008838E2"/>
    <w:rsid w:val="00883CED"/>
    <w:rsid w:val="008848CE"/>
    <w:rsid w:val="00884CEA"/>
    <w:rsid w:val="008852B7"/>
    <w:rsid w:val="008863CE"/>
    <w:rsid w:val="0088671A"/>
    <w:rsid w:val="00886B16"/>
    <w:rsid w:val="00886C7B"/>
    <w:rsid w:val="0088737B"/>
    <w:rsid w:val="00887C45"/>
    <w:rsid w:val="00887EE3"/>
    <w:rsid w:val="00891CD0"/>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6C7"/>
    <w:rsid w:val="008977C3"/>
    <w:rsid w:val="00897C3C"/>
    <w:rsid w:val="008A1790"/>
    <w:rsid w:val="008A2151"/>
    <w:rsid w:val="008A2363"/>
    <w:rsid w:val="008A2B9A"/>
    <w:rsid w:val="008A2CCF"/>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E65"/>
    <w:rsid w:val="008B3131"/>
    <w:rsid w:val="008B32D0"/>
    <w:rsid w:val="008B35A0"/>
    <w:rsid w:val="008B35A1"/>
    <w:rsid w:val="008B4782"/>
    <w:rsid w:val="008B529D"/>
    <w:rsid w:val="008B5EE3"/>
    <w:rsid w:val="008B6A9B"/>
    <w:rsid w:val="008B6E79"/>
    <w:rsid w:val="008B7C70"/>
    <w:rsid w:val="008B7D4E"/>
    <w:rsid w:val="008B7F5D"/>
    <w:rsid w:val="008C021E"/>
    <w:rsid w:val="008C05A9"/>
    <w:rsid w:val="008C05CE"/>
    <w:rsid w:val="008C0A60"/>
    <w:rsid w:val="008C0FA7"/>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407"/>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0B90"/>
    <w:rsid w:val="008F118B"/>
    <w:rsid w:val="008F21B4"/>
    <w:rsid w:val="008F270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00"/>
    <w:rsid w:val="008F67B0"/>
    <w:rsid w:val="008F6959"/>
    <w:rsid w:val="008F7A87"/>
    <w:rsid w:val="008F7F50"/>
    <w:rsid w:val="00900214"/>
    <w:rsid w:val="009008D9"/>
    <w:rsid w:val="00900932"/>
    <w:rsid w:val="00900CE0"/>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2CC6"/>
    <w:rsid w:val="0091369A"/>
    <w:rsid w:val="00913BC7"/>
    <w:rsid w:val="009141C3"/>
    <w:rsid w:val="009145CC"/>
    <w:rsid w:val="009147E1"/>
    <w:rsid w:val="00914DC4"/>
    <w:rsid w:val="00915129"/>
    <w:rsid w:val="00915295"/>
    <w:rsid w:val="009158E0"/>
    <w:rsid w:val="0091598F"/>
    <w:rsid w:val="0091656F"/>
    <w:rsid w:val="00916ED9"/>
    <w:rsid w:val="009170C9"/>
    <w:rsid w:val="0091764F"/>
    <w:rsid w:val="00917B86"/>
    <w:rsid w:val="00920014"/>
    <w:rsid w:val="00920457"/>
    <w:rsid w:val="0092144F"/>
    <w:rsid w:val="00921B0A"/>
    <w:rsid w:val="00921DE6"/>
    <w:rsid w:val="00921F2E"/>
    <w:rsid w:val="00922527"/>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1B9F"/>
    <w:rsid w:val="00932692"/>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5E4C"/>
    <w:rsid w:val="00956143"/>
    <w:rsid w:val="009565F5"/>
    <w:rsid w:val="00956922"/>
    <w:rsid w:val="00956ED3"/>
    <w:rsid w:val="0095711F"/>
    <w:rsid w:val="00960510"/>
    <w:rsid w:val="00960ADF"/>
    <w:rsid w:val="0096101D"/>
    <w:rsid w:val="009611BA"/>
    <w:rsid w:val="009616F0"/>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2C4"/>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2E2E"/>
    <w:rsid w:val="009733B5"/>
    <w:rsid w:val="00973E7B"/>
    <w:rsid w:val="00973F19"/>
    <w:rsid w:val="00974092"/>
    <w:rsid w:val="00974E2C"/>
    <w:rsid w:val="0097525C"/>
    <w:rsid w:val="009753EC"/>
    <w:rsid w:val="00976539"/>
    <w:rsid w:val="00976849"/>
    <w:rsid w:val="00977056"/>
    <w:rsid w:val="00977FD7"/>
    <w:rsid w:val="00980D9D"/>
    <w:rsid w:val="00981230"/>
    <w:rsid w:val="009816BB"/>
    <w:rsid w:val="00982190"/>
    <w:rsid w:val="009824C3"/>
    <w:rsid w:val="00982C85"/>
    <w:rsid w:val="009831C4"/>
    <w:rsid w:val="00983CB4"/>
    <w:rsid w:val="009845C3"/>
    <w:rsid w:val="009848B8"/>
    <w:rsid w:val="00985611"/>
    <w:rsid w:val="00985BC7"/>
    <w:rsid w:val="00985F33"/>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A7F3B"/>
    <w:rsid w:val="009B097E"/>
    <w:rsid w:val="009B1168"/>
    <w:rsid w:val="009B14E6"/>
    <w:rsid w:val="009B16F2"/>
    <w:rsid w:val="009B1A96"/>
    <w:rsid w:val="009B1D12"/>
    <w:rsid w:val="009B1F32"/>
    <w:rsid w:val="009B348C"/>
    <w:rsid w:val="009B354D"/>
    <w:rsid w:val="009B36B5"/>
    <w:rsid w:val="009B3B4E"/>
    <w:rsid w:val="009B4262"/>
    <w:rsid w:val="009B43B6"/>
    <w:rsid w:val="009B43EC"/>
    <w:rsid w:val="009B4DAD"/>
    <w:rsid w:val="009B4DCD"/>
    <w:rsid w:val="009B5589"/>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288B"/>
    <w:rsid w:val="009C313C"/>
    <w:rsid w:val="009C3492"/>
    <w:rsid w:val="009C3558"/>
    <w:rsid w:val="009C40D2"/>
    <w:rsid w:val="009C4755"/>
    <w:rsid w:val="009C4A88"/>
    <w:rsid w:val="009C5015"/>
    <w:rsid w:val="009C5320"/>
    <w:rsid w:val="009C5C1F"/>
    <w:rsid w:val="009C6829"/>
    <w:rsid w:val="009C7105"/>
    <w:rsid w:val="009C7278"/>
    <w:rsid w:val="009C77EC"/>
    <w:rsid w:val="009C7A92"/>
    <w:rsid w:val="009C7DF5"/>
    <w:rsid w:val="009D037E"/>
    <w:rsid w:val="009D0424"/>
    <w:rsid w:val="009D0598"/>
    <w:rsid w:val="009D05FC"/>
    <w:rsid w:val="009D0A32"/>
    <w:rsid w:val="009D0D8B"/>
    <w:rsid w:val="009D118A"/>
    <w:rsid w:val="009D175C"/>
    <w:rsid w:val="009D184B"/>
    <w:rsid w:val="009D1C51"/>
    <w:rsid w:val="009D2272"/>
    <w:rsid w:val="009D2425"/>
    <w:rsid w:val="009D2961"/>
    <w:rsid w:val="009D315D"/>
    <w:rsid w:val="009D35BD"/>
    <w:rsid w:val="009D35EC"/>
    <w:rsid w:val="009D3895"/>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20CB"/>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17A4"/>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25"/>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10BE"/>
    <w:rsid w:val="00A215E8"/>
    <w:rsid w:val="00A217FC"/>
    <w:rsid w:val="00A2230C"/>
    <w:rsid w:val="00A22A97"/>
    <w:rsid w:val="00A22B3C"/>
    <w:rsid w:val="00A235F9"/>
    <w:rsid w:val="00A23718"/>
    <w:rsid w:val="00A23B27"/>
    <w:rsid w:val="00A2482D"/>
    <w:rsid w:val="00A24A03"/>
    <w:rsid w:val="00A24BB3"/>
    <w:rsid w:val="00A24C79"/>
    <w:rsid w:val="00A24F4F"/>
    <w:rsid w:val="00A250EF"/>
    <w:rsid w:val="00A2515E"/>
    <w:rsid w:val="00A2588A"/>
    <w:rsid w:val="00A25925"/>
    <w:rsid w:val="00A25F87"/>
    <w:rsid w:val="00A25F90"/>
    <w:rsid w:val="00A26164"/>
    <w:rsid w:val="00A2618A"/>
    <w:rsid w:val="00A2629A"/>
    <w:rsid w:val="00A2647A"/>
    <w:rsid w:val="00A273D4"/>
    <w:rsid w:val="00A277F3"/>
    <w:rsid w:val="00A314B3"/>
    <w:rsid w:val="00A31774"/>
    <w:rsid w:val="00A319DA"/>
    <w:rsid w:val="00A31D94"/>
    <w:rsid w:val="00A3218F"/>
    <w:rsid w:val="00A32C05"/>
    <w:rsid w:val="00A32ED9"/>
    <w:rsid w:val="00A3316F"/>
    <w:rsid w:val="00A333C2"/>
    <w:rsid w:val="00A33667"/>
    <w:rsid w:val="00A33FE8"/>
    <w:rsid w:val="00A34233"/>
    <w:rsid w:val="00A34AA6"/>
    <w:rsid w:val="00A34ACB"/>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2FCF"/>
    <w:rsid w:val="00A63046"/>
    <w:rsid w:val="00A63864"/>
    <w:rsid w:val="00A6492D"/>
    <w:rsid w:val="00A65196"/>
    <w:rsid w:val="00A651D8"/>
    <w:rsid w:val="00A651E5"/>
    <w:rsid w:val="00A65EAF"/>
    <w:rsid w:val="00A65F0B"/>
    <w:rsid w:val="00A66092"/>
    <w:rsid w:val="00A66208"/>
    <w:rsid w:val="00A662FB"/>
    <w:rsid w:val="00A66377"/>
    <w:rsid w:val="00A66594"/>
    <w:rsid w:val="00A67B7C"/>
    <w:rsid w:val="00A70C69"/>
    <w:rsid w:val="00A70ED1"/>
    <w:rsid w:val="00A712D5"/>
    <w:rsid w:val="00A717CE"/>
    <w:rsid w:val="00A717E4"/>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134"/>
    <w:rsid w:val="00A76EE2"/>
    <w:rsid w:val="00A772CF"/>
    <w:rsid w:val="00A77774"/>
    <w:rsid w:val="00A778C7"/>
    <w:rsid w:val="00A77C0A"/>
    <w:rsid w:val="00A77E7B"/>
    <w:rsid w:val="00A802EF"/>
    <w:rsid w:val="00A80A6A"/>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144"/>
    <w:rsid w:val="00A8586E"/>
    <w:rsid w:val="00A85AD9"/>
    <w:rsid w:val="00A85D91"/>
    <w:rsid w:val="00A860B5"/>
    <w:rsid w:val="00A8667D"/>
    <w:rsid w:val="00A86C4D"/>
    <w:rsid w:val="00A874C5"/>
    <w:rsid w:val="00A876AE"/>
    <w:rsid w:val="00A87AF0"/>
    <w:rsid w:val="00A901AF"/>
    <w:rsid w:val="00A901F9"/>
    <w:rsid w:val="00A90569"/>
    <w:rsid w:val="00A9099E"/>
    <w:rsid w:val="00A909AB"/>
    <w:rsid w:val="00A91791"/>
    <w:rsid w:val="00A91AF6"/>
    <w:rsid w:val="00A92264"/>
    <w:rsid w:val="00A923E1"/>
    <w:rsid w:val="00A92AAF"/>
    <w:rsid w:val="00A9304C"/>
    <w:rsid w:val="00A9357A"/>
    <w:rsid w:val="00A93F25"/>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094"/>
    <w:rsid w:val="00AA5D70"/>
    <w:rsid w:val="00AA5DD9"/>
    <w:rsid w:val="00AA61E6"/>
    <w:rsid w:val="00AA62E6"/>
    <w:rsid w:val="00AA674B"/>
    <w:rsid w:val="00AA7CE3"/>
    <w:rsid w:val="00AA7F08"/>
    <w:rsid w:val="00AB0900"/>
    <w:rsid w:val="00AB0BEB"/>
    <w:rsid w:val="00AB0E12"/>
    <w:rsid w:val="00AB1610"/>
    <w:rsid w:val="00AB1F2A"/>
    <w:rsid w:val="00AB30A7"/>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013"/>
    <w:rsid w:val="00AC17B3"/>
    <w:rsid w:val="00AC1C64"/>
    <w:rsid w:val="00AC1D9D"/>
    <w:rsid w:val="00AC1E23"/>
    <w:rsid w:val="00AC1EE2"/>
    <w:rsid w:val="00AC244D"/>
    <w:rsid w:val="00AC2A5B"/>
    <w:rsid w:val="00AC3039"/>
    <w:rsid w:val="00AC339A"/>
    <w:rsid w:val="00AC33AE"/>
    <w:rsid w:val="00AC33B7"/>
    <w:rsid w:val="00AC36CD"/>
    <w:rsid w:val="00AC36ED"/>
    <w:rsid w:val="00AC3922"/>
    <w:rsid w:val="00AC3BE4"/>
    <w:rsid w:val="00AC3FD5"/>
    <w:rsid w:val="00AC4048"/>
    <w:rsid w:val="00AC404D"/>
    <w:rsid w:val="00AC5042"/>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94D"/>
    <w:rsid w:val="00AF4FB6"/>
    <w:rsid w:val="00AF522C"/>
    <w:rsid w:val="00AF5B11"/>
    <w:rsid w:val="00AF5DAA"/>
    <w:rsid w:val="00AF6C17"/>
    <w:rsid w:val="00AF6EF3"/>
    <w:rsid w:val="00AF749F"/>
    <w:rsid w:val="00AF7FEB"/>
    <w:rsid w:val="00B00218"/>
    <w:rsid w:val="00B009DF"/>
    <w:rsid w:val="00B00F9C"/>
    <w:rsid w:val="00B01301"/>
    <w:rsid w:val="00B01914"/>
    <w:rsid w:val="00B02095"/>
    <w:rsid w:val="00B0294A"/>
    <w:rsid w:val="00B029D8"/>
    <w:rsid w:val="00B02AE0"/>
    <w:rsid w:val="00B03426"/>
    <w:rsid w:val="00B03C3F"/>
    <w:rsid w:val="00B04090"/>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1AC2"/>
    <w:rsid w:val="00B11C63"/>
    <w:rsid w:val="00B135EE"/>
    <w:rsid w:val="00B13CAF"/>
    <w:rsid w:val="00B14A1D"/>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66B2"/>
    <w:rsid w:val="00B27082"/>
    <w:rsid w:val="00B279BA"/>
    <w:rsid w:val="00B3056F"/>
    <w:rsid w:val="00B3160B"/>
    <w:rsid w:val="00B31897"/>
    <w:rsid w:val="00B318CF"/>
    <w:rsid w:val="00B3193F"/>
    <w:rsid w:val="00B31B41"/>
    <w:rsid w:val="00B31DA8"/>
    <w:rsid w:val="00B3264E"/>
    <w:rsid w:val="00B33D7B"/>
    <w:rsid w:val="00B33DBE"/>
    <w:rsid w:val="00B34898"/>
    <w:rsid w:val="00B34DB8"/>
    <w:rsid w:val="00B351BF"/>
    <w:rsid w:val="00B354A0"/>
    <w:rsid w:val="00B354BB"/>
    <w:rsid w:val="00B35A28"/>
    <w:rsid w:val="00B35B78"/>
    <w:rsid w:val="00B35BC5"/>
    <w:rsid w:val="00B366BA"/>
    <w:rsid w:val="00B36ABA"/>
    <w:rsid w:val="00B37330"/>
    <w:rsid w:val="00B37641"/>
    <w:rsid w:val="00B37649"/>
    <w:rsid w:val="00B37662"/>
    <w:rsid w:val="00B377DD"/>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840"/>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BB"/>
    <w:rsid w:val="00B53DC8"/>
    <w:rsid w:val="00B54160"/>
    <w:rsid w:val="00B54552"/>
    <w:rsid w:val="00B55195"/>
    <w:rsid w:val="00B55383"/>
    <w:rsid w:val="00B553BD"/>
    <w:rsid w:val="00B5595B"/>
    <w:rsid w:val="00B5706D"/>
    <w:rsid w:val="00B5788D"/>
    <w:rsid w:val="00B57CF1"/>
    <w:rsid w:val="00B60013"/>
    <w:rsid w:val="00B6005B"/>
    <w:rsid w:val="00B60847"/>
    <w:rsid w:val="00B60A05"/>
    <w:rsid w:val="00B60BB8"/>
    <w:rsid w:val="00B6280C"/>
    <w:rsid w:val="00B62B5B"/>
    <w:rsid w:val="00B63051"/>
    <w:rsid w:val="00B637FD"/>
    <w:rsid w:val="00B63FC6"/>
    <w:rsid w:val="00B6449F"/>
    <w:rsid w:val="00B645BE"/>
    <w:rsid w:val="00B64678"/>
    <w:rsid w:val="00B6480D"/>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79D"/>
    <w:rsid w:val="00B738DC"/>
    <w:rsid w:val="00B73E24"/>
    <w:rsid w:val="00B73EEC"/>
    <w:rsid w:val="00B7418A"/>
    <w:rsid w:val="00B74261"/>
    <w:rsid w:val="00B74460"/>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816"/>
    <w:rsid w:val="00B84E97"/>
    <w:rsid w:val="00B85D34"/>
    <w:rsid w:val="00B85FB1"/>
    <w:rsid w:val="00B860A3"/>
    <w:rsid w:val="00B864A3"/>
    <w:rsid w:val="00B8791F"/>
    <w:rsid w:val="00B90986"/>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B20"/>
    <w:rsid w:val="00BA1DF5"/>
    <w:rsid w:val="00BA27FC"/>
    <w:rsid w:val="00BA3A37"/>
    <w:rsid w:val="00BA3D64"/>
    <w:rsid w:val="00BA3FDC"/>
    <w:rsid w:val="00BA4023"/>
    <w:rsid w:val="00BA4225"/>
    <w:rsid w:val="00BA55DD"/>
    <w:rsid w:val="00BA5BCD"/>
    <w:rsid w:val="00BA611B"/>
    <w:rsid w:val="00BA6356"/>
    <w:rsid w:val="00BA76E8"/>
    <w:rsid w:val="00BA79DE"/>
    <w:rsid w:val="00BA7DCA"/>
    <w:rsid w:val="00BB01F7"/>
    <w:rsid w:val="00BB0A30"/>
    <w:rsid w:val="00BB17E6"/>
    <w:rsid w:val="00BB1B52"/>
    <w:rsid w:val="00BB1F6B"/>
    <w:rsid w:val="00BB2161"/>
    <w:rsid w:val="00BB2554"/>
    <w:rsid w:val="00BB2557"/>
    <w:rsid w:val="00BB3B49"/>
    <w:rsid w:val="00BB442E"/>
    <w:rsid w:val="00BB50F1"/>
    <w:rsid w:val="00BB6109"/>
    <w:rsid w:val="00BB70E7"/>
    <w:rsid w:val="00BB75C5"/>
    <w:rsid w:val="00BB7889"/>
    <w:rsid w:val="00BB7962"/>
    <w:rsid w:val="00BB7AF0"/>
    <w:rsid w:val="00BB7CEF"/>
    <w:rsid w:val="00BB7F9D"/>
    <w:rsid w:val="00BC059F"/>
    <w:rsid w:val="00BC0D74"/>
    <w:rsid w:val="00BC1714"/>
    <w:rsid w:val="00BC1C4B"/>
    <w:rsid w:val="00BC1E29"/>
    <w:rsid w:val="00BC218D"/>
    <w:rsid w:val="00BC246D"/>
    <w:rsid w:val="00BC27E1"/>
    <w:rsid w:val="00BC2F7B"/>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47"/>
    <w:rsid w:val="00BF35FD"/>
    <w:rsid w:val="00BF3DD1"/>
    <w:rsid w:val="00BF5322"/>
    <w:rsid w:val="00BF5506"/>
    <w:rsid w:val="00BF5BCA"/>
    <w:rsid w:val="00BF6B8A"/>
    <w:rsid w:val="00BF730E"/>
    <w:rsid w:val="00BF7FE9"/>
    <w:rsid w:val="00C0008A"/>
    <w:rsid w:val="00C01113"/>
    <w:rsid w:val="00C016BE"/>
    <w:rsid w:val="00C01D45"/>
    <w:rsid w:val="00C02528"/>
    <w:rsid w:val="00C02611"/>
    <w:rsid w:val="00C03033"/>
    <w:rsid w:val="00C03D11"/>
    <w:rsid w:val="00C04435"/>
    <w:rsid w:val="00C0443F"/>
    <w:rsid w:val="00C0449E"/>
    <w:rsid w:val="00C04B37"/>
    <w:rsid w:val="00C058F0"/>
    <w:rsid w:val="00C05B24"/>
    <w:rsid w:val="00C05E57"/>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438"/>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78"/>
    <w:rsid w:val="00C31680"/>
    <w:rsid w:val="00C316F6"/>
    <w:rsid w:val="00C31D2A"/>
    <w:rsid w:val="00C323A8"/>
    <w:rsid w:val="00C326D3"/>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38"/>
    <w:rsid w:val="00C35942"/>
    <w:rsid w:val="00C35AC5"/>
    <w:rsid w:val="00C367F0"/>
    <w:rsid w:val="00C36E28"/>
    <w:rsid w:val="00C3781B"/>
    <w:rsid w:val="00C379A7"/>
    <w:rsid w:val="00C37B86"/>
    <w:rsid w:val="00C37D2F"/>
    <w:rsid w:val="00C418EF"/>
    <w:rsid w:val="00C41D95"/>
    <w:rsid w:val="00C4283F"/>
    <w:rsid w:val="00C42FC2"/>
    <w:rsid w:val="00C437F1"/>
    <w:rsid w:val="00C43D1B"/>
    <w:rsid w:val="00C44C53"/>
    <w:rsid w:val="00C45A95"/>
    <w:rsid w:val="00C46552"/>
    <w:rsid w:val="00C4691F"/>
    <w:rsid w:val="00C46D24"/>
    <w:rsid w:val="00C46E82"/>
    <w:rsid w:val="00C477FB"/>
    <w:rsid w:val="00C51773"/>
    <w:rsid w:val="00C520C5"/>
    <w:rsid w:val="00C525C7"/>
    <w:rsid w:val="00C52639"/>
    <w:rsid w:val="00C52713"/>
    <w:rsid w:val="00C52CA0"/>
    <w:rsid w:val="00C52E23"/>
    <w:rsid w:val="00C53DA5"/>
    <w:rsid w:val="00C545D2"/>
    <w:rsid w:val="00C54B26"/>
    <w:rsid w:val="00C55CAF"/>
    <w:rsid w:val="00C56455"/>
    <w:rsid w:val="00C56472"/>
    <w:rsid w:val="00C56892"/>
    <w:rsid w:val="00C56A4A"/>
    <w:rsid w:val="00C57060"/>
    <w:rsid w:val="00C57573"/>
    <w:rsid w:val="00C5758C"/>
    <w:rsid w:val="00C57786"/>
    <w:rsid w:val="00C57ADB"/>
    <w:rsid w:val="00C57B01"/>
    <w:rsid w:val="00C57DCF"/>
    <w:rsid w:val="00C602DB"/>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B9A"/>
    <w:rsid w:val="00C64CBB"/>
    <w:rsid w:val="00C65B3E"/>
    <w:rsid w:val="00C678A3"/>
    <w:rsid w:val="00C679A5"/>
    <w:rsid w:val="00C679F3"/>
    <w:rsid w:val="00C67D98"/>
    <w:rsid w:val="00C70619"/>
    <w:rsid w:val="00C70FAD"/>
    <w:rsid w:val="00C7131E"/>
    <w:rsid w:val="00C71320"/>
    <w:rsid w:val="00C71823"/>
    <w:rsid w:val="00C71EF2"/>
    <w:rsid w:val="00C726C6"/>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D0"/>
    <w:rsid w:val="00C85F84"/>
    <w:rsid w:val="00C862D2"/>
    <w:rsid w:val="00C86504"/>
    <w:rsid w:val="00C8713F"/>
    <w:rsid w:val="00C87160"/>
    <w:rsid w:val="00C8740E"/>
    <w:rsid w:val="00C877A0"/>
    <w:rsid w:val="00C913A7"/>
    <w:rsid w:val="00C91634"/>
    <w:rsid w:val="00C91726"/>
    <w:rsid w:val="00C918DD"/>
    <w:rsid w:val="00C91DB5"/>
    <w:rsid w:val="00C91FEB"/>
    <w:rsid w:val="00C920B5"/>
    <w:rsid w:val="00C94266"/>
    <w:rsid w:val="00C947D4"/>
    <w:rsid w:val="00C94AE3"/>
    <w:rsid w:val="00C94BF2"/>
    <w:rsid w:val="00C94EB4"/>
    <w:rsid w:val="00C950EA"/>
    <w:rsid w:val="00C95310"/>
    <w:rsid w:val="00C9533C"/>
    <w:rsid w:val="00C96491"/>
    <w:rsid w:val="00C967FE"/>
    <w:rsid w:val="00C972F2"/>
    <w:rsid w:val="00C9779D"/>
    <w:rsid w:val="00C97D30"/>
    <w:rsid w:val="00CA0510"/>
    <w:rsid w:val="00CA0684"/>
    <w:rsid w:val="00CA084F"/>
    <w:rsid w:val="00CA12FB"/>
    <w:rsid w:val="00CA1A4B"/>
    <w:rsid w:val="00CA1BB5"/>
    <w:rsid w:val="00CA2A66"/>
    <w:rsid w:val="00CA2C40"/>
    <w:rsid w:val="00CA2C91"/>
    <w:rsid w:val="00CA2CDD"/>
    <w:rsid w:val="00CA2D01"/>
    <w:rsid w:val="00CA2E7E"/>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63E"/>
    <w:rsid w:val="00CB7D59"/>
    <w:rsid w:val="00CC0A16"/>
    <w:rsid w:val="00CC0D94"/>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2EA"/>
    <w:rsid w:val="00CE253C"/>
    <w:rsid w:val="00CE263D"/>
    <w:rsid w:val="00CE2869"/>
    <w:rsid w:val="00CE2877"/>
    <w:rsid w:val="00CE321F"/>
    <w:rsid w:val="00CE3ADE"/>
    <w:rsid w:val="00CE3C63"/>
    <w:rsid w:val="00CE42FB"/>
    <w:rsid w:val="00CE4384"/>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3C1"/>
    <w:rsid w:val="00CF769A"/>
    <w:rsid w:val="00CF7DD7"/>
    <w:rsid w:val="00CF7EC6"/>
    <w:rsid w:val="00D000AB"/>
    <w:rsid w:val="00D01453"/>
    <w:rsid w:val="00D017E5"/>
    <w:rsid w:val="00D019F4"/>
    <w:rsid w:val="00D01C58"/>
    <w:rsid w:val="00D01F28"/>
    <w:rsid w:val="00D027FD"/>
    <w:rsid w:val="00D02F19"/>
    <w:rsid w:val="00D03014"/>
    <w:rsid w:val="00D03201"/>
    <w:rsid w:val="00D03243"/>
    <w:rsid w:val="00D03BAE"/>
    <w:rsid w:val="00D03D50"/>
    <w:rsid w:val="00D03D69"/>
    <w:rsid w:val="00D04343"/>
    <w:rsid w:val="00D0477B"/>
    <w:rsid w:val="00D04A14"/>
    <w:rsid w:val="00D05509"/>
    <w:rsid w:val="00D05568"/>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5A9"/>
    <w:rsid w:val="00D20A74"/>
    <w:rsid w:val="00D21587"/>
    <w:rsid w:val="00D2191B"/>
    <w:rsid w:val="00D21B7B"/>
    <w:rsid w:val="00D222F0"/>
    <w:rsid w:val="00D224B3"/>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06D8"/>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1D8"/>
    <w:rsid w:val="00D55243"/>
    <w:rsid w:val="00D5549A"/>
    <w:rsid w:val="00D55A61"/>
    <w:rsid w:val="00D55BC6"/>
    <w:rsid w:val="00D55C6C"/>
    <w:rsid w:val="00D55EB8"/>
    <w:rsid w:val="00D564AC"/>
    <w:rsid w:val="00D56653"/>
    <w:rsid w:val="00D56DAC"/>
    <w:rsid w:val="00D60ACF"/>
    <w:rsid w:val="00D610C6"/>
    <w:rsid w:val="00D61673"/>
    <w:rsid w:val="00D628A0"/>
    <w:rsid w:val="00D63556"/>
    <w:rsid w:val="00D63913"/>
    <w:rsid w:val="00D63E3B"/>
    <w:rsid w:val="00D63FD8"/>
    <w:rsid w:val="00D6487E"/>
    <w:rsid w:val="00D65443"/>
    <w:rsid w:val="00D657AD"/>
    <w:rsid w:val="00D66143"/>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E15"/>
    <w:rsid w:val="00D72F84"/>
    <w:rsid w:val="00D72FAC"/>
    <w:rsid w:val="00D730CB"/>
    <w:rsid w:val="00D736DC"/>
    <w:rsid w:val="00D74A58"/>
    <w:rsid w:val="00D74BBE"/>
    <w:rsid w:val="00D74CEC"/>
    <w:rsid w:val="00D750B7"/>
    <w:rsid w:val="00D7520C"/>
    <w:rsid w:val="00D75376"/>
    <w:rsid w:val="00D753DA"/>
    <w:rsid w:val="00D7576A"/>
    <w:rsid w:val="00D7594F"/>
    <w:rsid w:val="00D75B76"/>
    <w:rsid w:val="00D75CE5"/>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36"/>
    <w:rsid w:val="00D911BE"/>
    <w:rsid w:val="00D928B1"/>
    <w:rsid w:val="00D9296E"/>
    <w:rsid w:val="00D9370A"/>
    <w:rsid w:val="00D94526"/>
    <w:rsid w:val="00D94754"/>
    <w:rsid w:val="00D9496A"/>
    <w:rsid w:val="00D94A3F"/>
    <w:rsid w:val="00D94BAE"/>
    <w:rsid w:val="00D9513A"/>
    <w:rsid w:val="00D9566C"/>
    <w:rsid w:val="00D9595B"/>
    <w:rsid w:val="00D95A78"/>
    <w:rsid w:val="00D96365"/>
    <w:rsid w:val="00D96701"/>
    <w:rsid w:val="00D9745F"/>
    <w:rsid w:val="00D979A5"/>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23"/>
    <w:rsid w:val="00DB228B"/>
    <w:rsid w:val="00DB235B"/>
    <w:rsid w:val="00DB242E"/>
    <w:rsid w:val="00DB2533"/>
    <w:rsid w:val="00DB29A9"/>
    <w:rsid w:val="00DB2F33"/>
    <w:rsid w:val="00DB3073"/>
    <w:rsid w:val="00DB3906"/>
    <w:rsid w:val="00DB3A9B"/>
    <w:rsid w:val="00DB4348"/>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6D5"/>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B28"/>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3D76"/>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1EE3"/>
    <w:rsid w:val="00DE221F"/>
    <w:rsid w:val="00DE22A7"/>
    <w:rsid w:val="00DE2B70"/>
    <w:rsid w:val="00DE2DD3"/>
    <w:rsid w:val="00DE2F8F"/>
    <w:rsid w:val="00DE3003"/>
    <w:rsid w:val="00DE325F"/>
    <w:rsid w:val="00DE3549"/>
    <w:rsid w:val="00DE368C"/>
    <w:rsid w:val="00DE39B6"/>
    <w:rsid w:val="00DE3D64"/>
    <w:rsid w:val="00DE3D76"/>
    <w:rsid w:val="00DE3F1E"/>
    <w:rsid w:val="00DE442B"/>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E0"/>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50B5"/>
    <w:rsid w:val="00E050EE"/>
    <w:rsid w:val="00E05E18"/>
    <w:rsid w:val="00E05FFC"/>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56AA"/>
    <w:rsid w:val="00E165AB"/>
    <w:rsid w:val="00E16A46"/>
    <w:rsid w:val="00E16DBD"/>
    <w:rsid w:val="00E17333"/>
    <w:rsid w:val="00E176A4"/>
    <w:rsid w:val="00E17882"/>
    <w:rsid w:val="00E17A5D"/>
    <w:rsid w:val="00E17EAD"/>
    <w:rsid w:val="00E22306"/>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CF5"/>
    <w:rsid w:val="00E31F45"/>
    <w:rsid w:val="00E322BA"/>
    <w:rsid w:val="00E329E8"/>
    <w:rsid w:val="00E32B29"/>
    <w:rsid w:val="00E32E7F"/>
    <w:rsid w:val="00E33675"/>
    <w:rsid w:val="00E33ABD"/>
    <w:rsid w:val="00E3482C"/>
    <w:rsid w:val="00E34A05"/>
    <w:rsid w:val="00E351A8"/>
    <w:rsid w:val="00E36478"/>
    <w:rsid w:val="00E3668D"/>
    <w:rsid w:val="00E36AD0"/>
    <w:rsid w:val="00E373BD"/>
    <w:rsid w:val="00E402A1"/>
    <w:rsid w:val="00E40AA3"/>
    <w:rsid w:val="00E40FF7"/>
    <w:rsid w:val="00E418B5"/>
    <w:rsid w:val="00E4297E"/>
    <w:rsid w:val="00E42C21"/>
    <w:rsid w:val="00E42E33"/>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08E"/>
    <w:rsid w:val="00E52715"/>
    <w:rsid w:val="00E527AA"/>
    <w:rsid w:val="00E52CA2"/>
    <w:rsid w:val="00E532A6"/>
    <w:rsid w:val="00E53621"/>
    <w:rsid w:val="00E5381A"/>
    <w:rsid w:val="00E53D9A"/>
    <w:rsid w:val="00E5454B"/>
    <w:rsid w:val="00E54643"/>
    <w:rsid w:val="00E5467B"/>
    <w:rsid w:val="00E548CB"/>
    <w:rsid w:val="00E5550E"/>
    <w:rsid w:val="00E55802"/>
    <w:rsid w:val="00E55B01"/>
    <w:rsid w:val="00E55B05"/>
    <w:rsid w:val="00E55C34"/>
    <w:rsid w:val="00E56942"/>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161A"/>
    <w:rsid w:val="00EA1E21"/>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65E"/>
    <w:rsid w:val="00EB2706"/>
    <w:rsid w:val="00EB3663"/>
    <w:rsid w:val="00EB3835"/>
    <w:rsid w:val="00EB388D"/>
    <w:rsid w:val="00EB3DEC"/>
    <w:rsid w:val="00EB4F2B"/>
    <w:rsid w:val="00EB58C7"/>
    <w:rsid w:val="00EB59A8"/>
    <w:rsid w:val="00EB621B"/>
    <w:rsid w:val="00EB643B"/>
    <w:rsid w:val="00EB6620"/>
    <w:rsid w:val="00EB6F76"/>
    <w:rsid w:val="00EB73DA"/>
    <w:rsid w:val="00EC036E"/>
    <w:rsid w:val="00EC07E1"/>
    <w:rsid w:val="00EC21BB"/>
    <w:rsid w:val="00EC28D1"/>
    <w:rsid w:val="00EC363B"/>
    <w:rsid w:val="00EC3C7B"/>
    <w:rsid w:val="00EC3DF8"/>
    <w:rsid w:val="00EC3F40"/>
    <w:rsid w:val="00EC3FEB"/>
    <w:rsid w:val="00EC444E"/>
    <w:rsid w:val="00EC6094"/>
    <w:rsid w:val="00EC77DA"/>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1F1"/>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3A9"/>
    <w:rsid w:val="00EF1593"/>
    <w:rsid w:val="00EF20F9"/>
    <w:rsid w:val="00EF22A2"/>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1A78"/>
    <w:rsid w:val="00F0208F"/>
    <w:rsid w:val="00F027FD"/>
    <w:rsid w:val="00F02B96"/>
    <w:rsid w:val="00F02C26"/>
    <w:rsid w:val="00F0372F"/>
    <w:rsid w:val="00F03B76"/>
    <w:rsid w:val="00F03CAF"/>
    <w:rsid w:val="00F03D26"/>
    <w:rsid w:val="00F040E7"/>
    <w:rsid w:val="00F04263"/>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1DE"/>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BED"/>
    <w:rsid w:val="00F32D9E"/>
    <w:rsid w:val="00F33320"/>
    <w:rsid w:val="00F33A60"/>
    <w:rsid w:val="00F34156"/>
    <w:rsid w:val="00F34798"/>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11A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0C82"/>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6EA2"/>
    <w:rsid w:val="00F672BB"/>
    <w:rsid w:val="00F67472"/>
    <w:rsid w:val="00F6781F"/>
    <w:rsid w:val="00F67A03"/>
    <w:rsid w:val="00F67AC3"/>
    <w:rsid w:val="00F67D1D"/>
    <w:rsid w:val="00F7027D"/>
    <w:rsid w:val="00F703A4"/>
    <w:rsid w:val="00F70418"/>
    <w:rsid w:val="00F70B6A"/>
    <w:rsid w:val="00F70D1C"/>
    <w:rsid w:val="00F7117D"/>
    <w:rsid w:val="00F712A8"/>
    <w:rsid w:val="00F713A0"/>
    <w:rsid w:val="00F71B15"/>
    <w:rsid w:val="00F71FF6"/>
    <w:rsid w:val="00F72847"/>
    <w:rsid w:val="00F72ED2"/>
    <w:rsid w:val="00F72F06"/>
    <w:rsid w:val="00F73AD1"/>
    <w:rsid w:val="00F74044"/>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068"/>
    <w:rsid w:val="00F86220"/>
    <w:rsid w:val="00F8637D"/>
    <w:rsid w:val="00F86516"/>
    <w:rsid w:val="00F87227"/>
    <w:rsid w:val="00F877F4"/>
    <w:rsid w:val="00F87874"/>
    <w:rsid w:val="00F9033D"/>
    <w:rsid w:val="00F90DFC"/>
    <w:rsid w:val="00F91C06"/>
    <w:rsid w:val="00F921D6"/>
    <w:rsid w:val="00F92F85"/>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AAD"/>
    <w:rsid w:val="00FA0E9F"/>
    <w:rsid w:val="00FA1A10"/>
    <w:rsid w:val="00FA1BAC"/>
    <w:rsid w:val="00FA1C7F"/>
    <w:rsid w:val="00FA1D07"/>
    <w:rsid w:val="00FA2D6A"/>
    <w:rsid w:val="00FA319D"/>
    <w:rsid w:val="00FA3352"/>
    <w:rsid w:val="00FA3BAD"/>
    <w:rsid w:val="00FA401E"/>
    <w:rsid w:val="00FA44B8"/>
    <w:rsid w:val="00FA45D5"/>
    <w:rsid w:val="00FA47C8"/>
    <w:rsid w:val="00FA495B"/>
    <w:rsid w:val="00FA4CFC"/>
    <w:rsid w:val="00FA5187"/>
    <w:rsid w:val="00FA537E"/>
    <w:rsid w:val="00FA5653"/>
    <w:rsid w:val="00FA56C4"/>
    <w:rsid w:val="00FA588B"/>
    <w:rsid w:val="00FA5F99"/>
    <w:rsid w:val="00FA632A"/>
    <w:rsid w:val="00FA797E"/>
    <w:rsid w:val="00FA79C8"/>
    <w:rsid w:val="00FA79FD"/>
    <w:rsid w:val="00FA7AEE"/>
    <w:rsid w:val="00FA7E4E"/>
    <w:rsid w:val="00FA7FF4"/>
    <w:rsid w:val="00FB05A4"/>
    <w:rsid w:val="00FB066E"/>
    <w:rsid w:val="00FB068E"/>
    <w:rsid w:val="00FB0A9A"/>
    <w:rsid w:val="00FB0D34"/>
    <w:rsid w:val="00FB0E0B"/>
    <w:rsid w:val="00FB1A74"/>
    <w:rsid w:val="00FB2358"/>
    <w:rsid w:val="00FB24BF"/>
    <w:rsid w:val="00FB2E54"/>
    <w:rsid w:val="00FB3A2B"/>
    <w:rsid w:val="00FB3EAF"/>
    <w:rsid w:val="00FB3EFE"/>
    <w:rsid w:val="00FB3F04"/>
    <w:rsid w:val="00FB58A7"/>
    <w:rsid w:val="00FB5B03"/>
    <w:rsid w:val="00FB5BD9"/>
    <w:rsid w:val="00FB6088"/>
    <w:rsid w:val="00FB60CA"/>
    <w:rsid w:val="00FB6185"/>
    <w:rsid w:val="00FB6A47"/>
    <w:rsid w:val="00FB710E"/>
    <w:rsid w:val="00FB78C0"/>
    <w:rsid w:val="00FB7BB8"/>
    <w:rsid w:val="00FB7C28"/>
    <w:rsid w:val="00FB7E55"/>
    <w:rsid w:val="00FB7F95"/>
    <w:rsid w:val="00FC0076"/>
    <w:rsid w:val="00FC0437"/>
    <w:rsid w:val="00FC0633"/>
    <w:rsid w:val="00FC06DF"/>
    <w:rsid w:val="00FC0714"/>
    <w:rsid w:val="00FC0964"/>
    <w:rsid w:val="00FC10EB"/>
    <w:rsid w:val="00FC147A"/>
    <w:rsid w:val="00FC174F"/>
    <w:rsid w:val="00FC1B09"/>
    <w:rsid w:val="00FC20C4"/>
    <w:rsid w:val="00FC36E4"/>
    <w:rsid w:val="00FC3C34"/>
    <w:rsid w:val="00FC4A63"/>
    <w:rsid w:val="00FC4CC6"/>
    <w:rsid w:val="00FC4F1E"/>
    <w:rsid w:val="00FC5B1C"/>
    <w:rsid w:val="00FC5F8C"/>
    <w:rsid w:val="00FC6068"/>
    <w:rsid w:val="00FC6101"/>
    <w:rsid w:val="00FC657E"/>
    <w:rsid w:val="00FC7009"/>
    <w:rsid w:val="00FC731C"/>
    <w:rsid w:val="00FC74CE"/>
    <w:rsid w:val="00FC7650"/>
    <w:rsid w:val="00FC7B87"/>
    <w:rsid w:val="00FD02B5"/>
    <w:rsid w:val="00FD03EB"/>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56F"/>
    <w:rsid w:val="00FE3851"/>
    <w:rsid w:val="00FE3C7F"/>
    <w:rsid w:val="00FE3F17"/>
    <w:rsid w:val="00FE4A80"/>
    <w:rsid w:val="00FE5298"/>
    <w:rsid w:val="00FE557E"/>
    <w:rsid w:val="00FE5752"/>
    <w:rsid w:val="00FE6C70"/>
    <w:rsid w:val="00FE6F47"/>
    <w:rsid w:val="00FE72B2"/>
    <w:rsid w:val="00FE7BA4"/>
    <w:rsid w:val="00FF0BCD"/>
    <w:rsid w:val="00FF0C84"/>
    <w:rsid w:val="00FF12D7"/>
    <w:rsid w:val="00FF17C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56AA"/>
    <w:pPr>
      <w:spacing w:after="160" w:line="259" w:lineRule="auto"/>
    </w:pPr>
    <w:rPr>
      <w:rFonts w:asciiTheme="minorHAnsi" w:eastAsiaTheme="minorHAnsi" w:hAnsiTheme="minorHAnsi" w:cstheme="minorBidi"/>
      <w:sz w:val="22"/>
      <w:szCs w:val="22"/>
    </w:rPr>
  </w:style>
  <w:style w:type="paragraph" w:styleId="Heading1">
    <w:name w:val="heading 1"/>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basedOn w:val="Heading2"/>
    <w:next w:val="Normal"/>
    <w:link w:val="Heading3Char"/>
    <w:qFormat/>
    <w:rsid w:val="00876A06"/>
    <w:pPr>
      <w:numPr>
        <w:ilvl w:val="2"/>
      </w:numPr>
      <w:spacing w:before="120"/>
      <w:outlineLvl w:val="2"/>
    </w:pPr>
    <w:rPr>
      <w:sz w:val="28"/>
    </w:rPr>
  </w:style>
  <w:style w:type="paragraph" w:styleId="Heading4">
    <w:name w:val="heading 4"/>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E156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56AA"/>
  </w:style>
  <w:style w:type="character" w:customStyle="1" w:styleId="Heading1Char">
    <w:name w:val="Heading 1 Char"/>
    <w:basedOn w:val="DefaultParagraphFont"/>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basedOn w:val="Heading1Char"/>
    <w:link w:val="Heading2"/>
    <w:rsid w:val="007A22CE"/>
    <w:rPr>
      <w:rFonts w:ascii="Arial" w:eastAsia="Arial" w:hAnsi="Arial"/>
      <w:sz w:val="32"/>
      <w:lang w:val="en-GB"/>
    </w:rPr>
  </w:style>
  <w:style w:type="character" w:customStyle="1" w:styleId="Heading3Char">
    <w:name w:val="Heading 3 Char"/>
    <w:basedOn w:val="DefaultParagraphFont"/>
    <w:link w:val="Heading3"/>
    <w:rsid w:val="00876A06"/>
    <w:rPr>
      <w:rFonts w:ascii="Arial" w:eastAsia="Arial" w:hAnsi="Arial"/>
      <w:sz w:val="28"/>
      <w:lang w:val="en-GB"/>
    </w:rPr>
  </w:style>
  <w:style w:type="character" w:customStyle="1" w:styleId="Heading4Char">
    <w:name w:val="Heading 4 Char"/>
    <w:basedOn w:val="DefaultParagraphFont"/>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basedOn w:val="DefaultParagraphFont"/>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qFormat/>
    <w:rsid w:val="00B65D41"/>
    <w:rPr>
      <w:rFonts w:ascii="Arial" w:eastAsia="Times New Roman" w:hAnsi="Arial"/>
      <w:b/>
      <w:sz w:val="18"/>
      <w:lang w:val="en-GB" w:eastAsia="en-US"/>
    </w:rPr>
  </w:style>
  <w:style w:type="paragraph" w:customStyle="1" w:styleId="B2">
    <w:name w:val="B2"/>
    <w:basedOn w:val="List2"/>
    <w:link w:val="B2Char"/>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spacing w:line="360" w:lineRule="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6E21B9"/>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B117C0"/>
    <w:rPr>
      <w:rFonts w:eastAsia="Times New Roman"/>
      <w:lang w:val="en-GB" w:eastAsia="en-US"/>
    </w:rPr>
  </w:style>
  <w:style w:type="paragraph" w:customStyle="1" w:styleId="DocInfo">
    <w:name w:val="DocInfo"/>
    <w:basedOn w:val="Normal"/>
    <w:rsid w:val="008449B8"/>
    <w:pPr>
      <w:tabs>
        <w:tab w:val="left" w:pos="2160"/>
      </w:tabs>
      <w:spacing w:before="120" w:after="120"/>
    </w:pPr>
    <w:rPr>
      <w:rFonts w:eastAsia="SimSun"/>
      <w:sz w:val="28"/>
      <w:szCs w:val="28"/>
    </w:rPr>
  </w:style>
  <w:style w:type="paragraph" w:customStyle="1" w:styleId="Agreement">
    <w:name w:val="Agreement"/>
    <w:basedOn w:val="Normal"/>
    <w:next w:val="Doc-text2"/>
    <w:rsid w:val="004865B0"/>
    <w:pPr>
      <w:numPr>
        <w:numId w:val="5"/>
      </w:numPr>
      <w:spacing w:before="60" w:after="0"/>
    </w:pPr>
    <w:rPr>
      <w:rFonts w:ascii="Arial" w:eastAsia="MS Mincho" w:hAnsi="Arial"/>
      <w:b/>
      <w:szCs w:val="24"/>
      <w:lang w:eastAsia="en-GB"/>
    </w:rPr>
  </w:style>
  <w:style w:type="character" w:styleId="Strong">
    <w:name w:val="Strong"/>
    <w:basedOn w:val="DefaultParagraphFont"/>
    <w:qFormat/>
    <w:rsid w:val="00004712"/>
    <w:rPr>
      <w:b/>
      <w:bCs/>
    </w:rPr>
  </w:style>
  <w:style w:type="character" w:styleId="PlaceholderText">
    <w:name w:val="Placeholder Text"/>
    <w:basedOn w:val="DefaultParagraphFont"/>
    <w:uiPriority w:val="99"/>
    <w:semiHidden/>
    <w:rsid w:val="008F486F"/>
    <w:rPr>
      <w:color w:val="808080"/>
    </w:rPr>
  </w:style>
  <w:style w:type="paragraph" w:customStyle="1" w:styleId="maintext">
    <w:name w:val="main text"/>
    <w:basedOn w:val="Normal"/>
    <w:link w:val="maintextChar"/>
    <w:qFormat/>
    <w:rsid w:val="00CC0D94"/>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CC0D94"/>
    <w:rPr>
      <w:rFonts w:eastAsia="Malgun Gothic"/>
      <w:lang w:val="en-GB" w:eastAsia="ko-KR"/>
    </w:rPr>
  </w:style>
  <w:style w:type="table" w:styleId="GridTable5Dark">
    <w:name w:val="Grid Table 5 Dark"/>
    <w:basedOn w:val="TableNormal"/>
    <w:uiPriority w:val="50"/>
    <w:rsid w:val="00E42E3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CA2E7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F411A3"/>
    <w:rPr>
      <w:color w:val="808080"/>
      <w:shd w:val="clear" w:color="auto" w:fill="E6E6E6"/>
    </w:rPr>
  </w:style>
  <w:style w:type="table" w:styleId="GridTable4-Accent1">
    <w:name w:val="Grid Table 4 Accent 1"/>
    <w:basedOn w:val="TableNormal"/>
    <w:uiPriority w:val="49"/>
    <w:rsid w:val="002F7E1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9B5589"/>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9B5589"/>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9277">
      <w:bodyDiv w:val="1"/>
      <w:marLeft w:val="0"/>
      <w:marRight w:val="0"/>
      <w:marTop w:val="0"/>
      <w:marBottom w:val="0"/>
      <w:divBdr>
        <w:top w:val="none" w:sz="0" w:space="0" w:color="auto"/>
        <w:left w:val="none" w:sz="0" w:space="0" w:color="auto"/>
        <w:bottom w:val="none" w:sz="0" w:space="0" w:color="auto"/>
        <w:right w:val="none" w:sz="0" w:space="0" w:color="auto"/>
      </w:divBdr>
    </w:div>
    <w:div w:id="78721111">
      <w:bodyDiv w:val="1"/>
      <w:marLeft w:val="0"/>
      <w:marRight w:val="0"/>
      <w:marTop w:val="0"/>
      <w:marBottom w:val="0"/>
      <w:divBdr>
        <w:top w:val="none" w:sz="0" w:space="0" w:color="auto"/>
        <w:left w:val="none" w:sz="0" w:space="0" w:color="auto"/>
        <w:bottom w:val="none" w:sz="0" w:space="0" w:color="auto"/>
        <w:right w:val="none" w:sz="0" w:space="0" w:color="auto"/>
      </w:divBdr>
    </w:div>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382155">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0199">
      <w:bodyDiv w:val="1"/>
      <w:marLeft w:val="0"/>
      <w:marRight w:val="0"/>
      <w:marTop w:val="0"/>
      <w:marBottom w:val="0"/>
      <w:divBdr>
        <w:top w:val="none" w:sz="0" w:space="0" w:color="auto"/>
        <w:left w:val="none" w:sz="0" w:space="0" w:color="auto"/>
        <w:bottom w:val="none" w:sz="0" w:space="0" w:color="auto"/>
        <w:right w:val="none" w:sz="0" w:space="0" w:color="auto"/>
      </w:divBdr>
    </w:div>
    <w:div w:id="264194842">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97561">
      <w:bodyDiv w:val="1"/>
      <w:marLeft w:val="0"/>
      <w:marRight w:val="0"/>
      <w:marTop w:val="0"/>
      <w:marBottom w:val="0"/>
      <w:divBdr>
        <w:top w:val="none" w:sz="0" w:space="0" w:color="auto"/>
        <w:left w:val="none" w:sz="0" w:space="0" w:color="auto"/>
        <w:bottom w:val="none" w:sz="0" w:space="0" w:color="auto"/>
        <w:right w:val="none" w:sz="0" w:space="0" w:color="auto"/>
      </w:divBdr>
    </w:div>
    <w:div w:id="302002768">
      <w:bodyDiv w:val="1"/>
      <w:marLeft w:val="0"/>
      <w:marRight w:val="0"/>
      <w:marTop w:val="0"/>
      <w:marBottom w:val="0"/>
      <w:divBdr>
        <w:top w:val="none" w:sz="0" w:space="0" w:color="auto"/>
        <w:left w:val="none" w:sz="0" w:space="0" w:color="auto"/>
        <w:bottom w:val="none" w:sz="0" w:space="0" w:color="auto"/>
        <w:right w:val="none" w:sz="0" w:space="0" w:color="auto"/>
      </w:divBdr>
      <w:divsChild>
        <w:div w:id="1291131996">
          <w:marLeft w:val="547"/>
          <w:marRight w:val="0"/>
          <w:marTop w:val="0"/>
          <w:marBottom w:val="160"/>
          <w:divBdr>
            <w:top w:val="none" w:sz="0" w:space="0" w:color="auto"/>
            <w:left w:val="none" w:sz="0" w:space="0" w:color="auto"/>
            <w:bottom w:val="none" w:sz="0" w:space="0" w:color="auto"/>
            <w:right w:val="none" w:sz="0" w:space="0" w:color="auto"/>
          </w:divBdr>
        </w:div>
      </w:divsChild>
    </w:div>
    <w:div w:id="33996650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1146104">
      <w:bodyDiv w:val="1"/>
      <w:marLeft w:val="0"/>
      <w:marRight w:val="0"/>
      <w:marTop w:val="0"/>
      <w:marBottom w:val="0"/>
      <w:divBdr>
        <w:top w:val="none" w:sz="0" w:space="0" w:color="auto"/>
        <w:left w:val="none" w:sz="0" w:space="0" w:color="auto"/>
        <w:bottom w:val="none" w:sz="0" w:space="0" w:color="auto"/>
        <w:right w:val="none" w:sz="0" w:space="0" w:color="auto"/>
      </w:divBdr>
    </w:div>
    <w:div w:id="439877888">
      <w:bodyDiv w:val="1"/>
      <w:marLeft w:val="0"/>
      <w:marRight w:val="0"/>
      <w:marTop w:val="0"/>
      <w:marBottom w:val="0"/>
      <w:divBdr>
        <w:top w:val="none" w:sz="0" w:space="0" w:color="auto"/>
        <w:left w:val="none" w:sz="0" w:space="0" w:color="auto"/>
        <w:bottom w:val="none" w:sz="0" w:space="0" w:color="auto"/>
        <w:right w:val="none" w:sz="0" w:space="0" w:color="auto"/>
      </w:divBdr>
      <w:divsChild>
        <w:div w:id="1056010015">
          <w:marLeft w:val="274"/>
          <w:marRight w:val="0"/>
          <w:marTop w:val="240"/>
          <w:marBottom w:val="0"/>
          <w:divBdr>
            <w:top w:val="none" w:sz="0" w:space="0" w:color="auto"/>
            <w:left w:val="none" w:sz="0" w:space="0" w:color="auto"/>
            <w:bottom w:val="none" w:sz="0" w:space="0" w:color="auto"/>
            <w:right w:val="none" w:sz="0" w:space="0" w:color="auto"/>
          </w:divBdr>
        </w:div>
        <w:div w:id="333991652">
          <w:marLeft w:val="533"/>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479080275">
      <w:bodyDiv w:val="1"/>
      <w:marLeft w:val="0"/>
      <w:marRight w:val="0"/>
      <w:marTop w:val="0"/>
      <w:marBottom w:val="0"/>
      <w:divBdr>
        <w:top w:val="none" w:sz="0" w:space="0" w:color="auto"/>
        <w:left w:val="none" w:sz="0" w:space="0" w:color="auto"/>
        <w:bottom w:val="none" w:sz="0" w:space="0" w:color="auto"/>
        <w:right w:val="none" w:sz="0" w:space="0" w:color="auto"/>
      </w:divBdr>
    </w:div>
    <w:div w:id="51550747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688678326">
      <w:bodyDiv w:val="1"/>
      <w:marLeft w:val="0"/>
      <w:marRight w:val="0"/>
      <w:marTop w:val="0"/>
      <w:marBottom w:val="0"/>
      <w:divBdr>
        <w:top w:val="none" w:sz="0" w:space="0" w:color="auto"/>
        <w:left w:val="none" w:sz="0" w:space="0" w:color="auto"/>
        <w:bottom w:val="none" w:sz="0" w:space="0" w:color="auto"/>
        <w:right w:val="none" w:sz="0" w:space="0" w:color="auto"/>
      </w:divBdr>
    </w:div>
    <w:div w:id="755715209">
      <w:bodyDiv w:val="1"/>
      <w:marLeft w:val="0"/>
      <w:marRight w:val="0"/>
      <w:marTop w:val="0"/>
      <w:marBottom w:val="0"/>
      <w:divBdr>
        <w:top w:val="none" w:sz="0" w:space="0" w:color="auto"/>
        <w:left w:val="none" w:sz="0" w:space="0" w:color="auto"/>
        <w:bottom w:val="none" w:sz="0" w:space="0" w:color="auto"/>
        <w:right w:val="none" w:sz="0" w:space="0" w:color="auto"/>
      </w:divBdr>
      <w:divsChild>
        <w:div w:id="18816747">
          <w:marLeft w:val="547"/>
          <w:marRight w:val="0"/>
          <w:marTop w:val="0"/>
          <w:marBottom w:val="160"/>
          <w:divBdr>
            <w:top w:val="none" w:sz="0" w:space="0" w:color="auto"/>
            <w:left w:val="none" w:sz="0" w:space="0" w:color="auto"/>
            <w:bottom w:val="none" w:sz="0" w:space="0" w:color="auto"/>
            <w:right w:val="none" w:sz="0" w:space="0" w:color="auto"/>
          </w:divBdr>
        </w:div>
        <w:div w:id="12996611">
          <w:marLeft w:val="547"/>
          <w:marRight w:val="0"/>
          <w:marTop w:val="0"/>
          <w:marBottom w:val="160"/>
          <w:divBdr>
            <w:top w:val="none" w:sz="0" w:space="0" w:color="auto"/>
            <w:left w:val="none" w:sz="0" w:space="0" w:color="auto"/>
            <w:bottom w:val="none" w:sz="0" w:space="0" w:color="auto"/>
            <w:right w:val="none" w:sz="0" w:space="0" w:color="auto"/>
          </w:divBdr>
        </w:div>
      </w:divsChild>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5447954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8702659">
      <w:bodyDiv w:val="1"/>
      <w:marLeft w:val="0"/>
      <w:marRight w:val="0"/>
      <w:marTop w:val="0"/>
      <w:marBottom w:val="0"/>
      <w:divBdr>
        <w:top w:val="none" w:sz="0" w:space="0" w:color="auto"/>
        <w:left w:val="none" w:sz="0" w:space="0" w:color="auto"/>
        <w:bottom w:val="none" w:sz="0" w:space="0" w:color="auto"/>
        <w:right w:val="none" w:sz="0" w:space="0" w:color="auto"/>
      </w:divBdr>
    </w:div>
    <w:div w:id="1538198814">
      <w:bodyDiv w:val="1"/>
      <w:marLeft w:val="0"/>
      <w:marRight w:val="0"/>
      <w:marTop w:val="0"/>
      <w:marBottom w:val="0"/>
      <w:divBdr>
        <w:top w:val="none" w:sz="0" w:space="0" w:color="auto"/>
        <w:left w:val="none" w:sz="0" w:space="0" w:color="auto"/>
        <w:bottom w:val="none" w:sz="0" w:space="0" w:color="auto"/>
        <w:right w:val="none" w:sz="0" w:space="0" w:color="auto"/>
      </w:divBdr>
      <w:divsChild>
        <w:div w:id="334113827">
          <w:marLeft w:val="274"/>
          <w:marRight w:val="0"/>
          <w:marTop w:val="240"/>
          <w:marBottom w:val="0"/>
          <w:divBdr>
            <w:top w:val="none" w:sz="0" w:space="0" w:color="auto"/>
            <w:left w:val="none" w:sz="0" w:space="0" w:color="auto"/>
            <w:bottom w:val="none" w:sz="0" w:space="0" w:color="auto"/>
            <w:right w:val="none" w:sz="0" w:space="0" w:color="auto"/>
          </w:divBdr>
        </w:div>
      </w:divsChild>
    </w:div>
    <w:div w:id="1588464964">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33173981">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29380794">
      <w:bodyDiv w:val="1"/>
      <w:marLeft w:val="0"/>
      <w:marRight w:val="0"/>
      <w:marTop w:val="0"/>
      <w:marBottom w:val="0"/>
      <w:divBdr>
        <w:top w:val="none" w:sz="0" w:space="0" w:color="auto"/>
        <w:left w:val="none" w:sz="0" w:space="0" w:color="auto"/>
        <w:bottom w:val="none" w:sz="0" w:space="0" w:color="auto"/>
        <w:right w:val="none" w:sz="0" w:space="0" w:color="auto"/>
      </w:divBdr>
    </w:div>
    <w:div w:id="1735852794">
      <w:bodyDiv w:val="1"/>
      <w:marLeft w:val="0"/>
      <w:marRight w:val="0"/>
      <w:marTop w:val="0"/>
      <w:marBottom w:val="0"/>
      <w:divBdr>
        <w:top w:val="none" w:sz="0" w:space="0" w:color="auto"/>
        <w:left w:val="none" w:sz="0" w:space="0" w:color="auto"/>
        <w:bottom w:val="none" w:sz="0" w:space="0" w:color="auto"/>
        <w:right w:val="none" w:sz="0" w:space="0" w:color="auto"/>
      </w:divBdr>
      <w:divsChild>
        <w:div w:id="1154293052">
          <w:marLeft w:val="547"/>
          <w:marRight w:val="0"/>
          <w:marTop w:val="0"/>
          <w:marBottom w:val="160"/>
          <w:divBdr>
            <w:top w:val="none" w:sz="0" w:space="0" w:color="auto"/>
            <w:left w:val="none" w:sz="0" w:space="0" w:color="auto"/>
            <w:bottom w:val="none" w:sz="0" w:space="0" w:color="auto"/>
            <w:right w:val="none" w:sz="0" w:space="0" w:color="auto"/>
          </w:divBdr>
        </w:div>
        <w:div w:id="862597035">
          <w:marLeft w:val="547"/>
          <w:marRight w:val="0"/>
          <w:marTop w:val="0"/>
          <w:marBottom w:val="160"/>
          <w:divBdr>
            <w:top w:val="none" w:sz="0" w:space="0" w:color="auto"/>
            <w:left w:val="none" w:sz="0" w:space="0" w:color="auto"/>
            <w:bottom w:val="none" w:sz="0" w:space="0" w:color="auto"/>
            <w:right w:val="none" w:sz="0" w:space="0" w:color="auto"/>
          </w:divBdr>
        </w:div>
        <w:div w:id="385180058">
          <w:marLeft w:val="547"/>
          <w:marRight w:val="0"/>
          <w:marTop w:val="0"/>
          <w:marBottom w:val="160"/>
          <w:divBdr>
            <w:top w:val="none" w:sz="0" w:space="0" w:color="auto"/>
            <w:left w:val="none" w:sz="0" w:space="0" w:color="auto"/>
            <w:bottom w:val="none" w:sz="0" w:space="0" w:color="auto"/>
            <w:right w:val="none" w:sz="0" w:space="0" w:color="auto"/>
          </w:divBdr>
        </w:div>
        <w:div w:id="980111427">
          <w:marLeft w:val="547"/>
          <w:marRight w:val="0"/>
          <w:marTop w:val="0"/>
          <w:marBottom w:val="160"/>
          <w:divBdr>
            <w:top w:val="none" w:sz="0" w:space="0" w:color="auto"/>
            <w:left w:val="none" w:sz="0" w:space="0" w:color="auto"/>
            <w:bottom w:val="none" w:sz="0" w:space="0" w:color="auto"/>
            <w:right w:val="none" w:sz="0" w:space="0" w:color="auto"/>
          </w:divBdr>
        </w:div>
        <w:div w:id="1737318217">
          <w:marLeft w:val="547"/>
          <w:marRight w:val="0"/>
          <w:marTop w:val="0"/>
          <w:marBottom w:val="160"/>
          <w:divBdr>
            <w:top w:val="none" w:sz="0" w:space="0" w:color="auto"/>
            <w:left w:val="none" w:sz="0" w:space="0" w:color="auto"/>
            <w:bottom w:val="none" w:sz="0" w:space="0" w:color="auto"/>
            <w:right w:val="none" w:sz="0" w:space="0" w:color="auto"/>
          </w:divBdr>
        </w:div>
        <w:div w:id="1308820256">
          <w:marLeft w:val="547"/>
          <w:marRight w:val="0"/>
          <w:marTop w:val="0"/>
          <w:marBottom w:val="160"/>
          <w:divBdr>
            <w:top w:val="none" w:sz="0" w:space="0" w:color="auto"/>
            <w:left w:val="none" w:sz="0" w:space="0" w:color="auto"/>
            <w:bottom w:val="none" w:sz="0" w:space="0" w:color="auto"/>
            <w:right w:val="none" w:sz="0" w:space="0" w:color="auto"/>
          </w:divBdr>
        </w:div>
        <w:div w:id="620647253">
          <w:marLeft w:val="547"/>
          <w:marRight w:val="0"/>
          <w:marTop w:val="0"/>
          <w:marBottom w:val="160"/>
          <w:divBdr>
            <w:top w:val="none" w:sz="0" w:space="0" w:color="auto"/>
            <w:left w:val="none" w:sz="0" w:space="0" w:color="auto"/>
            <w:bottom w:val="none" w:sz="0" w:space="0" w:color="auto"/>
            <w:right w:val="none" w:sz="0" w:space="0" w:color="auto"/>
          </w:divBdr>
        </w:div>
        <w:div w:id="582179554">
          <w:marLeft w:val="547"/>
          <w:marRight w:val="0"/>
          <w:marTop w:val="0"/>
          <w:marBottom w:val="160"/>
          <w:divBdr>
            <w:top w:val="none" w:sz="0" w:space="0" w:color="auto"/>
            <w:left w:val="none" w:sz="0" w:space="0" w:color="auto"/>
            <w:bottom w:val="none" w:sz="0" w:space="0" w:color="auto"/>
            <w:right w:val="none" w:sz="0" w:space="0" w:color="auto"/>
          </w:divBdr>
        </w:div>
        <w:div w:id="557400589">
          <w:marLeft w:val="547"/>
          <w:marRight w:val="0"/>
          <w:marTop w:val="0"/>
          <w:marBottom w:val="160"/>
          <w:divBdr>
            <w:top w:val="none" w:sz="0" w:space="0" w:color="auto"/>
            <w:left w:val="none" w:sz="0" w:space="0" w:color="auto"/>
            <w:bottom w:val="none" w:sz="0" w:space="0" w:color="auto"/>
            <w:right w:val="none" w:sz="0" w:space="0" w:color="auto"/>
          </w:divBdr>
        </w:div>
        <w:div w:id="176773221">
          <w:marLeft w:val="547"/>
          <w:marRight w:val="0"/>
          <w:marTop w:val="0"/>
          <w:marBottom w:val="160"/>
          <w:divBdr>
            <w:top w:val="none" w:sz="0" w:space="0" w:color="auto"/>
            <w:left w:val="none" w:sz="0" w:space="0" w:color="auto"/>
            <w:bottom w:val="none" w:sz="0" w:space="0" w:color="auto"/>
            <w:right w:val="none" w:sz="0" w:space="0" w:color="auto"/>
          </w:divBdr>
        </w:div>
        <w:div w:id="829440402">
          <w:marLeft w:val="547"/>
          <w:marRight w:val="0"/>
          <w:marTop w:val="0"/>
          <w:marBottom w:val="160"/>
          <w:divBdr>
            <w:top w:val="none" w:sz="0" w:space="0" w:color="auto"/>
            <w:left w:val="none" w:sz="0" w:space="0" w:color="auto"/>
            <w:bottom w:val="none" w:sz="0" w:space="0" w:color="auto"/>
            <w:right w:val="none" w:sz="0" w:space="0" w:color="auto"/>
          </w:divBdr>
        </w:div>
        <w:div w:id="647786221">
          <w:marLeft w:val="547"/>
          <w:marRight w:val="0"/>
          <w:marTop w:val="0"/>
          <w:marBottom w:val="160"/>
          <w:divBdr>
            <w:top w:val="none" w:sz="0" w:space="0" w:color="auto"/>
            <w:left w:val="none" w:sz="0" w:space="0" w:color="auto"/>
            <w:bottom w:val="none" w:sz="0" w:space="0" w:color="auto"/>
            <w:right w:val="none" w:sz="0" w:space="0" w:color="auto"/>
          </w:divBdr>
        </w:div>
        <w:div w:id="588461475">
          <w:marLeft w:val="547"/>
          <w:marRight w:val="0"/>
          <w:marTop w:val="0"/>
          <w:marBottom w:val="160"/>
          <w:divBdr>
            <w:top w:val="none" w:sz="0" w:space="0" w:color="auto"/>
            <w:left w:val="none" w:sz="0" w:space="0" w:color="auto"/>
            <w:bottom w:val="none" w:sz="0" w:space="0" w:color="auto"/>
            <w:right w:val="none" w:sz="0" w:space="0" w:color="auto"/>
          </w:divBdr>
        </w:div>
        <w:div w:id="415591252">
          <w:marLeft w:val="547"/>
          <w:marRight w:val="0"/>
          <w:marTop w:val="0"/>
          <w:marBottom w:val="160"/>
          <w:divBdr>
            <w:top w:val="none" w:sz="0" w:space="0" w:color="auto"/>
            <w:left w:val="none" w:sz="0" w:space="0" w:color="auto"/>
            <w:bottom w:val="none" w:sz="0" w:space="0" w:color="auto"/>
            <w:right w:val="none" w:sz="0" w:space="0" w:color="auto"/>
          </w:divBdr>
        </w:div>
      </w:divsChild>
    </w:div>
    <w:div w:id="1766418594">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1990212525">
      <w:bodyDiv w:val="1"/>
      <w:marLeft w:val="0"/>
      <w:marRight w:val="0"/>
      <w:marTop w:val="0"/>
      <w:marBottom w:val="0"/>
      <w:divBdr>
        <w:top w:val="none" w:sz="0" w:space="0" w:color="auto"/>
        <w:left w:val="none" w:sz="0" w:space="0" w:color="auto"/>
        <w:bottom w:val="none" w:sz="0" w:space="0" w:color="auto"/>
        <w:right w:val="none" w:sz="0" w:space="0" w:color="auto"/>
      </w:divBdr>
      <w:divsChild>
        <w:div w:id="869563170">
          <w:marLeft w:val="547"/>
          <w:marRight w:val="0"/>
          <w:marTop w:val="0"/>
          <w:marBottom w:val="160"/>
          <w:divBdr>
            <w:top w:val="none" w:sz="0" w:space="0" w:color="auto"/>
            <w:left w:val="none" w:sz="0" w:space="0" w:color="auto"/>
            <w:bottom w:val="none" w:sz="0" w:space="0" w:color="auto"/>
            <w:right w:val="none" w:sz="0" w:space="0" w:color="auto"/>
          </w:divBdr>
        </w:div>
      </w:divsChild>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190574">
      <w:bodyDiv w:val="1"/>
      <w:marLeft w:val="0"/>
      <w:marRight w:val="0"/>
      <w:marTop w:val="0"/>
      <w:marBottom w:val="0"/>
      <w:divBdr>
        <w:top w:val="none" w:sz="0" w:space="0" w:color="auto"/>
        <w:left w:val="none" w:sz="0" w:space="0" w:color="auto"/>
        <w:bottom w:val="none" w:sz="0" w:space="0" w:color="auto"/>
        <w:right w:val="none" w:sz="0" w:space="0" w:color="auto"/>
      </w:divBdr>
      <w:divsChild>
        <w:div w:id="1495144363">
          <w:marLeft w:val="547"/>
          <w:marRight w:val="0"/>
          <w:marTop w:val="0"/>
          <w:marBottom w:val="160"/>
          <w:divBdr>
            <w:top w:val="none" w:sz="0" w:space="0" w:color="auto"/>
            <w:left w:val="none" w:sz="0" w:space="0" w:color="auto"/>
            <w:bottom w:val="none" w:sz="0" w:space="0" w:color="auto"/>
            <w:right w:val="none" w:sz="0" w:space="0" w:color="auto"/>
          </w:divBdr>
        </w:div>
        <w:div w:id="1814715208">
          <w:marLeft w:val="547"/>
          <w:marRight w:val="0"/>
          <w:marTop w:val="0"/>
          <w:marBottom w:val="160"/>
          <w:divBdr>
            <w:top w:val="none" w:sz="0" w:space="0" w:color="auto"/>
            <w:left w:val="none" w:sz="0" w:space="0" w:color="auto"/>
            <w:bottom w:val="none" w:sz="0" w:space="0" w:color="auto"/>
            <w:right w:val="none" w:sz="0" w:space="0" w:color="auto"/>
          </w:divBdr>
        </w:div>
        <w:div w:id="643201079">
          <w:marLeft w:val="547"/>
          <w:marRight w:val="0"/>
          <w:marTop w:val="0"/>
          <w:marBottom w:val="160"/>
          <w:divBdr>
            <w:top w:val="none" w:sz="0" w:space="0" w:color="auto"/>
            <w:left w:val="none" w:sz="0" w:space="0" w:color="auto"/>
            <w:bottom w:val="none" w:sz="0" w:space="0" w:color="auto"/>
            <w:right w:val="none" w:sz="0" w:space="0" w:color="auto"/>
          </w:divBdr>
        </w:div>
        <w:div w:id="2018534660">
          <w:marLeft w:val="547"/>
          <w:marRight w:val="0"/>
          <w:marTop w:val="0"/>
          <w:marBottom w:val="160"/>
          <w:divBdr>
            <w:top w:val="none" w:sz="0" w:space="0" w:color="auto"/>
            <w:left w:val="none" w:sz="0" w:space="0" w:color="auto"/>
            <w:bottom w:val="none" w:sz="0" w:space="0" w:color="auto"/>
            <w:right w:val="none" w:sz="0" w:space="0" w:color="auto"/>
          </w:divBdr>
        </w:div>
      </w:divsChild>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2FHT6SDPEKRM-4-36464</_dlc_DocId>
    <EmailCc xmlns="http://schemas.microsoft.com/sharepoint/v3" xsi:nil="true"/>
    <IconOverlay xmlns="http://schemas.microsoft.com/sharepoint/v4" xsi:nil="true"/>
    <_dlc_DocIdUrl xmlns="2f0fb0e4-6f95-4f64-8efb-58e3d90405ce">
      <Url>https://projects.qualcomm.com/sites/SkyBer/_layouts/15/DocIdRedir.aspx?ID=2FHT6SDPEKRM-4-36464</Url>
      <Description>2FHT6SDPEKRM-4-36464</Description>
    </_dlc_DocIdUrl>
    <EmailSubject xmlns="http://schemas.microsoft.com/sharepoint/v3" xsi:nil="true"/>
    <EmailHeaders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12D15-3F75-4AB0-98DD-5EC5EFD84FF4}">
  <ds:schemaRefs>
    <ds:schemaRef ds:uri="http://schemas.microsoft.com/sharepoint/events"/>
  </ds:schemaRefs>
</ds:datastoreItem>
</file>

<file path=customXml/itemProps2.xml><?xml version="1.0" encoding="utf-8"?>
<ds:datastoreItem xmlns:ds="http://schemas.openxmlformats.org/officeDocument/2006/customXml" ds:itemID="{F96D2648-AD2F-48D7-838C-E80F16033A61}">
  <ds:schemaRefs>
    <ds:schemaRef ds:uri="http://schemas.microsoft.com/sharepoint/v3/contenttype/forms"/>
  </ds:schemaRefs>
</ds:datastoreItem>
</file>

<file path=customXml/itemProps3.xml><?xml version="1.0" encoding="utf-8"?>
<ds:datastoreItem xmlns:ds="http://schemas.openxmlformats.org/officeDocument/2006/customXml" ds:itemID="{CF0426F5-6CB5-4380-86A8-F991AC91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68A351-9446-4B1B-91F6-8BEB19BD8BF2}">
  <ds:schemaRefs>
    <ds:schemaRef ds:uri="office.server.policy"/>
  </ds:schemaRefs>
</ds:datastoreItem>
</file>

<file path=customXml/itemProps5.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6.xml><?xml version="1.0" encoding="utf-8"?>
<ds:datastoreItem xmlns:ds="http://schemas.openxmlformats.org/officeDocument/2006/customXml" ds:itemID="{C09E8A92-4150-4521-BA77-1CA25F6D7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6482</Words>
  <Characters>36953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2018-11-02T23:58:00Z</dcterms:created>
  <dcterms:modified xsi:type="dcterms:W3CDTF">2018-11-02T23:58:00Z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986514ae-3b25-4a5e-bc80-27d8e91142ff</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