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DAD" w:rsidRPr="00135DAD" w:rsidRDefault="00FC4132" w:rsidP="00135DAD">
      <w:pPr>
        <w:tabs>
          <w:tab w:val="center" w:pos="4536"/>
          <w:tab w:val="right" w:pos="8280"/>
          <w:tab w:val="right" w:pos="9639"/>
        </w:tabs>
        <w:ind w:right="2"/>
        <w:rPr>
          <w:rFonts w:ascii="Arial" w:hAnsi="Arial" w:cs="Arial"/>
          <w:b/>
          <w:bCs/>
          <w:sz w:val="24"/>
          <w:szCs w:val="24"/>
        </w:rPr>
      </w:pPr>
      <w:bookmarkStart w:id="0" w:name="_Ref399006623"/>
      <w:bookmarkStart w:id="1" w:name="_Toc92513360"/>
      <w:r>
        <w:rPr>
          <w:rFonts w:ascii="Arial" w:hAnsi="Arial" w:cs="Arial"/>
          <w:b/>
          <w:bCs/>
          <w:sz w:val="24"/>
          <w:szCs w:val="24"/>
        </w:rPr>
        <w:t>3GPP TSG RAN WG1 Meeting #94</w:t>
      </w:r>
      <w:r w:rsidR="00135DAD" w:rsidRPr="00135DAD">
        <w:rPr>
          <w:rFonts w:ascii="Arial" w:hAnsi="Arial" w:cs="Arial"/>
          <w:b/>
          <w:bCs/>
          <w:sz w:val="24"/>
          <w:szCs w:val="24"/>
        </w:rPr>
        <w:tab/>
      </w:r>
      <w:r w:rsidR="00135DAD" w:rsidRPr="00135DAD">
        <w:rPr>
          <w:rFonts w:ascii="Arial" w:hAnsi="Arial" w:cs="Arial"/>
          <w:b/>
          <w:bCs/>
          <w:sz w:val="24"/>
          <w:szCs w:val="24"/>
        </w:rPr>
        <w:tab/>
      </w:r>
      <w:r w:rsidR="00725705">
        <w:rPr>
          <w:rFonts w:ascii="Arial" w:hAnsi="Arial" w:cs="Arial"/>
          <w:b/>
          <w:bCs/>
          <w:sz w:val="24"/>
          <w:szCs w:val="24"/>
        </w:rPr>
        <w:tab/>
      </w:r>
      <w:r w:rsidR="00135DAD" w:rsidRPr="00135DAD">
        <w:rPr>
          <w:rFonts w:ascii="Arial" w:hAnsi="Arial" w:cs="Arial"/>
          <w:b/>
          <w:bCs/>
          <w:sz w:val="24"/>
          <w:szCs w:val="24"/>
        </w:rPr>
        <w:t>R1-18</w:t>
      </w:r>
      <w:r w:rsidR="00E14820">
        <w:rPr>
          <w:rFonts w:ascii="Arial" w:eastAsia="MS Mincho" w:hAnsi="Arial" w:cs="Arial"/>
          <w:b/>
          <w:bCs/>
          <w:sz w:val="24"/>
          <w:szCs w:val="24"/>
          <w:lang w:eastAsia="ja-JP"/>
        </w:rPr>
        <w:t>08398</w:t>
      </w:r>
    </w:p>
    <w:p w:rsidR="00135DAD" w:rsidRPr="00135DAD" w:rsidRDefault="00FC4132" w:rsidP="00135DAD">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Gothenburg</w:t>
      </w:r>
      <w:r w:rsidR="00135DAD" w:rsidRPr="00135DAD">
        <w:rPr>
          <w:rFonts w:ascii="Arial" w:eastAsia="MS Mincho" w:hAnsi="Arial" w:cs="Arial"/>
          <w:b/>
          <w:bCs/>
          <w:sz w:val="24"/>
          <w:szCs w:val="24"/>
          <w:lang w:eastAsia="ja-JP"/>
        </w:rPr>
        <w:t xml:space="preserve">, </w:t>
      </w:r>
      <w:r>
        <w:rPr>
          <w:rFonts w:ascii="Arial" w:eastAsia="MS Mincho" w:hAnsi="Arial" w:cs="Arial"/>
          <w:b/>
          <w:bCs/>
          <w:sz w:val="24"/>
          <w:szCs w:val="24"/>
          <w:lang w:eastAsia="ja-JP"/>
        </w:rPr>
        <w:t>Sweden, Aug</w:t>
      </w:r>
      <w:r w:rsidR="00135DAD" w:rsidRPr="00135DAD">
        <w:rPr>
          <w:rFonts w:ascii="Arial" w:eastAsia="MS Mincho" w:hAnsi="Arial" w:cs="Arial"/>
          <w:b/>
          <w:bCs/>
          <w:sz w:val="24"/>
          <w:szCs w:val="24"/>
          <w:lang w:eastAsia="ja-JP"/>
        </w:rPr>
        <w:t xml:space="preserve"> 2</w:t>
      </w:r>
      <w:r>
        <w:rPr>
          <w:rFonts w:ascii="Arial" w:eastAsia="MS Mincho" w:hAnsi="Arial" w:cs="Arial"/>
          <w:b/>
          <w:bCs/>
          <w:sz w:val="24"/>
          <w:szCs w:val="24"/>
          <w:lang w:eastAsia="ja-JP"/>
        </w:rPr>
        <w:t>0</w:t>
      </w:r>
      <w:r w:rsidRPr="00FC4132">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w:t>
      </w:r>
      <w:r w:rsidR="00135DAD" w:rsidRPr="00135DAD">
        <w:rPr>
          <w:rFonts w:ascii="Arial" w:eastAsia="MS Mincho" w:hAnsi="Arial" w:cs="Arial"/>
          <w:b/>
          <w:bCs/>
          <w:sz w:val="24"/>
          <w:szCs w:val="24"/>
          <w:lang w:eastAsia="ja-JP"/>
        </w:rPr>
        <w:t>– 2</w:t>
      </w:r>
      <w:r>
        <w:rPr>
          <w:rFonts w:ascii="Arial" w:eastAsia="MS Mincho" w:hAnsi="Arial" w:cs="Arial"/>
          <w:b/>
          <w:bCs/>
          <w:sz w:val="24"/>
          <w:szCs w:val="24"/>
          <w:lang w:eastAsia="ja-JP"/>
        </w:rPr>
        <w:t>4</w:t>
      </w:r>
      <w:r w:rsidR="00135DAD" w:rsidRPr="00135DAD">
        <w:rPr>
          <w:rFonts w:ascii="Arial" w:eastAsia="MS Mincho" w:hAnsi="Arial" w:cs="Arial"/>
          <w:b/>
          <w:bCs/>
          <w:sz w:val="24"/>
          <w:szCs w:val="24"/>
          <w:vertAlign w:val="superscript"/>
          <w:lang w:eastAsia="ja-JP"/>
        </w:rPr>
        <w:t>th</w:t>
      </w:r>
      <w:r w:rsidR="00135DAD" w:rsidRPr="00135DAD">
        <w:rPr>
          <w:rFonts w:ascii="Arial" w:eastAsia="MS Mincho" w:hAnsi="Arial" w:cs="Arial"/>
          <w:b/>
          <w:bCs/>
          <w:sz w:val="24"/>
          <w:szCs w:val="24"/>
          <w:lang w:eastAsia="ja-JP"/>
        </w:rPr>
        <w:t xml:space="preserve">, 2018 </w:t>
      </w:r>
    </w:p>
    <w:p w:rsidR="008449B8" w:rsidRPr="002328F2" w:rsidRDefault="004A0358" w:rsidP="004A0358">
      <w:pPr>
        <w:pStyle w:val="DocInfo"/>
        <w:tabs>
          <w:tab w:val="clear" w:pos="2160"/>
          <w:tab w:val="right" w:pos="9639"/>
        </w:tabs>
        <w:spacing w:before="0" w:after="0"/>
        <w:rPr>
          <w:rFonts w:ascii="Arial" w:eastAsia="MS Mincho" w:hAnsi="Arial" w:cs="Arial"/>
          <w:b/>
          <w:sz w:val="24"/>
          <w:szCs w:val="24"/>
        </w:rPr>
      </w:pPr>
      <w:r w:rsidRPr="002328F2">
        <w:rPr>
          <w:rFonts w:ascii="Arial" w:eastAsia="MS Mincho" w:hAnsi="Arial" w:cs="Arial"/>
          <w:b/>
          <w:sz w:val="24"/>
          <w:szCs w:val="24"/>
        </w:rPr>
        <w:tab/>
      </w:r>
    </w:p>
    <w:p w:rsidR="00652257" w:rsidRPr="002328F2" w:rsidRDefault="00652257" w:rsidP="00652257">
      <w:pPr>
        <w:tabs>
          <w:tab w:val="left" w:pos="1985"/>
        </w:tabs>
        <w:jc w:val="both"/>
        <w:rPr>
          <w:rFonts w:ascii="Arial" w:eastAsia="SimSun" w:hAnsi="Arial" w:cs="Arial"/>
          <w:sz w:val="24"/>
          <w:szCs w:val="24"/>
          <w:lang w:eastAsia="zh-CN"/>
        </w:rPr>
      </w:pPr>
      <w:r w:rsidRPr="002328F2">
        <w:rPr>
          <w:rFonts w:ascii="Arial" w:hAnsi="Arial" w:cs="Arial"/>
          <w:b/>
          <w:sz w:val="24"/>
          <w:szCs w:val="24"/>
        </w:rPr>
        <w:t>Agen</w:t>
      </w:r>
      <w:r w:rsidRPr="002328F2">
        <w:rPr>
          <w:rFonts w:ascii="Arial" w:eastAsia="SimSun" w:hAnsi="Arial" w:cs="Arial"/>
          <w:b/>
          <w:sz w:val="24"/>
          <w:szCs w:val="24"/>
          <w:lang w:eastAsia="zh-CN"/>
        </w:rPr>
        <w:t>d</w:t>
      </w:r>
      <w:r w:rsidRPr="002328F2">
        <w:rPr>
          <w:rFonts w:ascii="Arial" w:hAnsi="Arial" w:cs="Arial"/>
          <w:b/>
          <w:sz w:val="24"/>
          <w:szCs w:val="24"/>
        </w:rPr>
        <w:t>a Item:</w:t>
      </w:r>
      <w:r w:rsidRPr="002328F2">
        <w:rPr>
          <w:rFonts w:ascii="Arial" w:hAnsi="Arial" w:cs="Arial"/>
          <w:sz w:val="24"/>
          <w:szCs w:val="24"/>
        </w:rPr>
        <w:tab/>
      </w:r>
      <w:r w:rsidR="005451E6">
        <w:rPr>
          <w:rFonts w:ascii="Arial" w:hAnsi="Arial" w:cs="Arial"/>
          <w:sz w:val="24"/>
          <w:szCs w:val="24"/>
        </w:rPr>
        <w:t>7</w:t>
      </w:r>
      <w:r w:rsidRPr="002328F2">
        <w:rPr>
          <w:rFonts w:ascii="Arial" w:hAnsi="Arial" w:cs="Arial"/>
          <w:sz w:val="24"/>
          <w:szCs w:val="24"/>
        </w:rPr>
        <w:t>.</w:t>
      </w:r>
      <w:r w:rsidR="00FC4132">
        <w:rPr>
          <w:rFonts w:ascii="Arial" w:hAnsi="Arial" w:cs="Arial"/>
          <w:sz w:val="24"/>
          <w:szCs w:val="24"/>
        </w:rPr>
        <w:t>2</w:t>
      </w:r>
      <w:r w:rsidR="005451E6">
        <w:rPr>
          <w:rFonts w:ascii="Arial" w:hAnsi="Arial" w:cs="Arial"/>
          <w:sz w:val="24"/>
          <w:szCs w:val="24"/>
        </w:rPr>
        <w:t>.</w:t>
      </w:r>
      <w:r w:rsidR="00FC4132">
        <w:rPr>
          <w:rFonts w:ascii="Arial" w:hAnsi="Arial" w:cs="Arial"/>
          <w:sz w:val="24"/>
          <w:szCs w:val="24"/>
        </w:rPr>
        <w:t>3.</w:t>
      </w:r>
      <w:r w:rsidR="005451E6">
        <w:rPr>
          <w:rFonts w:ascii="Arial" w:hAnsi="Arial" w:cs="Arial"/>
          <w:sz w:val="24"/>
          <w:szCs w:val="24"/>
        </w:rPr>
        <w:t>1</w:t>
      </w:r>
    </w:p>
    <w:p w:rsidR="00675C27" w:rsidRPr="002328F2" w:rsidRDefault="00675C27" w:rsidP="00675C27">
      <w:pPr>
        <w:tabs>
          <w:tab w:val="left" w:pos="1985"/>
        </w:tabs>
        <w:jc w:val="both"/>
        <w:rPr>
          <w:rFonts w:ascii="Arial" w:eastAsia="SimSun" w:hAnsi="Arial" w:cs="Arial"/>
          <w:b/>
          <w:sz w:val="24"/>
          <w:szCs w:val="24"/>
          <w:lang w:eastAsia="zh-CN"/>
        </w:rPr>
      </w:pPr>
      <w:r w:rsidRPr="002328F2">
        <w:rPr>
          <w:rFonts w:ascii="Arial" w:hAnsi="Arial" w:cs="Arial"/>
          <w:b/>
          <w:sz w:val="24"/>
          <w:szCs w:val="24"/>
        </w:rPr>
        <w:t xml:space="preserve">Source: </w:t>
      </w:r>
      <w:r w:rsidRPr="002328F2">
        <w:rPr>
          <w:rFonts w:ascii="Arial" w:hAnsi="Arial" w:cs="Arial"/>
          <w:b/>
          <w:sz w:val="24"/>
          <w:szCs w:val="24"/>
        </w:rPr>
        <w:tab/>
      </w:r>
      <w:r w:rsidR="00135DAD">
        <w:rPr>
          <w:rFonts w:ascii="Arial" w:hAnsi="Arial" w:cs="Arial"/>
          <w:sz w:val="24"/>
          <w:szCs w:val="24"/>
        </w:rPr>
        <w:t>CATT</w:t>
      </w:r>
    </w:p>
    <w:p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18331F" w:rsidRPr="0018331F">
        <w:rPr>
          <w:rFonts w:ascii="Arial" w:hAnsi="Arial" w:cs="Arial"/>
          <w:sz w:val="24"/>
          <w:szCs w:val="24"/>
        </w:rPr>
        <w:t>NR Phys</w:t>
      </w:r>
      <w:r w:rsidR="0018331F">
        <w:rPr>
          <w:rFonts w:ascii="Arial" w:hAnsi="Arial" w:cs="Arial"/>
          <w:sz w:val="24"/>
          <w:szCs w:val="24"/>
        </w:rPr>
        <w:t>ical Layer design for IAB backh</w:t>
      </w:r>
      <w:r w:rsidR="0018331F" w:rsidRPr="0018331F">
        <w:rPr>
          <w:rFonts w:ascii="Arial" w:hAnsi="Arial" w:cs="Arial"/>
          <w:sz w:val="24"/>
          <w:szCs w:val="24"/>
        </w:rPr>
        <w:t>a</w:t>
      </w:r>
      <w:r w:rsidR="0018331F">
        <w:rPr>
          <w:rFonts w:ascii="Arial" w:hAnsi="Arial" w:cs="Arial"/>
          <w:sz w:val="24"/>
          <w:szCs w:val="24"/>
        </w:rPr>
        <w:t>u</w:t>
      </w:r>
      <w:r w:rsidR="0018331F" w:rsidRPr="0018331F">
        <w:rPr>
          <w:rFonts w:ascii="Arial" w:hAnsi="Arial" w:cs="Arial"/>
          <w:sz w:val="24"/>
          <w:szCs w:val="24"/>
        </w:rPr>
        <w:t>l link</w:t>
      </w:r>
      <w:r w:rsidR="005451E6">
        <w:rPr>
          <w:rFonts w:ascii="Arial" w:hAnsi="Arial" w:cs="Arial"/>
          <w:sz w:val="24"/>
          <w:szCs w:val="24"/>
        </w:rPr>
        <w:t xml:space="preserve"> </w:t>
      </w:r>
    </w:p>
    <w:p w:rsidR="00BB7889" w:rsidRPr="002328F2" w:rsidRDefault="00675C27" w:rsidP="00BB7889">
      <w:pPr>
        <w:tabs>
          <w:tab w:val="left" w:pos="1985"/>
        </w:tabs>
        <w:jc w:val="both"/>
        <w:rPr>
          <w:rFonts w:ascii="Arial" w:eastAsia="SimSun" w:hAnsi="Arial" w:cs="Arial"/>
          <w:sz w:val="24"/>
          <w:szCs w:val="24"/>
          <w:lang w:eastAsia="zh-CN"/>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lang w:eastAsia="zh-CN"/>
        </w:rPr>
        <w:t>Discussion and decision</w:t>
      </w:r>
    </w:p>
    <w:p w:rsidR="00BB7889" w:rsidRPr="007C2F71" w:rsidRDefault="00BB7889" w:rsidP="00C23B88">
      <w:pPr>
        <w:pStyle w:val="1"/>
        <w:rPr>
          <w:lang w:eastAsia="zh-CN"/>
        </w:rPr>
      </w:pPr>
      <w:r w:rsidRPr="00C23B88">
        <w:t>Introduction</w:t>
      </w:r>
    </w:p>
    <w:p w:rsidR="006E2265" w:rsidRDefault="00767A6C" w:rsidP="000360A3">
      <w:r w:rsidRPr="00E271F9">
        <w:t xml:space="preserve">NR-IAB (Integrated Access and Backhaul) targets to support the NR access link as the backhaul link for other NR node.   </w:t>
      </w:r>
    </w:p>
    <w:p w:rsidR="006E2265" w:rsidRDefault="006E2265" w:rsidP="000360A3">
      <w:r>
        <w:t>In RAN1#93</w:t>
      </w:r>
      <w:r w:rsidRPr="00E271F9">
        <w:t xml:space="preserve">, the physical layer aspects for IAB were discussed with the following agreements, </w:t>
      </w:r>
    </w:p>
    <w:p w:rsidR="006E2265" w:rsidRPr="006E2265" w:rsidRDefault="006E2265" w:rsidP="006E2265">
      <w:r w:rsidRPr="006E2265">
        <w:rPr>
          <w:highlight w:val="green"/>
        </w:rPr>
        <w:t>Agreements</w:t>
      </w:r>
      <w:r w:rsidRPr="006E2265">
        <w:t>:</w:t>
      </w:r>
    </w:p>
    <w:p w:rsidR="006E2265" w:rsidRPr="006E2265" w:rsidRDefault="006E2265" w:rsidP="006E2265">
      <w:pPr>
        <w:pStyle w:val="maintext"/>
        <w:numPr>
          <w:ilvl w:val="0"/>
          <w:numId w:val="34"/>
        </w:numPr>
        <w:ind w:left="360" w:firstLineChars="0"/>
      </w:pPr>
      <w:r w:rsidRPr="006E2265">
        <w:t xml:space="preserve">To support the half-duplex constraint from the perspective of a given IAB node, IAB supports detection and measurement of candidate backhaul links (after initial access) which utilizes resources that are orthogonal in time from those used by access UEs for cell detection and measurement. </w:t>
      </w:r>
    </w:p>
    <w:p w:rsidR="006E2265" w:rsidRPr="006E2265" w:rsidRDefault="006E2265" w:rsidP="006E2265">
      <w:pPr>
        <w:pStyle w:val="maintext"/>
        <w:numPr>
          <w:ilvl w:val="0"/>
          <w:numId w:val="34"/>
        </w:numPr>
        <w:ind w:left="360" w:firstLineChars="0"/>
      </w:pPr>
      <w:r w:rsidRPr="006E2265">
        <w:t>The following solutions can be further considered:</w:t>
      </w:r>
    </w:p>
    <w:p w:rsidR="006E2265" w:rsidRPr="006E2265" w:rsidRDefault="006E2265" w:rsidP="006E2265">
      <w:pPr>
        <w:pStyle w:val="maintext"/>
        <w:numPr>
          <w:ilvl w:val="1"/>
          <w:numId w:val="34"/>
        </w:numPr>
        <w:ind w:left="1080" w:firstLineChars="0"/>
      </w:pPr>
      <w:r w:rsidRPr="006E2265">
        <w:t>TDM of SSBs (e.g. depending on hop order, cell ID, etc.)</w:t>
      </w:r>
    </w:p>
    <w:p w:rsidR="006E2265" w:rsidRPr="006E2265" w:rsidRDefault="006E2265" w:rsidP="006E2265">
      <w:pPr>
        <w:pStyle w:val="maintext"/>
        <w:numPr>
          <w:ilvl w:val="1"/>
          <w:numId w:val="34"/>
        </w:numPr>
        <w:ind w:left="1080" w:firstLineChars="0"/>
      </w:pPr>
      <w:r w:rsidRPr="006E2265">
        <w:t xml:space="preserve">SSB muting across IAB nodes </w:t>
      </w:r>
    </w:p>
    <w:p w:rsidR="006E2265" w:rsidRPr="006E2265" w:rsidRDefault="006E2265" w:rsidP="006E2265">
      <w:pPr>
        <w:pStyle w:val="maintext"/>
        <w:numPr>
          <w:ilvl w:val="1"/>
          <w:numId w:val="34"/>
        </w:numPr>
        <w:ind w:left="1080" w:firstLineChars="0"/>
      </w:pPr>
      <w:r w:rsidRPr="006E2265">
        <w:t xml:space="preserve">Multiplexing of SSBs for access UEs and IABs within a half-frame or across half-frames </w:t>
      </w:r>
    </w:p>
    <w:p w:rsidR="006E2265" w:rsidRPr="006E2265" w:rsidRDefault="006E2265" w:rsidP="006E2265">
      <w:pPr>
        <w:pStyle w:val="maintext"/>
        <w:numPr>
          <w:ilvl w:val="1"/>
          <w:numId w:val="34"/>
        </w:numPr>
        <w:ind w:left="1080" w:firstLineChars="0"/>
      </w:pPr>
      <w:r w:rsidRPr="006E2265">
        <w:t>Additional IAB node discovery signal TDM with SSB (e.g. CSI-RS)</w:t>
      </w:r>
    </w:p>
    <w:p w:rsidR="006E2265" w:rsidRPr="006E2265" w:rsidRDefault="006E2265" w:rsidP="006E2265">
      <w:pPr>
        <w:pStyle w:val="maintext"/>
        <w:numPr>
          <w:ilvl w:val="1"/>
          <w:numId w:val="34"/>
        </w:numPr>
        <w:ind w:left="1080" w:firstLineChars="0"/>
      </w:pPr>
      <w:r w:rsidRPr="006E2265">
        <w:t>Use of off-raster SSBs</w:t>
      </w:r>
    </w:p>
    <w:p w:rsidR="006E2265" w:rsidRPr="006E2265" w:rsidRDefault="006E2265" w:rsidP="006E2265">
      <w:pPr>
        <w:pStyle w:val="maintext"/>
        <w:numPr>
          <w:ilvl w:val="1"/>
          <w:numId w:val="34"/>
        </w:numPr>
        <w:ind w:left="1080" w:firstLineChars="0"/>
      </w:pPr>
      <w:r w:rsidRPr="006E2265">
        <w:t>Different transmission periodicity compared to the periodicity used by access UEs</w:t>
      </w:r>
    </w:p>
    <w:p w:rsidR="006E2265" w:rsidRPr="006E2265" w:rsidRDefault="006E2265" w:rsidP="006E2265">
      <w:pPr>
        <w:pStyle w:val="maintext"/>
        <w:numPr>
          <w:ilvl w:val="0"/>
          <w:numId w:val="34"/>
        </w:numPr>
        <w:ind w:left="360" w:firstLineChars="0"/>
      </w:pPr>
      <w:r w:rsidRPr="006E2265">
        <w:t>Further study coordination mechanisms for different solutions</w:t>
      </w:r>
    </w:p>
    <w:p w:rsidR="006E2265" w:rsidRPr="006E2265" w:rsidRDefault="006E2265" w:rsidP="006E2265"/>
    <w:p w:rsidR="006E2265" w:rsidRPr="006E2265" w:rsidRDefault="006E2265" w:rsidP="006E2265">
      <w:r w:rsidRPr="006E2265">
        <w:rPr>
          <w:highlight w:val="green"/>
        </w:rPr>
        <w:t>Agreements</w:t>
      </w:r>
      <w:r w:rsidRPr="006E2265">
        <w:t>:</w:t>
      </w:r>
    </w:p>
    <w:p w:rsidR="006E2265" w:rsidRPr="006E2265" w:rsidRDefault="006E2265" w:rsidP="006E2265">
      <w:pPr>
        <w:numPr>
          <w:ilvl w:val="0"/>
          <w:numId w:val="35"/>
        </w:numPr>
        <w:overflowPunct/>
        <w:autoSpaceDE/>
        <w:autoSpaceDN/>
        <w:adjustRightInd/>
        <w:spacing w:before="60" w:after="120"/>
        <w:jc w:val="both"/>
        <w:textAlignment w:val="auto"/>
        <w:rPr>
          <w:rFonts w:eastAsia="Malgun Gothic"/>
          <w:lang w:eastAsia="ko-KR"/>
        </w:rPr>
      </w:pPr>
      <w:r w:rsidRPr="006E2265">
        <w:rPr>
          <w:rFonts w:eastAsia="Malgun Gothic"/>
          <w:lang w:eastAsia="ko-KR"/>
        </w:rPr>
        <w:t>IAB supports SSB and CSI-RS based RRM measurements. The following features can be considered:</w:t>
      </w:r>
    </w:p>
    <w:p w:rsidR="006E2265" w:rsidRPr="006E2265" w:rsidRDefault="006E2265" w:rsidP="006E2265">
      <w:pPr>
        <w:numPr>
          <w:ilvl w:val="1"/>
          <w:numId w:val="35"/>
        </w:numPr>
        <w:overflowPunct/>
        <w:autoSpaceDE/>
        <w:autoSpaceDN/>
        <w:adjustRightInd/>
        <w:spacing w:before="60" w:after="120"/>
        <w:jc w:val="both"/>
        <w:textAlignment w:val="auto"/>
        <w:rPr>
          <w:rFonts w:eastAsia="Malgun Gothic"/>
          <w:lang w:eastAsia="ko-KR"/>
        </w:rPr>
      </w:pPr>
      <w:r w:rsidRPr="006E2265">
        <w:rPr>
          <w:rFonts w:eastAsia="Malgun Gothic"/>
          <w:lang w:eastAsia="ko-KR"/>
        </w:rPr>
        <w:t xml:space="preserve">Mechanisms for coordination of RS transmission and measurement occasions for IAB nodes </w:t>
      </w:r>
    </w:p>
    <w:p w:rsidR="006E2265" w:rsidRPr="006E2265" w:rsidRDefault="006E2265" w:rsidP="006E2265">
      <w:pPr>
        <w:numPr>
          <w:ilvl w:val="1"/>
          <w:numId w:val="35"/>
        </w:numPr>
        <w:overflowPunct/>
        <w:autoSpaceDE/>
        <w:autoSpaceDN/>
        <w:adjustRightInd/>
        <w:spacing w:before="60" w:after="120"/>
        <w:jc w:val="both"/>
        <w:textAlignment w:val="auto"/>
        <w:rPr>
          <w:rFonts w:eastAsia="Malgun Gothic"/>
          <w:lang w:eastAsia="ko-KR"/>
        </w:rPr>
      </w:pPr>
      <w:r w:rsidRPr="006E2265">
        <w:rPr>
          <w:rFonts w:eastAsia="Malgun Gothic"/>
          <w:lang w:eastAsia="ko-KR"/>
        </w:rPr>
        <w:t xml:space="preserve">Enhancements of SMTC and CSI-RS configurations for IAB </w:t>
      </w:r>
    </w:p>
    <w:p w:rsidR="006E2265" w:rsidRPr="006E2265" w:rsidRDefault="006E2265" w:rsidP="006E2265">
      <w:pPr>
        <w:numPr>
          <w:ilvl w:val="0"/>
          <w:numId w:val="35"/>
        </w:numPr>
        <w:overflowPunct/>
        <w:autoSpaceDE/>
        <w:autoSpaceDN/>
        <w:adjustRightInd/>
        <w:spacing w:before="60" w:after="120"/>
        <w:jc w:val="both"/>
        <w:textAlignment w:val="auto"/>
        <w:rPr>
          <w:rFonts w:eastAsia="Malgun Gothic"/>
          <w:lang w:eastAsia="ko-KR"/>
        </w:rPr>
      </w:pPr>
      <w:r w:rsidRPr="006E2265">
        <w:rPr>
          <w:rFonts w:eastAsia="Malgun Gothic"/>
          <w:lang w:eastAsia="ko-KR"/>
        </w:rPr>
        <w:t>An IAB-node supports mechanisms for detecting/recovering from backhaul link failure based on Rel-15 mechanisms.</w:t>
      </w:r>
    </w:p>
    <w:p w:rsidR="006E2265" w:rsidRPr="006E2265" w:rsidRDefault="006E2265" w:rsidP="006E2265">
      <w:pPr>
        <w:numPr>
          <w:ilvl w:val="1"/>
          <w:numId w:val="35"/>
        </w:numPr>
        <w:overflowPunct/>
        <w:autoSpaceDE/>
        <w:autoSpaceDN/>
        <w:adjustRightInd/>
        <w:spacing w:before="60" w:after="120"/>
        <w:jc w:val="both"/>
        <w:textAlignment w:val="auto"/>
        <w:rPr>
          <w:rFonts w:eastAsia="Malgun Gothic"/>
          <w:lang w:eastAsia="ko-KR"/>
        </w:rPr>
      </w:pPr>
      <w:r w:rsidRPr="006E2265">
        <w:rPr>
          <w:rFonts w:eastAsia="Malgun Gothic"/>
          <w:lang w:eastAsia="ko-KR"/>
        </w:rPr>
        <w:t>Study enhancements to RLM RS and associated procedures for IAB</w:t>
      </w:r>
    </w:p>
    <w:p w:rsidR="006E2265" w:rsidRPr="006E2265" w:rsidRDefault="006E2265" w:rsidP="006E2265">
      <w:r w:rsidRPr="006E2265">
        <w:rPr>
          <w:highlight w:val="green"/>
        </w:rPr>
        <w:t>Agreements</w:t>
      </w:r>
      <w:r w:rsidRPr="006E2265">
        <w:t>:</w:t>
      </w:r>
    </w:p>
    <w:p w:rsidR="006E2265" w:rsidRPr="006E2265" w:rsidRDefault="006E2265" w:rsidP="006E2265">
      <w:pPr>
        <w:numPr>
          <w:ilvl w:val="0"/>
          <w:numId w:val="28"/>
        </w:numPr>
        <w:overflowPunct/>
        <w:autoSpaceDE/>
        <w:autoSpaceDN/>
        <w:adjustRightInd/>
        <w:spacing w:before="60" w:after="120"/>
        <w:jc w:val="both"/>
        <w:textAlignment w:val="auto"/>
      </w:pPr>
      <w:r w:rsidRPr="006E2265">
        <w:t>IAB supports TDM, FDM, and SDM between Access and BH links at an IAB node, subject to a half-duplex constraint. Further study the following solutions for the different multiplexing options:</w:t>
      </w:r>
    </w:p>
    <w:p w:rsidR="006E2265" w:rsidRPr="006E2265" w:rsidRDefault="006E2265" w:rsidP="006E2265">
      <w:pPr>
        <w:numPr>
          <w:ilvl w:val="1"/>
          <w:numId w:val="28"/>
        </w:numPr>
        <w:overflowPunct/>
        <w:autoSpaceDE/>
        <w:autoSpaceDN/>
        <w:adjustRightInd/>
        <w:spacing w:before="60" w:after="120"/>
        <w:jc w:val="both"/>
        <w:textAlignment w:val="auto"/>
      </w:pPr>
      <w:r w:rsidRPr="006E2265">
        <w:t>Mechanisms for orthogonal partitioning of time slots or frequency resources between access and backhaul links across one or multiple hops</w:t>
      </w:r>
    </w:p>
    <w:p w:rsidR="006E2265" w:rsidRPr="006E2265" w:rsidRDefault="006E2265" w:rsidP="006E2265">
      <w:pPr>
        <w:numPr>
          <w:ilvl w:val="1"/>
          <w:numId w:val="28"/>
        </w:numPr>
        <w:overflowPunct/>
        <w:autoSpaceDE/>
        <w:autoSpaceDN/>
        <w:adjustRightInd/>
        <w:spacing w:before="60" w:after="120"/>
        <w:jc w:val="both"/>
        <w:textAlignment w:val="auto"/>
      </w:pPr>
      <w:r w:rsidRPr="006E2265">
        <w:t>Utilization of different DL/UL slot configurations for access and backhaul links</w:t>
      </w:r>
    </w:p>
    <w:p w:rsidR="006E2265" w:rsidRPr="006E2265" w:rsidRDefault="006E2265" w:rsidP="006E2265">
      <w:pPr>
        <w:numPr>
          <w:ilvl w:val="1"/>
          <w:numId w:val="28"/>
        </w:numPr>
        <w:overflowPunct/>
        <w:autoSpaceDE/>
        <w:autoSpaceDN/>
        <w:adjustRightInd/>
        <w:spacing w:before="60" w:after="120"/>
        <w:jc w:val="both"/>
        <w:textAlignment w:val="auto"/>
      </w:pPr>
      <w:r w:rsidRPr="006E2265">
        <w:t>DL and UL power control enhancements and timing requirements to allow for intra-panel FDM and SDM of backhaul and access links.</w:t>
      </w:r>
    </w:p>
    <w:p w:rsidR="006E2265" w:rsidRPr="006E2265" w:rsidRDefault="006E2265" w:rsidP="006E2265">
      <w:pPr>
        <w:numPr>
          <w:ilvl w:val="1"/>
          <w:numId w:val="28"/>
        </w:numPr>
        <w:overflowPunct/>
        <w:autoSpaceDE/>
        <w:autoSpaceDN/>
        <w:adjustRightInd/>
        <w:spacing w:before="60" w:after="120"/>
        <w:jc w:val="both"/>
        <w:textAlignment w:val="auto"/>
      </w:pPr>
      <w:r w:rsidRPr="006E2265">
        <w:t>Interference management including cross-link interference</w:t>
      </w:r>
    </w:p>
    <w:p w:rsidR="006E2265" w:rsidRPr="006E2265" w:rsidRDefault="006E2265" w:rsidP="006E2265">
      <w:pPr>
        <w:numPr>
          <w:ilvl w:val="1"/>
          <w:numId w:val="28"/>
        </w:numPr>
        <w:overflowPunct/>
        <w:autoSpaceDE/>
        <w:autoSpaceDN/>
        <w:adjustRightInd/>
        <w:spacing w:before="60" w:after="120"/>
        <w:jc w:val="both"/>
        <w:textAlignment w:val="auto"/>
      </w:pPr>
      <w:r w:rsidRPr="006E2265">
        <w:lastRenderedPageBreak/>
        <w:t>Note: the level of required enhancement or optimization for the different options is FFS</w:t>
      </w:r>
    </w:p>
    <w:p w:rsidR="006E2265" w:rsidRPr="006E2265" w:rsidRDefault="006E2265" w:rsidP="006E2265">
      <w:r w:rsidRPr="006E2265">
        <w:rPr>
          <w:highlight w:val="green"/>
        </w:rPr>
        <w:t>Agreements</w:t>
      </w:r>
      <w:r w:rsidRPr="006E2265">
        <w:t>:</w:t>
      </w:r>
    </w:p>
    <w:p w:rsidR="006E2265" w:rsidRPr="006E2265" w:rsidRDefault="006E2265" w:rsidP="006E2265">
      <w:pPr>
        <w:numPr>
          <w:ilvl w:val="0"/>
          <w:numId w:val="36"/>
        </w:numPr>
        <w:overflowPunct/>
        <w:autoSpaceDE/>
        <w:autoSpaceDN/>
        <w:adjustRightInd/>
        <w:spacing w:before="60" w:after="120"/>
        <w:jc w:val="both"/>
        <w:textAlignment w:val="auto"/>
      </w:pPr>
      <w:r w:rsidRPr="006E2265">
        <w:t>IAB supports TA-based synchronization between IAB nodes, including across multiple backhaul hops</w:t>
      </w:r>
    </w:p>
    <w:p w:rsidR="006E2265" w:rsidRPr="006E2265" w:rsidRDefault="006E2265" w:rsidP="006E2265">
      <w:pPr>
        <w:numPr>
          <w:ilvl w:val="1"/>
          <w:numId w:val="36"/>
        </w:numPr>
        <w:overflowPunct/>
        <w:autoSpaceDE/>
        <w:autoSpaceDN/>
        <w:adjustRightInd/>
        <w:spacing w:before="60" w:after="120"/>
        <w:jc w:val="both"/>
        <w:textAlignment w:val="auto"/>
      </w:pPr>
      <w:r w:rsidRPr="006E2265">
        <w:t>Enhancements to existing mechanisms can be further studied</w:t>
      </w:r>
    </w:p>
    <w:p w:rsidR="006E2265" w:rsidRPr="006E2265" w:rsidRDefault="006E2265" w:rsidP="006E2265">
      <w:pPr>
        <w:numPr>
          <w:ilvl w:val="0"/>
          <w:numId w:val="36"/>
        </w:numPr>
        <w:overflowPunct/>
        <w:autoSpaceDE/>
        <w:autoSpaceDN/>
        <w:adjustRightInd/>
        <w:spacing w:before="60" w:after="120"/>
        <w:jc w:val="both"/>
        <w:textAlignment w:val="auto"/>
      </w:pPr>
      <w:r w:rsidRPr="006E2265">
        <w:t>The following cases should be further studied:</w:t>
      </w:r>
    </w:p>
    <w:p w:rsidR="006E2265" w:rsidRPr="006E2265" w:rsidRDefault="006E2265" w:rsidP="006E2265">
      <w:pPr>
        <w:numPr>
          <w:ilvl w:val="1"/>
          <w:numId w:val="36"/>
        </w:numPr>
        <w:overflowPunct/>
        <w:autoSpaceDE/>
        <w:autoSpaceDN/>
        <w:adjustRightInd/>
        <w:spacing w:before="60" w:after="120"/>
        <w:jc w:val="both"/>
        <w:textAlignment w:val="auto"/>
      </w:pPr>
      <w:r w:rsidRPr="006E2265">
        <w:t>Case 1: DL transmission timing alignment across IAB nodes and donor nodes</w:t>
      </w:r>
    </w:p>
    <w:p w:rsidR="006E2265" w:rsidRPr="006E2265" w:rsidRDefault="006E2265" w:rsidP="006E2265">
      <w:pPr>
        <w:numPr>
          <w:ilvl w:val="1"/>
          <w:numId w:val="36"/>
        </w:numPr>
        <w:overflowPunct/>
        <w:autoSpaceDE/>
        <w:autoSpaceDN/>
        <w:adjustRightInd/>
        <w:spacing w:before="60" w:after="120"/>
        <w:jc w:val="both"/>
        <w:textAlignment w:val="auto"/>
      </w:pPr>
      <w:r w:rsidRPr="006E2265">
        <w:t>Case 2: DL and UL transmission timing is aligned within an IAB node</w:t>
      </w:r>
    </w:p>
    <w:p w:rsidR="006E2265" w:rsidRPr="006E2265" w:rsidRDefault="006E2265" w:rsidP="006E2265">
      <w:pPr>
        <w:numPr>
          <w:ilvl w:val="1"/>
          <w:numId w:val="36"/>
        </w:numPr>
        <w:overflowPunct/>
        <w:autoSpaceDE/>
        <w:autoSpaceDN/>
        <w:adjustRightInd/>
        <w:spacing w:before="60" w:after="120"/>
        <w:jc w:val="both"/>
        <w:textAlignment w:val="auto"/>
      </w:pPr>
      <w:r w:rsidRPr="006E2265">
        <w:t>Case 3: DL and UL reception timing is aligned within an IAB node</w:t>
      </w:r>
    </w:p>
    <w:p w:rsidR="006E2265" w:rsidRPr="006E2265" w:rsidRDefault="006E2265" w:rsidP="006E2265">
      <w:pPr>
        <w:numPr>
          <w:ilvl w:val="1"/>
          <w:numId w:val="36"/>
        </w:numPr>
        <w:overflowPunct/>
        <w:autoSpaceDE/>
        <w:autoSpaceDN/>
        <w:adjustRightInd/>
        <w:spacing w:before="60" w:after="120"/>
        <w:jc w:val="both"/>
        <w:textAlignment w:val="auto"/>
      </w:pPr>
      <w:r w:rsidRPr="006E2265">
        <w:t>Case 4: within an IAB node, when transmitting using case 2 while when receiving using case 3</w:t>
      </w:r>
    </w:p>
    <w:p w:rsidR="006E2265" w:rsidRPr="006E2265" w:rsidRDefault="006E2265" w:rsidP="006E2265">
      <w:pPr>
        <w:numPr>
          <w:ilvl w:val="1"/>
          <w:numId w:val="36"/>
        </w:numPr>
        <w:overflowPunct/>
        <w:autoSpaceDE/>
        <w:autoSpaceDN/>
        <w:adjustRightInd/>
        <w:spacing w:before="60" w:after="120"/>
        <w:jc w:val="both"/>
        <w:textAlignment w:val="auto"/>
      </w:pPr>
      <w:r w:rsidRPr="006E2265">
        <w:t>Case 5: Case 1 for access link timing and Case 4 for backhaul link timing within an IAB node in different time slots</w:t>
      </w:r>
    </w:p>
    <w:p w:rsidR="006E2265" w:rsidRPr="006E2265" w:rsidRDefault="006E2265" w:rsidP="006E2265">
      <w:pPr>
        <w:numPr>
          <w:ilvl w:val="0"/>
          <w:numId w:val="36"/>
        </w:numPr>
        <w:overflowPunct/>
        <w:autoSpaceDE/>
        <w:autoSpaceDN/>
        <w:adjustRightInd/>
        <w:spacing w:before="60" w:after="120"/>
        <w:jc w:val="both"/>
        <w:textAlignment w:val="auto"/>
      </w:pPr>
      <w:r w:rsidRPr="006E2265">
        <w:t>Further study the following levels of alignment between IAB nodes/donor nodes or within an IAB node:</w:t>
      </w:r>
    </w:p>
    <w:p w:rsidR="006E2265" w:rsidRPr="006E2265" w:rsidRDefault="006E2265" w:rsidP="006E2265">
      <w:pPr>
        <w:numPr>
          <w:ilvl w:val="1"/>
          <w:numId w:val="36"/>
        </w:numPr>
        <w:overflowPunct/>
        <w:autoSpaceDE/>
        <w:autoSpaceDN/>
        <w:adjustRightInd/>
        <w:spacing w:before="60" w:after="120"/>
        <w:jc w:val="both"/>
        <w:textAlignment w:val="auto"/>
      </w:pPr>
      <w:r w:rsidRPr="006E2265">
        <w:t>Slot alignment</w:t>
      </w:r>
    </w:p>
    <w:p w:rsidR="006E2265" w:rsidRPr="006E2265" w:rsidRDefault="006E2265" w:rsidP="006E2265">
      <w:pPr>
        <w:numPr>
          <w:ilvl w:val="1"/>
          <w:numId w:val="36"/>
        </w:numPr>
        <w:overflowPunct/>
        <w:autoSpaceDE/>
        <w:autoSpaceDN/>
        <w:adjustRightInd/>
        <w:spacing w:before="60" w:after="120"/>
        <w:jc w:val="both"/>
        <w:textAlignment w:val="auto"/>
      </w:pPr>
      <w:r w:rsidRPr="006E2265">
        <w:t>Symbol-level alignment</w:t>
      </w:r>
    </w:p>
    <w:p w:rsidR="006E2265" w:rsidRPr="006E2265" w:rsidRDefault="006E2265" w:rsidP="006E2265">
      <w:pPr>
        <w:numPr>
          <w:ilvl w:val="1"/>
          <w:numId w:val="36"/>
        </w:numPr>
        <w:overflowPunct/>
        <w:autoSpaceDE/>
        <w:autoSpaceDN/>
        <w:adjustRightInd/>
        <w:spacing w:before="60" w:after="120"/>
        <w:jc w:val="both"/>
        <w:textAlignment w:val="auto"/>
      </w:pPr>
      <w:r w:rsidRPr="006E2265">
        <w:t>No alignment</w:t>
      </w:r>
    </w:p>
    <w:p w:rsidR="006E2265" w:rsidRPr="006E2265" w:rsidRDefault="006E2265" w:rsidP="006E2265">
      <w:pPr>
        <w:numPr>
          <w:ilvl w:val="0"/>
          <w:numId w:val="36"/>
        </w:numPr>
        <w:overflowPunct/>
        <w:autoSpaceDE/>
        <w:autoSpaceDN/>
        <w:adjustRightInd/>
        <w:spacing w:before="60" w:after="120"/>
        <w:jc w:val="both"/>
        <w:textAlignment w:val="auto"/>
      </w:pPr>
      <w:r w:rsidRPr="006E2265">
        <w:t>Further consider the impact of different cases on TDM/FDM/SDM multiplexing of access and backhaul links, cross-link interference, and impact on access UEs</w:t>
      </w:r>
    </w:p>
    <w:p w:rsidR="006E2265" w:rsidRPr="006E2265" w:rsidRDefault="006E2265" w:rsidP="006E2265"/>
    <w:p w:rsidR="006E2265" w:rsidRPr="006E2265" w:rsidRDefault="006E2265" w:rsidP="006E2265">
      <w:r w:rsidRPr="006E2265">
        <w:rPr>
          <w:highlight w:val="green"/>
        </w:rPr>
        <w:t>Agreements</w:t>
      </w:r>
      <w:r w:rsidRPr="006E2265">
        <w:t>:</w:t>
      </w:r>
    </w:p>
    <w:p w:rsidR="006E2265" w:rsidRPr="006E2265" w:rsidRDefault="006E2265" w:rsidP="006E2265">
      <w:pPr>
        <w:numPr>
          <w:ilvl w:val="0"/>
          <w:numId w:val="37"/>
        </w:numPr>
        <w:overflowPunct/>
        <w:autoSpaceDE/>
        <w:autoSpaceDN/>
        <w:adjustRightInd/>
        <w:spacing w:after="0"/>
        <w:textAlignment w:val="auto"/>
      </w:pPr>
      <w:r w:rsidRPr="006E2265">
        <w:t>Study mechanisms for multiplexing of RACH transmissions from UEs and RACH transmissions from IAB nodes.</w:t>
      </w:r>
    </w:p>
    <w:p w:rsidR="006E2265" w:rsidRPr="006E2265" w:rsidRDefault="006E2265" w:rsidP="006E2265"/>
    <w:p w:rsidR="006E2265" w:rsidRPr="006E2265" w:rsidRDefault="006E2265" w:rsidP="006E2265">
      <w:r w:rsidRPr="006E2265">
        <w:rPr>
          <w:highlight w:val="green"/>
        </w:rPr>
        <w:t>Agreements</w:t>
      </w:r>
      <w:r w:rsidRPr="006E2265">
        <w:t>:</w:t>
      </w:r>
    </w:p>
    <w:p w:rsidR="006E2265" w:rsidRPr="006E2265" w:rsidRDefault="006E2265" w:rsidP="006E2265">
      <w:pPr>
        <w:pStyle w:val="maintext"/>
        <w:numPr>
          <w:ilvl w:val="0"/>
          <w:numId w:val="38"/>
        </w:numPr>
        <w:ind w:firstLineChars="0"/>
        <w:jc w:val="left"/>
      </w:pPr>
      <w:r w:rsidRPr="006E2265">
        <w:t>Downlink IAB transmissions (transmissions from an IAB node to child IAB nodes and UEs directly under the IAB node) should be scheduled by the IAB node itself.</w:t>
      </w:r>
    </w:p>
    <w:p w:rsidR="006E2265" w:rsidRPr="006E2265" w:rsidRDefault="006E2265" w:rsidP="006E2265">
      <w:pPr>
        <w:pStyle w:val="maintext"/>
        <w:numPr>
          <w:ilvl w:val="0"/>
          <w:numId w:val="38"/>
        </w:numPr>
        <w:ind w:firstLineChars="0"/>
        <w:jc w:val="left"/>
      </w:pPr>
      <w:r w:rsidRPr="006E2265">
        <w:t>Uplink IAB transmission (transmissions from an IAB node to its parent node) should be scheduled by the parent node.</w:t>
      </w:r>
    </w:p>
    <w:p w:rsidR="006E2265" w:rsidRPr="006E2265" w:rsidRDefault="006E2265" w:rsidP="006E2265">
      <w:pPr>
        <w:pStyle w:val="maintext"/>
        <w:numPr>
          <w:ilvl w:val="0"/>
          <w:numId w:val="38"/>
        </w:numPr>
        <w:ind w:firstLineChars="0"/>
        <w:jc w:val="left"/>
      </w:pPr>
      <w:r w:rsidRPr="006E2265">
        <w:t xml:space="preserve">Semi-static (on the timescale of RRC signalling) should be supported for resource (frequency, time in terms of slot/slot format, etc.) coordination between IAB nodes. </w:t>
      </w:r>
    </w:p>
    <w:p w:rsidR="006E2265" w:rsidRPr="006E2265" w:rsidRDefault="006E2265" w:rsidP="006E2265">
      <w:pPr>
        <w:pStyle w:val="maintext"/>
        <w:numPr>
          <w:ilvl w:val="0"/>
          <w:numId w:val="38"/>
        </w:numPr>
        <w:ind w:firstLineChars="0"/>
        <w:jc w:val="left"/>
      </w:pPr>
      <w:r w:rsidRPr="006E2265">
        <w:t>The following aspects should be further studied:</w:t>
      </w:r>
    </w:p>
    <w:p w:rsidR="006E2265" w:rsidRPr="006E2265" w:rsidRDefault="006E2265" w:rsidP="006E2265">
      <w:pPr>
        <w:pStyle w:val="maintext"/>
        <w:numPr>
          <w:ilvl w:val="1"/>
          <w:numId w:val="38"/>
        </w:numPr>
        <w:ind w:firstLineChars="0"/>
        <w:jc w:val="left"/>
      </w:pPr>
      <w:r w:rsidRPr="006E2265">
        <w:t>Distributed or centralized coordination mechanisms</w:t>
      </w:r>
    </w:p>
    <w:p w:rsidR="006E2265" w:rsidRPr="006E2265" w:rsidRDefault="006E2265" w:rsidP="006E2265">
      <w:pPr>
        <w:pStyle w:val="maintext"/>
        <w:numPr>
          <w:ilvl w:val="1"/>
          <w:numId w:val="38"/>
        </w:numPr>
        <w:ind w:firstLineChars="0"/>
        <w:jc w:val="left"/>
      </w:pPr>
      <w:r w:rsidRPr="006E2265">
        <w:t>Resource granularity of the required signalling (e.g. TDD configuration pattern)</w:t>
      </w:r>
    </w:p>
    <w:p w:rsidR="006E2265" w:rsidRPr="006E2265" w:rsidRDefault="006E2265" w:rsidP="006E2265">
      <w:pPr>
        <w:pStyle w:val="maintext"/>
        <w:numPr>
          <w:ilvl w:val="1"/>
          <w:numId w:val="38"/>
        </w:numPr>
        <w:ind w:firstLineChars="0"/>
        <w:jc w:val="left"/>
      </w:pPr>
      <w:r w:rsidRPr="006E2265">
        <w:t>Exchange of L1 and/or L3 measurements between IAB nodes</w:t>
      </w:r>
    </w:p>
    <w:p w:rsidR="006E2265" w:rsidRPr="006E2265" w:rsidRDefault="006E2265" w:rsidP="006E2265">
      <w:pPr>
        <w:pStyle w:val="maintext"/>
        <w:numPr>
          <w:ilvl w:val="1"/>
          <w:numId w:val="38"/>
        </w:numPr>
        <w:ind w:firstLineChars="0"/>
        <w:jc w:val="left"/>
      </w:pPr>
      <w:r w:rsidRPr="006E2265">
        <w:t>Exchange of topology related information (e.g. hop order) impacting RAN1 study</w:t>
      </w:r>
    </w:p>
    <w:p w:rsidR="006E2265" w:rsidRPr="006E2265" w:rsidRDefault="006E2265" w:rsidP="006E2265">
      <w:pPr>
        <w:pStyle w:val="maintext"/>
        <w:numPr>
          <w:ilvl w:val="1"/>
          <w:numId w:val="38"/>
        </w:numPr>
        <w:ind w:firstLineChars="0"/>
        <w:jc w:val="left"/>
      </w:pPr>
      <w:r w:rsidRPr="006E2265">
        <w:t>Resource (frequency, time in terms of slot/slot format, etc.) coordination which is faster than semi-static coordination</w:t>
      </w:r>
    </w:p>
    <w:p w:rsidR="006E2265" w:rsidRPr="006E2265" w:rsidRDefault="006E2265" w:rsidP="006E2265"/>
    <w:p w:rsidR="006E2265" w:rsidRPr="006E2265" w:rsidRDefault="006E2265" w:rsidP="006E2265">
      <w:r w:rsidRPr="006E2265">
        <w:rPr>
          <w:highlight w:val="green"/>
        </w:rPr>
        <w:t>Agreements</w:t>
      </w:r>
      <w:r w:rsidRPr="006E2265">
        <w:t>:</w:t>
      </w:r>
    </w:p>
    <w:p w:rsidR="006E2265" w:rsidRPr="006E2265" w:rsidRDefault="006E2265" w:rsidP="006E2265">
      <w:pPr>
        <w:numPr>
          <w:ilvl w:val="0"/>
          <w:numId w:val="40"/>
        </w:numPr>
        <w:overflowPunct/>
        <w:autoSpaceDE/>
        <w:autoSpaceDN/>
        <w:adjustRightInd/>
        <w:spacing w:after="0" w:line="288" w:lineRule="auto"/>
        <w:jc w:val="both"/>
        <w:textAlignment w:val="auto"/>
        <w:rPr>
          <w:kern w:val="24"/>
        </w:rPr>
      </w:pPr>
      <w:r w:rsidRPr="006E2265">
        <w:rPr>
          <w:kern w:val="24"/>
        </w:rPr>
        <w:t>CLI mitigation techniques including advanced receivers and transmitter coordination should be studied and prioritized in terms of complexity and performance.</w:t>
      </w:r>
    </w:p>
    <w:p w:rsidR="006E2265" w:rsidRPr="006E2265" w:rsidRDefault="006E2265" w:rsidP="006E2265">
      <w:pPr>
        <w:numPr>
          <w:ilvl w:val="0"/>
          <w:numId w:val="40"/>
        </w:numPr>
        <w:overflowPunct/>
        <w:autoSpaceDE/>
        <w:autoSpaceDN/>
        <w:adjustRightInd/>
        <w:spacing w:after="0" w:line="288" w:lineRule="auto"/>
        <w:jc w:val="both"/>
        <w:textAlignment w:val="auto"/>
        <w:rPr>
          <w:kern w:val="24"/>
        </w:rPr>
      </w:pPr>
      <w:r w:rsidRPr="006E2265">
        <w:rPr>
          <w:kern w:val="24"/>
        </w:rPr>
        <w:t>CLI mitigation techniques should be able to manage the following inter IAB node interference scenarios:</w:t>
      </w:r>
    </w:p>
    <w:p w:rsidR="006E2265" w:rsidRPr="006E2265" w:rsidRDefault="006E2265" w:rsidP="006E2265">
      <w:pPr>
        <w:numPr>
          <w:ilvl w:val="1"/>
          <w:numId w:val="39"/>
        </w:numPr>
        <w:overflowPunct/>
        <w:autoSpaceDE/>
        <w:autoSpaceDN/>
        <w:adjustRightInd/>
        <w:spacing w:after="0" w:line="288" w:lineRule="auto"/>
        <w:jc w:val="both"/>
        <w:textAlignment w:val="auto"/>
        <w:rPr>
          <w:kern w:val="24"/>
        </w:rPr>
      </w:pPr>
      <w:r w:rsidRPr="006E2265">
        <w:rPr>
          <w:kern w:val="24"/>
        </w:rPr>
        <w:t>Case 1: Victim IAB node is receiving in DL in the backhaul link, interfering IAB node is transmitting in UL in the backhaul link.</w:t>
      </w:r>
    </w:p>
    <w:p w:rsidR="006E2265" w:rsidRPr="006E2265" w:rsidRDefault="006E2265" w:rsidP="006E2265">
      <w:pPr>
        <w:numPr>
          <w:ilvl w:val="1"/>
          <w:numId w:val="39"/>
        </w:numPr>
        <w:overflowPunct/>
        <w:autoSpaceDE/>
        <w:autoSpaceDN/>
        <w:adjustRightInd/>
        <w:spacing w:after="0" w:line="288" w:lineRule="auto"/>
        <w:jc w:val="both"/>
        <w:textAlignment w:val="auto"/>
        <w:rPr>
          <w:kern w:val="24"/>
        </w:rPr>
      </w:pPr>
      <w:r w:rsidRPr="006E2265">
        <w:rPr>
          <w:kern w:val="24"/>
        </w:rPr>
        <w:lastRenderedPageBreak/>
        <w:t>Case 2: Victim IAB node is receiving in DL in the backhaul link, interfering IAB node is transmitting in DL in the access link.</w:t>
      </w:r>
    </w:p>
    <w:p w:rsidR="006E2265" w:rsidRPr="006E2265" w:rsidRDefault="006E2265" w:rsidP="006E2265">
      <w:pPr>
        <w:numPr>
          <w:ilvl w:val="1"/>
          <w:numId w:val="39"/>
        </w:numPr>
        <w:overflowPunct/>
        <w:autoSpaceDE/>
        <w:autoSpaceDN/>
        <w:adjustRightInd/>
        <w:spacing w:after="0" w:line="288" w:lineRule="auto"/>
        <w:jc w:val="both"/>
        <w:textAlignment w:val="auto"/>
        <w:rPr>
          <w:kern w:val="24"/>
        </w:rPr>
      </w:pPr>
      <w:r w:rsidRPr="006E2265">
        <w:rPr>
          <w:kern w:val="24"/>
        </w:rPr>
        <w:t>Case 3: Victim IAB node is receiving in UL in the access link, interfering IAB node is transmitting in UL in the backhaul link.</w:t>
      </w:r>
    </w:p>
    <w:p w:rsidR="006E2265" w:rsidRPr="006E2265" w:rsidRDefault="006E2265" w:rsidP="006E2265">
      <w:pPr>
        <w:numPr>
          <w:ilvl w:val="1"/>
          <w:numId w:val="39"/>
        </w:numPr>
        <w:overflowPunct/>
        <w:autoSpaceDE/>
        <w:autoSpaceDN/>
        <w:adjustRightInd/>
        <w:spacing w:after="0" w:line="288" w:lineRule="auto"/>
        <w:jc w:val="both"/>
        <w:textAlignment w:val="auto"/>
        <w:rPr>
          <w:kern w:val="24"/>
        </w:rPr>
      </w:pPr>
      <w:r w:rsidRPr="006E2265">
        <w:rPr>
          <w:kern w:val="24"/>
        </w:rPr>
        <w:t>Case 4: Victim IAB node is receiving in UL in the access link, interfering IAB node is transmitting in DL in the access link.</w:t>
      </w:r>
    </w:p>
    <w:p w:rsidR="006E2265" w:rsidRPr="006E2265" w:rsidRDefault="006E2265" w:rsidP="006E2265">
      <w:pPr>
        <w:numPr>
          <w:ilvl w:val="0"/>
          <w:numId w:val="39"/>
        </w:numPr>
        <w:overflowPunct/>
        <w:autoSpaceDE/>
        <w:autoSpaceDN/>
        <w:adjustRightInd/>
        <w:spacing w:after="0" w:line="288" w:lineRule="auto"/>
        <w:jc w:val="both"/>
        <w:textAlignment w:val="auto"/>
        <w:rPr>
          <w:kern w:val="24"/>
        </w:rPr>
      </w:pPr>
      <w:r w:rsidRPr="006E2265">
        <w:rPr>
          <w:kern w:val="24"/>
        </w:rPr>
        <w:t>Note: In this case access links include links to and from the IAB node to child IAB nodes and UEs which are served by the IAB node</w:t>
      </w:r>
    </w:p>
    <w:p w:rsidR="006E2265" w:rsidRPr="006E2265" w:rsidRDefault="006E2265" w:rsidP="006E2265">
      <w:pPr>
        <w:pStyle w:val="maintext"/>
        <w:numPr>
          <w:ilvl w:val="0"/>
          <w:numId w:val="40"/>
        </w:numPr>
        <w:ind w:firstLineChars="0"/>
        <w:rPr>
          <w:kern w:val="24"/>
        </w:rPr>
      </w:pPr>
      <w:r w:rsidRPr="006E2265">
        <w:rPr>
          <w:kern w:val="24"/>
        </w:rPr>
        <w:t>CLI measurements such as short-term and long term measurements, and multiple-antenna and beamforming based measurements should be studied to enable CLI mitigation in IAB.</w:t>
      </w:r>
    </w:p>
    <w:p w:rsidR="006E2265" w:rsidRPr="006E2265" w:rsidRDefault="006E2265" w:rsidP="006E2265">
      <w:pPr>
        <w:numPr>
          <w:ilvl w:val="0"/>
          <w:numId w:val="40"/>
        </w:numPr>
        <w:overflowPunct/>
        <w:autoSpaceDE/>
        <w:autoSpaceDN/>
        <w:adjustRightInd/>
        <w:spacing w:after="0" w:line="288" w:lineRule="auto"/>
        <w:jc w:val="both"/>
        <w:textAlignment w:val="auto"/>
        <w:rPr>
          <w:kern w:val="24"/>
        </w:rPr>
      </w:pPr>
      <w:r w:rsidRPr="006E2265">
        <w:rPr>
          <w:kern w:val="24"/>
        </w:rPr>
        <w:t>Mechanisms for inter IAB node CLI measurement need to be able to capture Cases 1-4.</w:t>
      </w:r>
      <w:r w:rsidRPr="006E2265">
        <w:t xml:space="preserve"> </w:t>
      </w:r>
    </w:p>
    <w:p w:rsidR="006E2265" w:rsidRPr="006E2265" w:rsidRDefault="006E2265" w:rsidP="006E2265">
      <w:pPr>
        <w:spacing w:line="288" w:lineRule="auto"/>
        <w:jc w:val="both"/>
        <w:rPr>
          <w:kern w:val="24"/>
        </w:rPr>
      </w:pPr>
    </w:p>
    <w:p w:rsidR="006E2265" w:rsidRPr="006E2265" w:rsidRDefault="006E2265" w:rsidP="006E2265">
      <w:pPr>
        <w:spacing w:line="288" w:lineRule="auto"/>
        <w:jc w:val="both"/>
        <w:rPr>
          <w:kern w:val="24"/>
        </w:rPr>
      </w:pPr>
      <w:r w:rsidRPr="006E2265">
        <w:rPr>
          <w:kern w:val="24"/>
          <w:highlight w:val="green"/>
        </w:rPr>
        <w:t>Agreements</w:t>
      </w:r>
      <w:r w:rsidRPr="006E2265">
        <w:rPr>
          <w:kern w:val="24"/>
        </w:rPr>
        <w:t>:</w:t>
      </w:r>
    </w:p>
    <w:p w:rsidR="006E2265" w:rsidRPr="006E2265" w:rsidRDefault="006E2265" w:rsidP="006E2265">
      <w:pPr>
        <w:numPr>
          <w:ilvl w:val="0"/>
          <w:numId w:val="40"/>
        </w:numPr>
        <w:overflowPunct/>
        <w:autoSpaceDE/>
        <w:autoSpaceDN/>
        <w:adjustRightInd/>
        <w:spacing w:after="0" w:line="288" w:lineRule="auto"/>
        <w:jc w:val="both"/>
        <w:textAlignment w:val="auto"/>
        <w:rPr>
          <w:color w:val="000000"/>
          <w:kern w:val="24"/>
        </w:rPr>
      </w:pPr>
      <w:r w:rsidRPr="006E2265">
        <w:rPr>
          <w:color w:val="000000"/>
          <w:kern w:val="24"/>
        </w:rPr>
        <w:t>Interference experienced at the IAB node in case of FDM/SDM reception between access and backhaul links at a given IAB node should be further studied.</w:t>
      </w:r>
    </w:p>
    <w:p w:rsidR="006E2265" w:rsidRDefault="006E2265" w:rsidP="000360A3"/>
    <w:p w:rsidR="008E0942" w:rsidRDefault="005451E6" w:rsidP="000360A3">
      <w:pPr>
        <w:rPr>
          <w:sz w:val="22"/>
        </w:rPr>
      </w:pPr>
      <w:r w:rsidRPr="00767A6C">
        <w:t>In this contribution</w:t>
      </w:r>
      <w:r w:rsidR="00C63F98">
        <w:t xml:space="preserve">, we discuss the NR physical layer design aspect in support of NR-IAB.  </w:t>
      </w:r>
    </w:p>
    <w:p w:rsidR="00674AA0" w:rsidRPr="00601F7D" w:rsidRDefault="004E5A5E" w:rsidP="00AC36ED">
      <w:pPr>
        <w:pStyle w:val="1"/>
      </w:pPr>
      <w:r>
        <w:t xml:space="preserve">Physical Layer Design for </w:t>
      </w:r>
      <w:r w:rsidR="003127CB">
        <w:t>NR-</w:t>
      </w:r>
      <w:r w:rsidR="00AC36ED">
        <w:t>IAB</w:t>
      </w:r>
    </w:p>
    <w:p w:rsidR="005014A7" w:rsidRPr="005014A7" w:rsidRDefault="00EC097B" w:rsidP="005014A7">
      <w:pPr>
        <w:rPr>
          <w:rFonts w:eastAsia="Malgun Gothic"/>
          <w:lang w:eastAsia="ko-KR"/>
        </w:rPr>
      </w:pPr>
      <w:r>
        <w:rPr>
          <w:rFonts w:eastAsia="Malgun Gothic"/>
          <w:lang w:eastAsia="ko-KR"/>
        </w:rPr>
        <w:t xml:space="preserve">The requirements and aspects in the IAB study in </w:t>
      </w:r>
      <w:r w:rsidR="002D5598">
        <w:rPr>
          <w:rFonts w:eastAsia="Malgun Gothic"/>
          <w:lang w:eastAsia="ko-KR"/>
        </w:rPr>
        <w:fldChar w:fldCharType="begin"/>
      </w:r>
      <w:r w:rsidR="008547F7">
        <w:rPr>
          <w:rFonts w:eastAsia="Malgun Gothic"/>
          <w:lang w:eastAsia="ko-KR"/>
        </w:rPr>
        <w:instrText xml:space="preserve"> REF _Ref513630011 \r \h </w:instrText>
      </w:r>
      <w:r w:rsidR="002D5598">
        <w:rPr>
          <w:rFonts w:eastAsia="Malgun Gothic"/>
          <w:lang w:eastAsia="ko-KR"/>
        </w:rPr>
      </w:r>
      <w:r w:rsidR="002D5598">
        <w:rPr>
          <w:rFonts w:eastAsia="Malgun Gothic"/>
          <w:lang w:eastAsia="ko-KR"/>
        </w:rPr>
        <w:fldChar w:fldCharType="separate"/>
      </w:r>
      <w:r w:rsidR="008547F7">
        <w:rPr>
          <w:rFonts w:eastAsia="Malgun Gothic"/>
          <w:lang w:eastAsia="ko-KR"/>
        </w:rPr>
        <w:t>[1]</w:t>
      </w:r>
      <w:r w:rsidR="002D5598">
        <w:rPr>
          <w:rFonts w:eastAsia="Malgun Gothic"/>
          <w:lang w:eastAsia="ko-KR"/>
        </w:rPr>
        <w:fldChar w:fldCharType="end"/>
      </w:r>
      <w:r w:rsidR="008547F7">
        <w:rPr>
          <w:rFonts w:eastAsia="Malgun Gothic"/>
          <w:lang w:eastAsia="ko-KR"/>
        </w:rPr>
        <w:t xml:space="preserve"> are as follows, </w:t>
      </w:r>
    </w:p>
    <w:p w:rsidR="005014A7" w:rsidRPr="005014A7" w:rsidRDefault="005014A7" w:rsidP="005014A7">
      <w:pPr>
        <w:numPr>
          <w:ilvl w:val="0"/>
          <w:numId w:val="30"/>
        </w:numPr>
        <w:spacing w:after="0"/>
        <w:rPr>
          <w:rFonts w:eastAsia="Malgun Gothic"/>
          <w:lang w:eastAsia="ko-KR"/>
        </w:rPr>
      </w:pPr>
      <w:r w:rsidRPr="005014A7">
        <w:rPr>
          <w:rFonts w:eastAsia="Malgun Gothic"/>
          <w:lang w:eastAsia="ko-KR"/>
        </w:rPr>
        <w:t xml:space="preserve">Efficient and flexible operation for both inband and </w:t>
      </w:r>
      <w:proofErr w:type="spellStart"/>
      <w:r w:rsidRPr="005014A7">
        <w:rPr>
          <w:rFonts w:eastAsia="Malgun Gothic"/>
          <w:lang w:eastAsia="ko-KR"/>
        </w:rPr>
        <w:t>outband</w:t>
      </w:r>
      <w:proofErr w:type="spellEnd"/>
      <w:r w:rsidRPr="005014A7">
        <w:rPr>
          <w:rFonts w:eastAsia="Malgun Gothic"/>
          <w:lang w:eastAsia="ko-KR"/>
        </w:rPr>
        <w:t xml:space="preserve"> relaying in indoor and outdoor scenarios </w:t>
      </w:r>
    </w:p>
    <w:p w:rsidR="005014A7" w:rsidRPr="005014A7" w:rsidRDefault="005014A7" w:rsidP="005014A7">
      <w:pPr>
        <w:numPr>
          <w:ilvl w:val="0"/>
          <w:numId w:val="30"/>
        </w:numPr>
        <w:spacing w:after="0"/>
        <w:rPr>
          <w:rFonts w:eastAsia="Malgun Gothic"/>
          <w:lang w:eastAsia="ko-KR"/>
        </w:rPr>
      </w:pPr>
      <w:r w:rsidRPr="005014A7">
        <w:rPr>
          <w:rFonts w:eastAsia="Malgun Gothic"/>
          <w:lang w:eastAsia="ko-KR"/>
        </w:rPr>
        <w:t>Multi-hop and redundant connectivity</w:t>
      </w:r>
    </w:p>
    <w:p w:rsidR="005014A7" w:rsidRPr="005014A7" w:rsidRDefault="005014A7" w:rsidP="005014A7">
      <w:pPr>
        <w:numPr>
          <w:ilvl w:val="0"/>
          <w:numId w:val="30"/>
        </w:numPr>
        <w:spacing w:after="0"/>
        <w:rPr>
          <w:rFonts w:eastAsia="Malgun Gothic"/>
          <w:lang w:eastAsia="ko-KR"/>
        </w:rPr>
      </w:pPr>
      <w:r w:rsidRPr="005014A7">
        <w:rPr>
          <w:rFonts w:eastAsia="Malgun Gothic"/>
          <w:lang w:eastAsia="ko-KR"/>
        </w:rPr>
        <w:t>End-to-end route selection and optimization</w:t>
      </w:r>
    </w:p>
    <w:p w:rsidR="005014A7" w:rsidRPr="005014A7" w:rsidRDefault="005014A7" w:rsidP="005014A7">
      <w:pPr>
        <w:numPr>
          <w:ilvl w:val="0"/>
          <w:numId w:val="30"/>
        </w:numPr>
        <w:spacing w:after="0"/>
        <w:rPr>
          <w:rFonts w:eastAsia="Malgun Gothic"/>
          <w:lang w:eastAsia="ko-KR"/>
        </w:rPr>
      </w:pPr>
      <w:r w:rsidRPr="005014A7">
        <w:rPr>
          <w:rFonts w:eastAsia="Malgun Gothic"/>
          <w:lang w:eastAsia="ko-KR"/>
        </w:rPr>
        <w:t>Support of backhaul links with high spectral efficiency</w:t>
      </w:r>
    </w:p>
    <w:p w:rsidR="005014A7" w:rsidRPr="005014A7" w:rsidRDefault="005014A7" w:rsidP="005014A7">
      <w:pPr>
        <w:numPr>
          <w:ilvl w:val="0"/>
          <w:numId w:val="30"/>
        </w:numPr>
        <w:spacing w:after="0"/>
        <w:rPr>
          <w:rFonts w:eastAsia="Malgun Gothic"/>
          <w:lang w:eastAsia="ko-KR"/>
        </w:rPr>
      </w:pPr>
      <w:r w:rsidRPr="005014A7">
        <w:rPr>
          <w:rFonts w:eastAsia="Malgun Gothic"/>
          <w:lang w:eastAsia="ko-KR"/>
        </w:rPr>
        <w:t>Support of legacy NR UEs</w:t>
      </w:r>
    </w:p>
    <w:p w:rsidR="00EC097B" w:rsidRPr="005014A7" w:rsidRDefault="00EC097B" w:rsidP="00AC36ED">
      <w:pPr>
        <w:rPr>
          <w:rFonts w:eastAsia="Arial"/>
        </w:rPr>
      </w:pPr>
    </w:p>
    <w:p w:rsidR="00536565" w:rsidRPr="005014A7" w:rsidRDefault="00601F7D" w:rsidP="00601F7D">
      <w:pPr>
        <w:rPr>
          <w:rFonts w:eastAsia="Arial"/>
        </w:rPr>
      </w:pPr>
      <w:r>
        <w:rPr>
          <w:rFonts w:eastAsia="Arial"/>
        </w:rPr>
        <w:t xml:space="preserve">The </w:t>
      </w:r>
      <w:r w:rsidR="00391622" w:rsidRPr="005014A7">
        <w:rPr>
          <w:rFonts w:eastAsia="Arial"/>
        </w:rPr>
        <w:t>IAB</w:t>
      </w:r>
      <w:r>
        <w:rPr>
          <w:rFonts w:eastAsia="Arial"/>
        </w:rPr>
        <w:t xml:space="preserve"> system</w:t>
      </w:r>
      <w:r w:rsidR="00862F56">
        <w:rPr>
          <w:rFonts w:eastAsia="Arial"/>
        </w:rPr>
        <w:t xml:space="preserve"> is designed </w:t>
      </w:r>
      <w:r>
        <w:rPr>
          <w:rFonts w:eastAsia="Arial"/>
        </w:rPr>
        <w:t xml:space="preserve">based on the NR air interface for the backhaul link as shown in </w:t>
      </w:r>
      <w:r w:rsidR="002D5598">
        <w:rPr>
          <w:rFonts w:eastAsia="Arial"/>
        </w:rPr>
        <w:fldChar w:fldCharType="begin"/>
      </w:r>
      <w:r>
        <w:rPr>
          <w:rFonts w:eastAsia="Arial"/>
        </w:rPr>
        <w:instrText xml:space="preserve"> REF _Ref513631093 \h </w:instrText>
      </w:r>
      <w:r w:rsidR="002D5598">
        <w:rPr>
          <w:rFonts w:eastAsia="Arial"/>
        </w:rPr>
      </w:r>
      <w:r w:rsidR="002D5598">
        <w:rPr>
          <w:rFonts w:eastAsia="Arial"/>
        </w:rPr>
        <w:fldChar w:fldCharType="separate"/>
      </w:r>
      <w:r>
        <w:t xml:space="preserve">Figure </w:t>
      </w:r>
      <w:r>
        <w:rPr>
          <w:noProof/>
        </w:rPr>
        <w:t>1</w:t>
      </w:r>
      <w:r w:rsidR="002D5598">
        <w:rPr>
          <w:rFonts w:eastAsia="Arial"/>
        </w:rPr>
        <w:fldChar w:fldCharType="end"/>
      </w:r>
      <w:r>
        <w:rPr>
          <w:rFonts w:eastAsia="Arial"/>
        </w:rPr>
        <w:t xml:space="preserve">.  </w:t>
      </w:r>
      <w:r w:rsidR="009B20CE">
        <w:rPr>
          <w:rFonts w:eastAsia="Arial"/>
        </w:rPr>
        <w:t>The integ</w:t>
      </w:r>
      <w:r w:rsidR="00862F56">
        <w:rPr>
          <w:rFonts w:eastAsia="Arial"/>
        </w:rPr>
        <w:t>rated access backhaul system dynamically allocates the NR radio resources for both the UE access and the backhaul link of another gNB</w:t>
      </w:r>
      <w:r w:rsidR="009435F2">
        <w:rPr>
          <w:rFonts w:eastAsia="Arial"/>
        </w:rPr>
        <w:t>.</w:t>
      </w:r>
      <w:r w:rsidR="009435F2">
        <w:rPr>
          <w:rFonts w:eastAsiaTheme="minorEastAsia" w:hint="eastAsia"/>
          <w:lang w:eastAsia="zh-CN"/>
        </w:rPr>
        <w:t xml:space="preserve"> </w:t>
      </w:r>
      <w:r w:rsidR="00862F56">
        <w:rPr>
          <w:rFonts w:eastAsia="Arial"/>
        </w:rPr>
        <w:t xml:space="preserve">We could see from </w:t>
      </w:r>
      <w:r w:rsidR="002D5598">
        <w:rPr>
          <w:rFonts w:eastAsia="Arial"/>
        </w:rPr>
        <w:fldChar w:fldCharType="begin"/>
      </w:r>
      <w:r w:rsidR="00862F56">
        <w:rPr>
          <w:rFonts w:eastAsia="Arial"/>
        </w:rPr>
        <w:instrText xml:space="preserve"> REF _Ref513631093 \h </w:instrText>
      </w:r>
      <w:r w:rsidR="002D5598">
        <w:rPr>
          <w:rFonts w:eastAsia="Arial"/>
        </w:rPr>
      </w:r>
      <w:r w:rsidR="002D5598">
        <w:rPr>
          <w:rFonts w:eastAsia="Arial"/>
        </w:rPr>
        <w:fldChar w:fldCharType="separate"/>
      </w:r>
      <w:r w:rsidR="00862F56">
        <w:t xml:space="preserve">Figure </w:t>
      </w:r>
      <w:r w:rsidR="00862F56">
        <w:rPr>
          <w:noProof/>
        </w:rPr>
        <w:t>1</w:t>
      </w:r>
      <w:r w:rsidR="002D5598">
        <w:rPr>
          <w:rFonts w:eastAsia="Arial"/>
        </w:rPr>
        <w:fldChar w:fldCharType="end"/>
      </w:r>
      <w:r w:rsidR="00862F56">
        <w:rPr>
          <w:rFonts w:eastAsia="Arial"/>
        </w:rPr>
        <w:t xml:space="preserve">that the Donor gNB provide both UE access and backhaul access to the IAB node, which is another gNB with wireless backhaul </w:t>
      </w:r>
      <w:r w:rsidR="003B519B">
        <w:rPr>
          <w:rFonts w:eastAsia="Arial"/>
        </w:rPr>
        <w:t xml:space="preserve">link from the Donor gNB.   </w:t>
      </w:r>
      <w:r w:rsidR="00725705">
        <w:rPr>
          <w:rFonts w:eastAsia="Arial"/>
        </w:rPr>
        <w:t xml:space="preserve">The IAB </w:t>
      </w:r>
      <w:r w:rsidR="006712E6">
        <w:rPr>
          <w:rFonts w:eastAsia="Arial"/>
        </w:rPr>
        <w:t>node is considered as a distributed Unit (DU)</w:t>
      </w:r>
      <w:r w:rsidR="00725705">
        <w:rPr>
          <w:rFonts w:eastAsia="Arial"/>
        </w:rPr>
        <w:t xml:space="preserve"> to the Donor gNB</w:t>
      </w:r>
      <w:r w:rsidR="006712E6">
        <w:rPr>
          <w:rFonts w:eastAsia="Arial"/>
        </w:rPr>
        <w:t xml:space="preserve"> with F1+</w:t>
      </w:r>
      <w:r w:rsidR="00E362F5">
        <w:rPr>
          <w:rFonts w:eastAsia="Arial"/>
        </w:rPr>
        <w:t xml:space="preserve"> protocol</w:t>
      </w:r>
      <w:r w:rsidR="007B5CA6">
        <w:rPr>
          <w:rFonts w:eastAsia="Arial"/>
        </w:rPr>
        <w:t xml:space="preserve"> running on top of the Uu access link</w:t>
      </w:r>
      <w:r w:rsidR="00E362F5">
        <w:rPr>
          <w:rFonts w:eastAsia="Arial"/>
        </w:rPr>
        <w:t xml:space="preserve">.  Other UEs would share the same radio resources with the IAB node for the wireless network access to the Donor gNB.   The IAB node is a gNB, which also provides the wireless network </w:t>
      </w:r>
      <w:r w:rsidR="004266D5">
        <w:rPr>
          <w:rFonts w:eastAsia="Arial"/>
        </w:rPr>
        <w:t xml:space="preserve">services to its own UEs.   </w:t>
      </w:r>
    </w:p>
    <w:p w:rsidR="00AC36ED" w:rsidRPr="005014A7" w:rsidRDefault="00AC36ED" w:rsidP="00AC36ED">
      <w:pPr>
        <w:rPr>
          <w:rFonts w:eastAsia="Arial"/>
        </w:rPr>
      </w:pPr>
    </w:p>
    <w:p w:rsidR="00601F7D" w:rsidRDefault="001B5A06" w:rsidP="00601F7D">
      <w:pPr>
        <w:keepNext/>
        <w:jc w:val="center"/>
      </w:pPr>
      <w:r>
        <w:rPr>
          <w:rFonts w:eastAsia="Arial"/>
          <w:noProof/>
          <w:sz w:val="22"/>
          <w:lang w:val="en-US" w:eastAsia="zh-CN"/>
        </w:rPr>
        <w:drawing>
          <wp:inline distT="0" distB="0" distL="0" distR="0">
            <wp:extent cx="3736046" cy="152809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3736904" cy="1528449"/>
                    </a:xfrm>
                    <a:prstGeom prst="rect">
                      <a:avLst/>
                    </a:prstGeom>
                    <a:noFill/>
                    <a:ln w="9525">
                      <a:noFill/>
                      <a:miter lim="800000"/>
                      <a:headEnd/>
                      <a:tailEnd/>
                    </a:ln>
                  </pic:spPr>
                </pic:pic>
              </a:graphicData>
            </a:graphic>
          </wp:inline>
        </w:drawing>
      </w:r>
    </w:p>
    <w:p w:rsidR="001B5A06" w:rsidRDefault="00601F7D" w:rsidP="00601F7D">
      <w:pPr>
        <w:pStyle w:val="ad"/>
        <w:jc w:val="center"/>
        <w:rPr>
          <w:rFonts w:eastAsia="Arial"/>
          <w:sz w:val="22"/>
        </w:rPr>
      </w:pPr>
      <w:bookmarkStart w:id="2" w:name="_Ref513631093"/>
      <w:r>
        <w:t xml:space="preserve">Figure </w:t>
      </w:r>
      <w:fldSimple w:instr=" SEQ Figure \* ARABIC ">
        <w:r w:rsidR="00EE2173">
          <w:rPr>
            <w:noProof/>
          </w:rPr>
          <w:t>1</w:t>
        </w:r>
      </w:fldSimple>
      <w:bookmarkEnd w:id="2"/>
      <w:r>
        <w:rPr>
          <w:noProof/>
        </w:rPr>
        <w:t>: IAB architecture with NR air interface as the backhaul access link</w:t>
      </w:r>
    </w:p>
    <w:p w:rsidR="001B5A06" w:rsidRDefault="001B5A06" w:rsidP="00402AF5">
      <w:pPr>
        <w:rPr>
          <w:rFonts w:eastAsia="Arial"/>
          <w:sz w:val="22"/>
        </w:rPr>
      </w:pPr>
    </w:p>
    <w:p w:rsidR="00725FCB" w:rsidRDefault="00725FCB" w:rsidP="00E362F5">
      <w:pPr>
        <w:pStyle w:val="2"/>
        <w:spacing w:after="240"/>
      </w:pPr>
      <w:r>
        <w:lastRenderedPageBreak/>
        <w:t xml:space="preserve">Detection of Backhaul Links </w:t>
      </w:r>
      <w:r w:rsidR="0072624D">
        <w:t>and Dynamic Switching</w:t>
      </w:r>
    </w:p>
    <w:p w:rsidR="00291354" w:rsidRDefault="00CD77A8" w:rsidP="00CD77A8">
      <w:pPr>
        <w:pStyle w:val="maintext"/>
        <w:spacing w:line="240" w:lineRule="auto"/>
        <w:ind w:firstLineChars="0" w:firstLine="0"/>
      </w:pPr>
      <w:r>
        <w:rPr>
          <w:bCs/>
          <w:lang w:val="en-US"/>
        </w:rPr>
        <w:t>The system design for integrated access and backhaul feature is to fully utilize the NR physical layer design as the wireless physical link for the backhaul access of the IAB node.  The NR physical layer would provide the data transportation of backhaul access, similar to that provided by fiber optic or Gigabit Ethernet.   For the operation of a gNB, the backhaul access needs to be provisioned, configured, and tested before the power-on operation at the air in</w:t>
      </w:r>
      <w:r w:rsidR="0054247C">
        <w:rPr>
          <w:bCs/>
          <w:lang w:val="en-US"/>
        </w:rPr>
        <w:t xml:space="preserve">terface.  </w:t>
      </w:r>
      <w:r>
        <w:rPr>
          <w:bCs/>
          <w:lang w:val="en-US"/>
        </w:rPr>
        <w:t>A</w:t>
      </w:r>
      <w:r w:rsidRPr="00767A6C">
        <w:t>n IAB-node can follow the same initial access procedure as an access UE, including cell search, SI acquisition, and random access, in order to connect to an IAB node/donor</w:t>
      </w:r>
      <w:r w:rsidR="0054247C">
        <w:t xml:space="preserve"> gNB</w:t>
      </w:r>
      <w:r w:rsidRPr="00767A6C">
        <w:t xml:space="preserve"> and initially integrate to the network.</w:t>
      </w:r>
      <w:r>
        <w:t xml:space="preserve">  </w:t>
      </w:r>
      <w:r w:rsidR="008E6D2C">
        <w:t>The</w:t>
      </w:r>
      <w:r w:rsidR="0054247C">
        <w:t xml:space="preserve"> IAB-node does not only need to establish the wireless link between the IAB-node an</w:t>
      </w:r>
      <w:r w:rsidR="0043188C">
        <w:t>d the donor gNB but also to run the F1 protocol a</w:t>
      </w:r>
      <w:r w:rsidR="008E6D2C">
        <w:t xml:space="preserve">nd associate procedures in the IAB setup procedure.  The IAB setup procedure </w:t>
      </w:r>
      <w:r w:rsidR="002D5598">
        <w:fldChar w:fldCharType="begin"/>
      </w:r>
      <w:r w:rsidR="008E6D2C">
        <w:instrText xml:space="preserve"> REF _Ref519458753 \r \h </w:instrText>
      </w:r>
      <w:r w:rsidR="002D5598">
        <w:fldChar w:fldCharType="separate"/>
      </w:r>
      <w:r w:rsidR="008E6D2C">
        <w:t>[8]</w:t>
      </w:r>
      <w:r w:rsidR="002D5598">
        <w:fldChar w:fldCharType="end"/>
      </w:r>
      <w:r w:rsidR="008E6D2C">
        <w:t xml:space="preserve"> was agreed in RAN3#NR AH1802</w:t>
      </w:r>
      <w:r w:rsidR="00291354">
        <w:t xml:space="preserve"> with the following exampled procedures captured in the TR,</w:t>
      </w:r>
    </w:p>
    <w:p w:rsidR="00291354" w:rsidRDefault="00291354" w:rsidP="00CD77A8">
      <w:pPr>
        <w:pStyle w:val="maintext"/>
        <w:spacing w:line="240" w:lineRule="auto"/>
        <w:ind w:firstLineChars="0" w:firstLine="0"/>
      </w:pPr>
    </w:p>
    <w:p w:rsidR="00291354" w:rsidRPr="00C27187" w:rsidRDefault="00291354" w:rsidP="00291354">
      <w:pPr>
        <w:pStyle w:val="afc"/>
        <w:numPr>
          <w:ilvl w:val="0"/>
          <w:numId w:val="42"/>
        </w:numPr>
        <w:ind w:firstLineChars="0"/>
        <w:rPr>
          <w:lang w:eastAsia="zh-CN"/>
        </w:rPr>
      </w:pPr>
      <w:r w:rsidRPr="00291354">
        <w:rPr>
          <w:u w:val="single"/>
        </w:rPr>
        <w:t>IAB node’s integration procedure phase 1</w:t>
      </w:r>
      <w:r w:rsidRPr="00C27187">
        <w:t xml:space="preserve">: IAB-node MT part setup. </w:t>
      </w:r>
      <w:r w:rsidRPr="00C27187">
        <w:rPr>
          <w:lang w:eastAsia="zh-CN"/>
        </w:rPr>
        <w:t>In this phase, I</w:t>
      </w:r>
      <w:r w:rsidRPr="00291354">
        <w:rPr>
          <w:rFonts w:eastAsia="Yu Mincho"/>
        </w:rPr>
        <w:t xml:space="preserve">AB node MT part connects the network as a normal UE, such as IAB node MT part performs RRC connection setup procedure between donor-CU, authentication and PDU session establishment between OAM, IAB node MT part related context and bearer configuration in RAN side,  and etc. </w:t>
      </w:r>
      <w:r w:rsidRPr="00C27187">
        <w:rPr>
          <w:lang w:eastAsia="zh-CN"/>
        </w:rPr>
        <w:t xml:space="preserve">For CP alternative 2 and alternative 4 for 1a and 1b, the intermediate IAB node DU part encapsulates the related RRC messages of the IAB node MT part in F1-AP messages. </w:t>
      </w:r>
    </w:p>
    <w:p w:rsidR="00291354" w:rsidRPr="00C27187" w:rsidRDefault="00291354" w:rsidP="00291354">
      <w:pPr>
        <w:pStyle w:val="afc"/>
        <w:numPr>
          <w:ilvl w:val="0"/>
          <w:numId w:val="42"/>
        </w:numPr>
        <w:ind w:firstLineChars="0"/>
      </w:pPr>
      <w:r w:rsidRPr="00291354">
        <w:rPr>
          <w:u w:val="single"/>
        </w:rPr>
        <w:t>IAB node’s integration procedure phase 2-1</w:t>
      </w:r>
      <w:r w:rsidRPr="00C27187">
        <w:t xml:space="preserve">: Routing update. In this phase, the routing information </w:t>
      </w:r>
      <w:proofErr w:type="gramStart"/>
      <w:r w:rsidRPr="00C27187">
        <w:t>are</w:t>
      </w:r>
      <w:proofErr w:type="gramEnd"/>
      <w:r w:rsidRPr="00C27187">
        <w:t xml:space="preserve"> updated for all related IAB nodes due to the setup of IAB node.</w:t>
      </w:r>
    </w:p>
    <w:p w:rsidR="00291354" w:rsidRPr="00C27187" w:rsidRDefault="00291354" w:rsidP="00291354">
      <w:pPr>
        <w:pStyle w:val="afc"/>
        <w:numPr>
          <w:ilvl w:val="0"/>
          <w:numId w:val="42"/>
        </w:numPr>
        <w:ind w:firstLineChars="0"/>
      </w:pPr>
      <w:r w:rsidRPr="00291354">
        <w:rPr>
          <w:u w:val="single"/>
        </w:rPr>
        <w:t>IAB node’s integration procedure phase 2-2</w:t>
      </w:r>
      <w:r w:rsidRPr="00C27187">
        <w:t xml:space="preserve">: IAB node DU part setup. </w:t>
      </w:r>
      <w:r w:rsidRPr="00C27187">
        <w:rPr>
          <w:lang w:eastAsia="zh-CN"/>
        </w:rPr>
        <w:t>For CP alternative 2 and alternative 4 for 1a and 1b,</w:t>
      </w:r>
      <w:r w:rsidRPr="00C27187">
        <w:t xml:space="preserve"> the IAB node’s DU part performs F1-AP setup procedure. For other CP alternatives how to perform this phase is FFS.</w:t>
      </w:r>
    </w:p>
    <w:p w:rsidR="00CD77A8" w:rsidRPr="004231AF" w:rsidRDefault="00291354" w:rsidP="004231AF">
      <w:pPr>
        <w:pStyle w:val="afc"/>
        <w:numPr>
          <w:ilvl w:val="0"/>
          <w:numId w:val="42"/>
        </w:numPr>
        <w:ind w:firstLineChars="0"/>
      </w:pPr>
      <w:r w:rsidRPr="00291354">
        <w:rPr>
          <w:u w:val="single"/>
        </w:rPr>
        <w:t>IAB node’s integration procedure phase 3</w:t>
      </w:r>
      <w:r w:rsidRPr="00C27187">
        <w:t xml:space="preserve">: The IAB-node provides service to UEs or to other integrated IAB-nodes. </w:t>
      </w:r>
    </w:p>
    <w:p w:rsidR="00CD77A8" w:rsidRDefault="00CD77A8" w:rsidP="00CD77A8">
      <w:pPr>
        <w:pStyle w:val="maintext"/>
        <w:spacing w:line="240" w:lineRule="auto"/>
        <w:ind w:firstLineChars="0" w:firstLine="0"/>
        <w:rPr>
          <w:bCs/>
          <w:lang w:val="en-US"/>
        </w:rPr>
      </w:pPr>
    </w:p>
    <w:p w:rsidR="004344E3" w:rsidRDefault="00725FCB" w:rsidP="004231AF">
      <w:pPr>
        <w:pStyle w:val="maintext"/>
        <w:spacing w:line="240" w:lineRule="auto"/>
        <w:ind w:firstLineChars="0" w:firstLine="0"/>
        <w:rPr>
          <w:bCs/>
        </w:rPr>
      </w:pPr>
      <w:r>
        <w:t>After initial access, the IAB node would support the detection</w:t>
      </w:r>
      <w:r w:rsidRPr="006E2265">
        <w:t xml:space="preserve"> </w:t>
      </w:r>
      <w:r>
        <w:t xml:space="preserve">and </w:t>
      </w:r>
      <w:r w:rsidRPr="006E2265">
        <w:t>measurement</w:t>
      </w:r>
      <w:r>
        <w:t>s</w:t>
      </w:r>
      <w:r w:rsidRPr="006E2265">
        <w:t xml:space="preserve"> of candidate bac</w:t>
      </w:r>
      <w:r>
        <w:t xml:space="preserve">khaul links </w:t>
      </w:r>
      <w:r w:rsidRPr="006E2265">
        <w:t>after initial</w:t>
      </w:r>
      <w:r>
        <w:t xml:space="preserve"> access </w:t>
      </w:r>
      <w:r w:rsidR="00291354">
        <w:t xml:space="preserve">and RRC connection setup procedure to the donor gNB </w:t>
      </w:r>
      <w:r>
        <w:t xml:space="preserve">with </w:t>
      </w:r>
      <w:r w:rsidRPr="006E2265">
        <w:t>the half-duplex constraint</w:t>
      </w:r>
      <w:r>
        <w:t xml:space="preserve">.   </w:t>
      </w:r>
      <w:r w:rsidR="004231AF" w:rsidRPr="004231AF">
        <w:t>The IAB</w:t>
      </w:r>
      <w:r w:rsidR="004231AF">
        <w:t xml:space="preserve"> </w:t>
      </w:r>
      <w:r w:rsidR="004231AF" w:rsidRPr="004231AF">
        <w:t xml:space="preserve">node </w:t>
      </w:r>
      <w:r w:rsidR="004231AF">
        <w:t xml:space="preserve">would be verified and authenticated by operator through RRC </w:t>
      </w:r>
      <w:proofErr w:type="spellStart"/>
      <w:r w:rsidR="004231AF">
        <w:t>signaling</w:t>
      </w:r>
      <w:proofErr w:type="spellEnd"/>
      <w:r w:rsidR="004231AF" w:rsidRPr="004231AF">
        <w:t xml:space="preserve"> and establishes </w:t>
      </w:r>
      <w:r w:rsidR="00490BAC">
        <w:t>IP connectivity</w:t>
      </w:r>
      <w:r w:rsidR="004231AF" w:rsidRPr="004231AF">
        <w:t>.</w:t>
      </w:r>
      <w:r w:rsidR="004231AF">
        <w:t xml:space="preserve">  </w:t>
      </w:r>
      <w:r w:rsidR="00490BAC">
        <w:t xml:space="preserve">The routing information of all related IAB nodes are updated due to the new established of an IAB node.  </w:t>
      </w:r>
      <w:r w:rsidR="004231AF">
        <w:t xml:space="preserve">The </w:t>
      </w:r>
      <w:r w:rsidR="003758FB">
        <w:t>back</w:t>
      </w:r>
      <w:r w:rsidR="004231AF">
        <w:t>haul access of an IAB-node is selected and</w:t>
      </w:r>
      <w:r w:rsidR="003758FB">
        <w:t xml:space="preserve"> provisioned, configured, before the </w:t>
      </w:r>
      <w:r w:rsidR="00DE059E">
        <w:rPr>
          <w:bCs/>
        </w:rPr>
        <w:t>air interface starts providing service to its UE</w:t>
      </w:r>
      <w:r w:rsidR="00490BAC">
        <w:rPr>
          <w:bCs/>
        </w:rPr>
        <w:t>s</w:t>
      </w:r>
      <w:r w:rsidR="00DE059E">
        <w:rPr>
          <w:bCs/>
        </w:rPr>
        <w:t xml:space="preserve"> for the network access.  If the backhaul resource of an IAB node could be guaranteed, the IAB-node has to buffer all UL data arrival.  </w:t>
      </w:r>
      <w:r w:rsidR="00273490">
        <w:rPr>
          <w:bCs/>
        </w:rPr>
        <w:t xml:space="preserve">This will not only increase the latency of end-to-end data transmission but also potential data dropping at the IAB-node when the UL data arrival rate is over than the buffer size.  </w:t>
      </w:r>
    </w:p>
    <w:p w:rsidR="00D9165C" w:rsidRDefault="00D9165C" w:rsidP="004231AF">
      <w:pPr>
        <w:pStyle w:val="maintext"/>
        <w:spacing w:line="240" w:lineRule="auto"/>
        <w:ind w:firstLineChars="0" w:firstLine="0"/>
        <w:rPr>
          <w:bCs/>
        </w:rPr>
      </w:pPr>
    </w:p>
    <w:p w:rsidR="00F96818" w:rsidRDefault="00D9165C" w:rsidP="00651354">
      <w:pPr>
        <w:pStyle w:val="maintext"/>
        <w:spacing w:before="0" w:after="0" w:line="240" w:lineRule="auto"/>
        <w:ind w:firstLineChars="0" w:firstLine="0"/>
      </w:pPr>
      <w:r>
        <w:t xml:space="preserve">It was agreed that </w:t>
      </w:r>
      <w:r w:rsidRPr="006E2265">
        <w:t xml:space="preserve">IAB supports detection and measurement of candidate backhaul links (after initial access) </w:t>
      </w:r>
      <w:r>
        <w:t>for dynamic switching of backhaul links.   T</w:t>
      </w:r>
      <w:r w:rsidR="00651354">
        <w:t xml:space="preserve">he radio resource for the </w:t>
      </w:r>
      <w:r>
        <w:t>backhaul link measur</w:t>
      </w:r>
      <w:r w:rsidR="00651354">
        <w:t>e</w:t>
      </w:r>
      <w:r>
        <w:t xml:space="preserve">ments would be configured with </w:t>
      </w:r>
      <w:r w:rsidR="00651354">
        <w:t xml:space="preserve">respect to the candidate donor gNB.  </w:t>
      </w:r>
      <w:r w:rsidRPr="006E2265">
        <w:t xml:space="preserve"> </w:t>
      </w:r>
      <w:r w:rsidR="00651354">
        <w:t xml:space="preserve">With the half duplex constraint, the radio resource for the IAB node to measure the backhaul link should be an UE-specific RS configuration to avoid potential </w:t>
      </w:r>
      <w:r w:rsidR="00805EAF">
        <w:t xml:space="preserve">cell-specific radio resources, which could be synchronized in transmission to the UE among donor </w:t>
      </w:r>
      <w:proofErr w:type="spellStart"/>
      <w:r w:rsidR="00805EAF">
        <w:t>gNBs</w:t>
      </w:r>
      <w:proofErr w:type="spellEnd"/>
      <w:r w:rsidR="00805EAF">
        <w:t xml:space="preserve"> and IAB nodes.  </w:t>
      </w:r>
      <w:r w:rsidR="00F96818">
        <w:t xml:space="preserve"> The radio resource used for the candidate backhaul link measur</w:t>
      </w:r>
      <w:r w:rsidR="000125D8">
        <w:t>ements by the IAB node should</w:t>
      </w:r>
      <w:r w:rsidR="00F96818">
        <w:t xml:space="preserve"> </w:t>
      </w:r>
      <w:r w:rsidR="000125D8">
        <w:t xml:space="preserve">coordinate in </w:t>
      </w:r>
      <w:r w:rsidR="00F96818">
        <w:t>configu</w:t>
      </w:r>
      <w:r w:rsidR="000125D8">
        <w:t xml:space="preserve">ration </w:t>
      </w:r>
      <w:r w:rsidR="00F96818">
        <w:t xml:space="preserve">among candidate donor </w:t>
      </w:r>
      <w:proofErr w:type="spellStart"/>
      <w:r w:rsidR="00F96818">
        <w:t>gNBs</w:t>
      </w:r>
      <w:proofErr w:type="spellEnd"/>
      <w:r w:rsidR="00F96818">
        <w:t xml:space="preserve"> </w:t>
      </w:r>
      <w:r w:rsidR="000125D8">
        <w:t>to allow simultaneous measurements from</w:t>
      </w:r>
      <w:r w:rsidR="00F96818">
        <w:t xml:space="preserve"> multipl</w:t>
      </w:r>
      <w:r w:rsidR="000125D8">
        <w:t xml:space="preserve">e backhaul links, which include the serving and target donor </w:t>
      </w:r>
      <w:proofErr w:type="spellStart"/>
      <w:r w:rsidR="000125D8">
        <w:t>gNBs</w:t>
      </w:r>
      <w:proofErr w:type="spellEnd"/>
      <w:r w:rsidR="000125D8">
        <w:t>.  Using SSB in TDM/FDM with/without muting would have the limitation on the number of candidate backhaul link to measure.   Since IAB node would be considered as an UE in CONNECTED state,</w:t>
      </w:r>
      <w:r w:rsidR="00D63353">
        <w:t xml:space="preserve"> CSI-RS resource for CSI or RRM measurements should be good reference signals for backhaul link measurements.  The configuration of CSI-RS resources for IAB node backhaul link measurements is similar to UE CSI measurements from multiple beams for beam managements or CoMP.   M</w:t>
      </w:r>
      <w:r w:rsidR="000125D8">
        <w:t>ultiple NZP and ZP CSI-RS resource</w:t>
      </w:r>
      <w:r w:rsidR="00D63353">
        <w:t>s</w:t>
      </w:r>
      <w:r w:rsidR="000125D8">
        <w:t xml:space="preserve"> could be configured as the reference for backhaul link measurements of any candidate backhaul link and interference mitigation of non-measure backhaul links respectively to allow IAB node to measure multiple candidate backhaul links in the same time.  </w:t>
      </w:r>
    </w:p>
    <w:p w:rsidR="00D63353" w:rsidRDefault="00D63353" w:rsidP="00651354">
      <w:pPr>
        <w:pStyle w:val="maintext"/>
        <w:spacing w:before="0" w:after="0" w:line="240" w:lineRule="auto"/>
        <w:ind w:firstLineChars="0" w:firstLine="0"/>
      </w:pPr>
    </w:p>
    <w:p w:rsidR="00D63353" w:rsidRPr="00D63353" w:rsidRDefault="00D63353" w:rsidP="00D63353">
      <w:pPr>
        <w:rPr>
          <w:b/>
          <w:bCs/>
        </w:rPr>
      </w:pPr>
      <w:r>
        <w:rPr>
          <w:b/>
          <w:bCs/>
        </w:rPr>
        <w:t xml:space="preserve">Proposal 1:  </w:t>
      </w:r>
      <w:r w:rsidRPr="00D63353">
        <w:rPr>
          <w:b/>
          <w:bCs/>
        </w:rPr>
        <w:t xml:space="preserve">Multiple NZP and ZP CSI-RS resources could be configured as the reference for backhaul link measurements of any candidate backhaul link and interference mitigation of non-measure backhaul links respectively to allow IAB node to measure multiple candidate backhaul links in the same time.  </w:t>
      </w:r>
    </w:p>
    <w:p w:rsidR="00D63353" w:rsidRPr="00273490" w:rsidRDefault="00D63353" w:rsidP="00D63353">
      <w:pPr>
        <w:rPr>
          <w:b/>
          <w:bCs/>
        </w:rPr>
      </w:pPr>
    </w:p>
    <w:p w:rsidR="00D63353" w:rsidRDefault="00D63353" w:rsidP="00651354">
      <w:pPr>
        <w:pStyle w:val="maintext"/>
        <w:spacing w:before="0" w:after="0" w:line="240" w:lineRule="auto"/>
        <w:ind w:firstLineChars="0" w:firstLine="0"/>
      </w:pPr>
    </w:p>
    <w:p w:rsidR="00C07268" w:rsidRDefault="00F92B25" w:rsidP="00C07268">
      <w:pPr>
        <w:overflowPunct/>
        <w:autoSpaceDE/>
        <w:autoSpaceDN/>
        <w:adjustRightInd/>
        <w:spacing w:before="60" w:after="120"/>
        <w:jc w:val="both"/>
        <w:textAlignment w:val="auto"/>
        <w:rPr>
          <w:rFonts w:eastAsia="Malgun Gothic"/>
          <w:lang w:eastAsia="ko-KR"/>
        </w:rPr>
      </w:pPr>
      <w:r>
        <w:lastRenderedPageBreak/>
        <w:t xml:space="preserve">The CSI-RS resource configured for the measurement of candidate backhaul links could be also </w:t>
      </w:r>
      <w:r w:rsidR="00C07268">
        <w:t xml:space="preserve">used for RRM measurements with coordination of NZP and ZP CSI-RS resources configurations among candidate backhaul links by serving gNB. </w:t>
      </w:r>
      <w:r>
        <w:t xml:space="preserve"> </w:t>
      </w:r>
      <w:r w:rsidR="00C07268">
        <w:rPr>
          <w:rFonts w:eastAsia="Malgun Gothic"/>
          <w:lang w:eastAsia="ko-KR"/>
        </w:rPr>
        <w:t xml:space="preserve">The CSI-RS resource configured for beam management or CSI measurements from the donor gNB should be reused for RRM measurements of IAB backhaul links as well as RLM measurements.  </w:t>
      </w:r>
    </w:p>
    <w:p w:rsidR="00C07268" w:rsidRDefault="00C07268" w:rsidP="00C07268">
      <w:pPr>
        <w:overflowPunct/>
        <w:autoSpaceDE/>
        <w:autoSpaceDN/>
        <w:adjustRightInd/>
        <w:spacing w:before="60" w:after="120"/>
        <w:jc w:val="both"/>
        <w:textAlignment w:val="auto"/>
        <w:rPr>
          <w:rFonts w:eastAsia="Malgun Gothic"/>
          <w:lang w:eastAsia="ko-KR"/>
        </w:rPr>
      </w:pPr>
    </w:p>
    <w:p w:rsidR="00C07268" w:rsidRPr="00C07268" w:rsidRDefault="00C07268" w:rsidP="00C07268">
      <w:pPr>
        <w:overflowPunct/>
        <w:autoSpaceDE/>
        <w:autoSpaceDN/>
        <w:adjustRightInd/>
        <w:spacing w:before="60" w:after="120"/>
        <w:jc w:val="both"/>
        <w:textAlignment w:val="auto"/>
        <w:rPr>
          <w:rFonts w:eastAsia="Malgun Gothic"/>
          <w:b/>
          <w:lang w:eastAsia="ko-KR"/>
        </w:rPr>
      </w:pPr>
      <w:r>
        <w:rPr>
          <w:rFonts w:eastAsia="Malgun Gothic"/>
          <w:b/>
          <w:lang w:eastAsia="ko-KR"/>
        </w:rPr>
        <w:t xml:space="preserve">Proposal 2:   </w:t>
      </w:r>
      <w:r w:rsidRPr="00C07268">
        <w:rPr>
          <w:rFonts w:eastAsia="Malgun Gothic"/>
          <w:b/>
          <w:lang w:eastAsia="ko-KR"/>
        </w:rPr>
        <w:t xml:space="preserve">The CSI-RS resource configured for beam management or CSI measurements from the donor gNB should be reused for RRM measurements of IAB backhaul links as well as RLM measurements.  </w:t>
      </w:r>
    </w:p>
    <w:p w:rsidR="00F96818" w:rsidRPr="006E2265" w:rsidRDefault="00F96818" w:rsidP="0072624D">
      <w:pPr>
        <w:overflowPunct/>
        <w:autoSpaceDE/>
        <w:autoSpaceDN/>
        <w:adjustRightInd/>
        <w:spacing w:before="60" w:after="120"/>
        <w:jc w:val="both"/>
        <w:textAlignment w:val="auto"/>
      </w:pPr>
    </w:p>
    <w:p w:rsidR="00D9165C" w:rsidRDefault="00D9165C" w:rsidP="004231AF">
      <w:pPr>
        <w:pStyle w:val="maintext"/>
        <w:spacing w:line="240" w:lineRule="auto"/>
        <w:ind w:firstLineChars="0" w:firstLine="0"/>
        <w:rPr>
          <w:bCs/>
        </w:rPr>
      </w:pPr>
    </w:p>
    <w:p w:rsidR="00490BAC" w:rsidRDefault="00490BAC" w:rsidP="004231AF">
      <w:pPr>
        <w:pStyle w:val="maintext"/>
        <w:spacing w:line="240" w:lineRule="auto"/>
        <w:ind w:firstLineChars="0" w:firstLine="0"/>
        <w:rPr>
          <w:bCs/>
        </w:rPr>
      </w:pPr>
      <w:r>
        <w:rPr>
          <w:bCs/>
        </w:rPr>
        <w:t xml:space="preserve">If the dynamic switching of the donor gNB is supported, the whole IAB setup procedure with another gNB or IAB nodes needs to be performed and the routing table of the alternative donor gNB needs to be stored by all </w:t>
      </w:r>
      <w:r w:rsidR="004344E3">
        <w:rPr>
          <w:bCs/>
        </w:rPr>
        <w:t xml:space="preserve">related </w:t>
      </w:r>
      <w:r>
        <w:rPr>
          <w:bCs/>
        </w:rPr>
        <w:t>IAB nodes</w:t>
      </w:r>
      <w:r w:rsidR="00D63353">
        <w:rPr>
          <w:bCs/>
        </w:rPr>
        <w:t xml:space="preserve"> as shown in </w:t>
      </w:r>
      <w:r w:rsidR="002D5598">
        <w:rPr>
          <w:bCs/>
        </w:rPr>
        <w:fldChar w:fldCharType="begin"/>
      </w:r>
      <w:r w:rsidR="00D63353">
        <w:rPr>
          <w:bCs/>
        </w:rPr>
        <w:instrText xml:space="preserve"> REF _Ref520141316 \h </w:instrText>
      </w:r>
      <w:r w:rsidR="002D5598">
        <w:rPr>
          <w:bCs/>
        </w:rPr>
      </w:r>
      <w:r w:rsidR="002D5598">
        <w:rPr>
          <w:bCs/>
        </w:rPr>
        <w:fldChar w:fldCharType="separate"/>
      </w:r>
      <w:r w:rsidR="00D63353">
        <w:t xml:space="preserve">Figure </w:t>
      </w:r>
      <w:r w:rsidR="00D63353">
        <w:rPr>
          <w:noProof/>
        </w:rPr>
        <w:t>2</w:t>
      </w:r>
      <w:r w:rsidR="002D5598">
        <w:rPr>
          <w:bCs/>
        </w:rPr>
        <w:fldChar w:fldCharType="end"/>
      </w:r>
      <w:r>
        <w:rPr>
          <w:bCs/>
        </w:rPr>
        <w:t xml:space="preserve">. </w:t>
      </w:r>
      <w:r w:rsidR="004344E3">
        <w:rPr>
          <w:bCs/>
        </w:rPr>
        <w:t xml:space="preserve">The IP connectivity </w:t>
      </w:r>
      <w:r w:rsidR="00491D95">
        <w:rPr>
          <w:bCs/>
        </w:rPr>
        <w:t xml:space="preserve">of alternative donor gNB would be configured to associate with its radio link and stored in the table.  </w:t>
      </w:r>
      <w:r w:rsidR="004344E3">
        <w:rPr>
          <w:bCs/>
        </w:rPr>
        <w:t xml:space="preserve">When the serving donor gNB </w:t>
      </w:r>
      <w:r w:rsidR="00491D95">
        <w:rPr>
          <w:bCs/>
        </w:rPr>
        <w:t xml:space="preserve">is switching to </w:t>
      </w:r>
      <w:r w:rsidR="00D63353">
        <w:rPr>
          <w:bCs/>
        </w:rPr>
        <w:t xml:space="preserve">the </w:t>
      </w:r>
      <w:r w:rsidR="00491D95">
        <w:rPr>
          <w:bCs/>
        </w:rPr>
        <w:t xml:space="preserve">target </w:t>
      </w:r>
      <w:r w:rsidR="00D63353">
        <w:rPr>
          <w:bCs/>
        </w:rPr>
        <w:t>gNB, the routing function will re-route to</w:t>
      </w:r>
      <w:r w:rsidR="00491D95">
        <w:rPr>
          <w:bCs/>
        </w:rPr>
        <w:t xml:space="preserve"> the new destination IP address.   </w:t>
      </w:r>
      <w:r w:rsidR="00F92B25">
        <w:rPr>
          <w:bCs/>
        </w:rPr>
        <w:t>The</w:t>
      </w:r>
      <w:r w:rsidR="00491D95">
        <w:rPr>
          <w:bCs/>
        </w:rPr>
        <w:t xml:space="preserve"> IP connectivity a</w:t>
      </w:r>
      <w:r w:rsidR="00F92B25">
        <w:rPr>
          <w:bCs/>
        </w:rPr>
        <w:t>ssociated with</w:t>
      </w:r>
      <w:r w:rsidR="00491D95">
        <w:rPr>
          <w:bCs/>
        </w:rPr>
        <w:t xml:space="preserve"> t</w:t>
      </w:r>
      <w:r w:rsidR="00F92B25">
        <w:rPr>
          <w:bCs/>
        </w:rPr>
        <w:t xml:space="preserve">arget backhaul link needs to be tested </w:t>
      </w:r>
      <w:r w:rsidR="00491D95">
        <w:rPr>
          <w:bCs/>
        </w:rPr>
        <w:t>and confirmed</w:t>
      </w:r>
      <w:r w:rsidR="00F92B25">
        <w:rPr>
          <w:bCs/>
        </w:rPr>
        <w:t xml:space="preserve"> autonomously when the backhaul link switches from current serving donor gNB to the target donor gNB before the backhaul data</w:t>
      </w:r>
      <w:r w:rsidR="00491D95">
        <w:rPr>
          <w:bCs/>
        </w:rPr>
        <w:t xml:space="preserve"> could be carried by the new backhaul link.    </w:t>
      </w:r>
      <w:r w:rsidR="004344E3">
        <w:rPr>
          <w:bCs/>
        </w:rPr>
        <w:t xml:space="preserve"> </w:t>
      </w:r>
    </w:p>
    <w:p w:rsidR="00490BAC" w:rsidRDefault="00490BAC" w:rsidP="004231AF">
      <w:pPr>
        <w:pStyle w:val="maintext"/>
        <w:spacing w:line="240" w:lineRule="auto"/>
        <w:ind w:firstLineChars="0" w:firstLine="0"/>
        <w:rPr>
          <w:bCs/>
        </w:rPr>
      </w:pPr>
    </w:p>
    <w:p w:rsidR="004344E3" w:rsidRDefault="004344E3" w:rsidP="004344E3">
      <w:pPr>
        <w:keepNext/>
        <w:jc w:val="center"/>
      </w:pPr>
      <w:r>
        <w:rPr>
          <w:bCs/>
          <w:noProof/>
          <w:lang w:val="en-US" w:eastAsia="zh-CN"/>
        </w:rPr>
        <w:drawing>
          <wp:inline distT="0" distB="0" distL="0" distR="0">
            <wp:extent cx="4037433" cy="1282981"/>
            <wp:effectExtent l="19050" t="0" r="1167"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4037846" cy="1283112"/>
                    </a:xfrm>
                    <a:prstGeom prst="rect">
                      <a:avLst/>
                    </a:prstGeom>
                    <a:noFill/>
                    <a:ln w="9525">
                      <a:noFill/>
                      <a:miter lim="800000"/>
                      <a:headEnd/>
                      <a:tailEnd/>
                    </a:ln>
                  </pic:spPr>
                </pic:pic>
              </a:graphicData>
            </a:graphic>
          </wp:inline>
        </w:drawing>
      </w:r>
    </w:p>
    <w:p w:rsidR="004344E3" w:rsidRDefault="004344E3" w:rsidP="004344E3">
      <w:pPr>
        <w:pStyle w:val="ad"/>
        <w:jc w:val="center"/>
        <w:rPr>
          <w:bCs/>
        </w:rPr>
      </w:pPr>
      <w:bookmarkStart w:id="3" w:name="_Ref520141316"/>
      <w:r>
        <w:t xml:space="preserve">Figure </w:t>
      </w:r>
      <w:fldSimple w:instr=" SEQ Figure \* ARABIC ">
        <w:r w:rsidR="00EE2173">
          <w:rPr>
            <w:noProof/>
          </w:rPr>
          <w:t>2</w:t>
        </w:r>
      </w:fldSimple>
      <w:bookmarkEnd w:id="3"/>
      <w:r>
        <w:t>: dynamic switching of donor gNB</w:t>
      </w:r>
    </w:p>
    <w:p w:rsidR="004344E3" w:rsidRDefault="004344E3" w:rsidP="003758FB">
      <w:pPr>
        <w:rPr>
          <w:bCs/>
        </w:rPr>
      </w:pPr>
    </w:p>
    <w:p w:rsidR="00273490" w:rsidRPr="00273490" w:rsidRDefault="00F92B25" w:rsidP="003758FB">
      <w:pPr>
        <w:rPr>
          <w:b/>
          <w:bCs/>
        </w:rPr>
      </w:pPr>
      <w:r>
        <w:rPr>
          <w:b/>
          <w:bCs/>
        </w:rPr>
        <w:t>Proposal 3</w:t>
      </w:r>
      <w:r w:rsidR="00273490">
        <w:rPr>
          <w:b/>
          <w:bCs/>
        </w:rPr>
        <w:t xml:space="preserve">:  </w:t>
      </w:r>
      <w:r w:rsidRPr="00F92B25">
        <w:rPr>
          <w:b/>
          <w:bCs/>
        </w:rPr>
        <w:t xml:space="preserve">The IP connectivity associated with target backhaul link needs to be tested and confirmed autonomously when the backhaul link switches from current serving donor gNB to the target donor gNB before the backhaul data could be carried by the new backhaul link.     </w:t>
      </w:r>
    </w:p>
    <w:p w:rsidR="0072624D" w:rsidRDefault="0072624D" w:rsidP="0072624D">
      <w:pPr>
        <w:overflowPunct/>
        <w:autoSpaceDE/>
        <w:autoSpaceDN/>
        <w:adjustRightInd/>
        <w:spacing w:before="60" w:after="120"/>
        <w:jc w:val="both"/>
        <w:textAlignment w:val="auto"/>
      </w:pPr>
    </w:p>
    <w:p w:rsidR="0072624D" w:rsidRPr="006E2265" w:rsidRDefault="006910EB" w:rsidP="0072624D">
      <w:pPr>
        <w:pStyle w:val="2"/>
        <w:spacing w:after="240"/>
      </w:pPr>
      <w:r>
        <w:t>Multiplexing of Access and Backhaul Links</w:t>
      </w:r>
      <w:r w:rsidR="005D3CE0">
        <w:t xml:space="preserve"> and Interference Mitigation scheme</w:t>
      </w:r>
    </w:p>
    <w:p w:rsidR="000B1569" w:rsidRPr="00241996" w:rsidRDefault="006910EB" w:rsidP="00241996">
      <w:pPr>
        <w:overflowPunct/>
        <w:autoSpaceDE/>
        <w:autoSpaceDN/>
        <w:adjustRightInd/>
        <w:spacing w:before="60" w:after="120"/>
        <w:jc w:val="both"/>
        <w:textAlignment w:val="auto"/>
      </w:pPr>
      <w:r>
        <w:t xml:space="preserve">It was agreed in RAN1#93 that </w:t>
      </w:r>
      <w:r w:rsidR="0072624D" w:rsidRPr="006E2265">
        <w:t xml:space="preserve">IAB </w:t>
      </w:r>
      <w:r>
        <w:t xml:space="preserve">node </w:t>
      </w:r>
      <w:r w:rsidR="0072624D" w:rsidRPr="006E2265">
        <w:t xml:space="preserve">supports </w:t>
      </w:r>
      <w:r>
        <w:t xml:space="preserve">multiplexing of access link and backhaul link in </w:t>
      </w:r>
      <w:r w:rsidR="0072624D" w:rsidRPr="006E2265">
        <w:t>TDM, FD</w:t>
      </w:r>
      <w:r>
        <w:t xml:space="preserve">M, and SDM with </w:t>
      </w:r>
      <w:r w:rsidR="0072624D" w:rsidRPr="006E2265">
        <w:t xml:space="preserve">half-duplex constraint. </w:t>
      </w:r>
      <w:r w:rsidR="000B1569">
        <w:t xml:space="preserve">   </w:t>
      </w:r>
      <w:r w:rsidR="000B1569" w:rsidRPr="000B1569">
        <w:rPr>
          <w:bCs/>
        </w:rPr>
        <w:t xml:space="preserve">For inband operation of backhaul link and IAB Uu access link, the transmission side lobe would cause the self interference when one link is in transmission and the other link is in reception.   </w:t>
      </w:r>
      <w:r w:rsidR="000B1569">
        <w:rPr>
          <w:bCs/>
        </w:rPr>
        <w:t>The half duplex constraint is t</w:t>
      </w:r>
      <w:r w:rsidR="000B1569" w:rsidRPr="000B1569">
        <w:rPr>
          <w:bCs/>
        </w:rPr>
        <w:t>o avoid self in</w:t>
      </w:r>
      <w:r w:rsidR="000B1569">
        <w:rPr>
          <w:bCs/>
        </w:rPr>
        <w:t xml:space="preserve">terference for inband operation. </w:t>
      </w:r>
      <w:r w:rsidR="000B1569" w:rsidRPr="000B1569">
        <w:rPr>
          <w:bCs/>
        </w:rPr>
        <w:t xml:space="preserve"> </w:t>
      </w:r>
      <w:r w:rsidR="000B1569">
        <w:rPr>
          <w:bCs/>
        </w:rPr>
        <w:t>T</w:t>
      </w:r>
      <w:r w:rsidR="000B1569" w:rsidRPr="000B1569">
        <w:rPr>
          <w:bCs/>
        </w:rPr>
        <w:t>he antenna of Uu link and the antenna of the backhaul link need to be separated and isolated to contain the interference generated by side lobe.  If there is no antenna isolation, the transmission and reception of backhaul link and Uu link needs to be coordinated in time to minimize the self interference cause d by the side lobe.</w:t>
      </w:r>
      <w:r w:rsidR="000B1569" w:rsidRPr="000B1569">
        <w:t xml:space="preserve"> </w:t>
      </w:r>
      <w:r w:rsidR="000B1569">
        <w:t xml:space="preserve">  The IAB node woul</w:t>
      </w:r>
      <w:r w:rsidR="00241996">
        <w:t xml:space="preserve">d have symbols </w:t>
      </w:r>
      <w:r w:rsidR="000B1569">
        <w:t xml:space="preserve">in transmission or reception in the same time on both access link and backhaul link.   </w:t>
      </w:r>
    </w:p>
    <w:p w:rsidR="00EE2173" w:rsidRDefault="000B1569" w:rsidP="000B1569">
      <w:pPr>
        <w:overflowPunct/>
        <w:autoSpaceDE/>
        <w:autoSpaceDN/>
        <w:adjustRightInd/>
        <w:spacing w:before="60" w:after="120"/>
        <w:jc w:val="both"/>
        <w:textAlignment w:val="auto"/>
      </w:pPr>
      <w:r>
        <w:t>Since NR system is flexible in the</w:t>
      </w:r>
      <w:r w:rsidR="00241996">
        <w:t xml:space="preserve"> system configurations, such as numerologies, DL/UL configuration, and HARQ timing, the better interference mitigation scheme is to have coordination DL/UL configuration between the access link and backhaul link.   </w:t>
      </w:r>
      <w:r>
        <w:t xml:space="preserve"> </w:t>
      </w:r>
      <w:r w:rsidR="00241996">
        <w:t xml:space="preserve">The interference mitigation scheme </w:t>
      </w:r>
      <w:r w:rsidR="005B4D0B">
        <w:t xml:space="preserve">for the IAB node </w:t>
      </w:r>
      <w:r w:rsidR="00241996">
        <w:t xml:space="preserve">is to coordinate the DL/UL transmission with the donor gNB to avoid the IAB DL transmission in the access link colliding with DL reception in the backhaul link or UL repletion at the access link interfered by the UL transmission to the backhaul link at IAB node.  </w:t>
      </w:r>
      <w:r w:rsidR="00EE2173">
        <w:t xml:space="preserve">If DL/UL slot format of the donor gNB is semi-statically configured by RRC as shown in </w:t>
      </w:r>
      <w:r w:rsidR="002D5598">
        <w:fldChar w:fldCharType="begin"/>
      </w:r>
      <w:r w:rsidR="00EE2173">
        <w:instrText xml:space="preserve"> REF _Ref520220610 \h </w:instrText>
      </w:r>
      <w:r w:rsidR="002D5598">
        <w:fldChar w:fldCharType="separate"/>
      </w:r>
      <w:r w:rsidR="00EE2173">
        <w:t xml:space="preserve">Figure </w:t>
      </w:r>
      <w:r w:rsidR="00EE2173">
        <w:rPr>
          <w:noProof/>
        </w:rPr>
        <w:t>3</w:t>
      </w:r>
      <w:r w:rsidR="002D5598">
        <w:fldChar w:fldCharType="end"/>
      </w:r>
      <w:r w:rsidR="00EE2173">
        <w:t xml:space="preserve">, the IAB node could receive the DL/UL slot format configuration during the initial setup of the IAB node.   The interference mitigation scheme is for IAB </w:t>
      </w:r>
      <w:proofErr w:type="gramStart"/>
      <w:r w:rsidR="00EE2173">
        <w:t>node configure</w:t>
      </w:r>
      <w:proofErr w:type="gramEnd"/>
      <w:r w:rsidR="00EE2173">
        <w:t xml:space="preserve"> DL/UL slot format</w:t>
      </w:r>
      <w:r w:rsidR="00CB7985">
        <w:t xml:space="preserve">s with the shift of the slot boundary </w:t>
      </w:r>
      <w:r w:rsidR="00EE2173">
        <w:t xml:space="preserve">to avoid reception in one link and transmission in another link in the same time as shown in </w:t>
      </w:r>
      <w:r w:rsidR="002D5598">
        <w:fldChar w:fldCharType="begin"/>
      </w:r>
      <w:r w:rsidR="00EE2173">
        <w:instrText xml:space="preserve"> REF _Ref520220610 \h </w:instrText>
      </w:r>
      <w:r w:rsidR="002D5598">
        <w:fldChar w:fldCharType="separate"/>
      </w:r>
      <w:r w:rsidR="00EE2173">
        <w:t xml:space="preserve">Figure </w:t>
      </w:r>
      <w:r w:rsidR="00EE2173">
        <w:rPr>
          <w:noProof/>
        </w:rPr>
        <w:t>3</w:t>
      </w:r>
      <w:r w:rsidR="002D5598">
        <w:fldChar w:fldCharType="end"/>
      </w:r>
      <w:r w:rsidR="00EE2173">
        <w:t xml:space="preserve">.   </w:t>
      </w:r>
    </w:p>
    <w:p w:rsidR="00EE2173" w:rsidRDefault="00EE2173" w:rsidP="000B1569">
      <w:pPr>
        <w:overflowPunct/>
        <w:autoSpaceDE/>
        <w:autoSpaceDN/>
        <w:adjustRightInd/>
        <w:spacing w:before="60" w:after="120"/>
        <w:jc w:val="both"/>
        <w:textAlignment w:val="auto"/>
      </w:pPr>
    </w:p>
    <w:p w:rsidR="000B1569" w:rsidRPr="006E2265" w:rsidRDefault="00A8681E" w:rsidP="000B1569">
      <w:pPr>
        <w:overflowPunct/>
        <w:autoSpaceDE/>
        <w:autoSpaceDN/>
        <w:adjustRightInd/>
        <w:spacing w:before="60" w:after="120"/>
        <w:jc w:val="both"/>
        <w:textAlignment w:val="auto"/>
      </w:pPr>
      <w:r>
        <w:lastRenderedPageBreak/>
        <w:t xml:space="preserve">If the DL/UL slot formats are configured dynamically at the donor gNB with SFI indicated on group common PDCCH, the IAB can played the role as the UE and decoding the group common PDCCH and determine its DL/UL slot format as shown in </w:t>
      </w:r>
      <w:r w:rsidR="002D5598">
        <w:fldChar w:fldCharType="begin"/>
      </w:r>
      <w:r>
        <w:instrText xml:space="preserve"> REF _Ref520232727 \h </w:instrText>
      </w:r>
      <w:r w:rsidR="002D5598">
        <w:fldChar w:fldCharType="separate"/>
      </w:r>
      <w:r>
        <w:t xml:space="preserve">Figure </w:t>
      </w:r>
      <w:r>
        <w:rPr>
          <w:noProof/>
        </w:rPr>
        <w:t>4</w:t>
      </w:r>
      <w:r w:rsidR="002D5598">
        <w:fldChar w:fldCharType="end"/>
      </w:r>
      <w:r>
        <w:t xml:space="preserve">.   In </w:t>
      </w:r>
      <w:r w:rsidR="002D5598">
        <w:fldChar w:fldCharType="begin"/>
      </w:r>
      <w:r>
        <w:instrText xml:space="preserve"> REF _Ref520232727 \h </w:instrText>
      </w:r>
      <w:r w:rsidR="002D5598">
        <w:fldChar w:fldCharType="separate"/>
      </w:r>
      <w:r>
        <w:t xml:space="preserve">Figure </w:t>
      </w:r>
      <w:r>
        <w:rPr>
          <w:noProof/>
        </w:rPr>
        <w:t>4</w:t>
      </w:r>
      <w:r w:rsidR="002D5598">
        <w:fldChar w:fldCharType="end"/>
      </w:r>
      <w:r>
        <w:t xml:space="preserve">, the slot boundary at IAB node delayed a few symbols to start after the DL transmission from the backhaul link with the access link </w:t>
      </w:r>
      <w:r w:rsidR="00A11072">
        <w:t xml:space="preserve">slot format </w:t>
      </w:r>
      <w:r>
        <w:t xml:space="preserve">dynamic adjusted each slot based on SFI received from </w:t>
      </w:r>
      <w:r w:rsidR="00A11072">
        <w:t xml:space="preserve">donor gNB.   </w:t>
      </w:r>
      <w:r w:rsidR="00D52F42">
        <w:t xml:space="preserve">From </w:t>
      </w:r>
      <w:r w:rsidR="002D5598">
        <w:fldChar w:fldCharType="begin"/>
      </w:r>
      <w:r w:rsidR="00D52F42">
        <w:instrText xml:space="preserve"> REF _Ref520220610 \h </w:instrText>
      </w:r>
      <w:r w:rsidR="002D5598">
        <w:fldChar w:fldCharType="separate"/>
      </w:r>
      <w:r w:rsidR="00D52F42">
        <w:t xml:space="preserve">Figure </w:t>
      </w:r>
      <w:r w:rsidR="00D52F42">
        <w:rPr>
          <w:noProof/>
        </w:rPr>
        <w:t>3</w:t>
      </w:r>
      <w:r w:rsidR="002D5598">
        <w:fldChar w:fldCharType="end"/>
      </w:r>
      <w:r w:rsidR="00D52F42">
        <w:t xml:space="preserve"> and </w:t>
      </w:r>
      <w:r w:rsidR="002D5598">
        <w:fldChar w:fldCharType="begin"/>
      </w:r>
      <w:r w:rsidR="00D52F42">
        <w:instrText xml:space="preserve"> REF _Ref520232727 \h </w:instrText>
      </w:r>
      <w:r w:rsidR="002D5598">
        <w:fldChar w:fldCharType="separate"/>
      </w:r>
      <w:r w:rsidR="00D52F42">
        <w:t xml:space="preserve">Figure </w:t>
      </w:r>
      <w:r w:rsidR="00D52F42">
        <w:rPr>
          <w:noProof/>
        </w:rPr>
        <w:t>4</w:t>
      </w:r>
      <w:r w:rsidR="002D5598">
        <w:fldChar w:fldCharType="end"/>
      </w:r>
      <w:r w:rsidR="00D52F42">
        <w:t xml:space="preserve">, the interference mitigation for IAB could be achieved by implementation with the DL/UL slot configuration at the IAB node is semi-static or dynamic assigned based on the DL/UL slot configuration of the donor gNB without any standard specification.  </w:t>
      </w:r>
    </w:p>
    <w:p w:rsidR="000B1569" w:rsidRPr="000B1569" w:rsidRDefault="000B1569" w:rsidP="000B1569">
      <w:pPr>
        <w:rPr>
          <w:b/>
          <w:bCs/>
        </w:rPr>
      </w:pPr>
    </w:p>
    <w:p w:rsidR="00EE2173" w:rsidRDefault="000B1569" w:rsidP="00EE2173">
      <w:pPr>
        <w:rPr>
          <w:b/>
          <w:bCs/>
        </w:rPr>
      </w:pPr>
      <w:r>
        <w:rPr>
          <w:b/>
          <w:bCs/>
        </w:rPr>
        <w:t>Proposal 4</w:t>
      </w:r>
      <w:r w:rsidRPr="000B1569">
        <w:rPr>
          <w:b/>
          <w:bCs/>
        </w:rPr>
        <w:t xml:space="preserve">:  </w:t>
      </w:r>
      <w:r w:rsidR="00D52F42">
        <w:rPr>
          <w:b/>
          <w:bCs/>
        </w:rPr>
        <w:t>T</w:t>
      </w:r>
      <w:r w:rsidR="00D52F42" w:rsidRPr="00D52F42">
        <w:rPr>
          <w:b/>
          <w:bCs/>
        </w:rPr>
        <w:t>he interference mitigation for IAB could be achieved by implementation with the DL/UL slot configuration at the IAB node is semi-static or dynamic assigned based on the DL/UL slot configuration of the donor gNB without any standard specification</w:t>
      </w:r>
      <w:r w:rsidR="00D52F42">
        <w:rPr>
          <w:b/>
          <w:bCs/>
        </w:rPr>
        <w:t xml:space="preserve"> </w:t>
      </w:r>
    </w:p>
    <w:p w:rsidR="00D52F42" w:rsidRDefault="00D52F42" w:rsidP="00EE2173">
      <w:pPr>
        <w:rPr>
          <w:b/>
          <w:bCs/>
        </w:rPr>
      </w:pPr>
    </w:p>
    <w:p w:rsidR="00D52F42" w:rsidRDefault="00D52F42" w:rsidP="00EE2173">
      <w:pPr>
        <w:rPr>
          <w:b/>
          <w:bCs/>
        </w:rPr>
      </w:pPr>
    </w:p>
    <w:p w:rsidR="00EE2173" w:rsidRDefault="00EE2173" w:rsidP="00EE2173">
      <w:pPr>
        <w:keepNext/>
        <w:jc w:val="center"/>
      </w:pPr>
      <w:r w:rsidRPr="00EE2173">
        <w:rPr>
          <w:b/>
          <w:bCs/>
          <w:noProof/>
          <w:lang w:val="en-US" w:eastAsia="zh-CN"/>
        </w:rPr>
        <w:drawing>
          <wp:inline distT="0" distB="0" distL="0" distR="0">
            <wp:extent cx="3302758" cy="1453487"/>
            <wp:effectExtent l="19050" t="0" r="0" b="0"/>
            <wp:docPr id="3"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24536" cy="1830397"/>
                      <a:chOff x="2267744" y="3717032"/>
                      <a:chExt cx="4824536" cy="1830397"/>
                    </a:xfrm>
                  </a:grpSpPr>
                  <a:grpSp>
                    <a:nvGrpSpPr>
                      <a:cNvPr id="162" name="组合 161"/>
                      <a:cNvGrpSpPr/>
                    </a:nvGrpSpPr>
                    <a:grpSpPr>
                      <a:xfrm>
                        <a:off x="2267744" y="3717032"/>
                        <a:ext cx="4824536" cy="1830397"/>
                        <a:chOff x="2267744" y="3284984"/>
                        <a:chExt cx="4824536" cy="1830397"/>
                      </a:xfrm>
                    </a:grpSpPr>
                    <a:sp>
                      <a:nvSpPr>
                        <a:cNvPr id="104" name="矩形 103"/>
                        <a:cNvSpPr/>
                      </a:nvSpPr>
                      <a:spPr>
                        <a:xfrm>
                          <a:off x="3635896" y="3645024"/>
                          <a:ext cx="216024"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5" name="矩形 104"/>
                        <a:cNvSpPr/>
                      </a:nvSpPr>
                      <a:spPr>
                        <a:xfrm>
                          <a:off x="3059832" y="3645024"/>
                          <a:ext cx="576064"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6" name="矩形 105"/>
                        <a:cNvSpPr/>
                      </a:nvSpPr>
                      <a:spPr>
                        <a:xfrm>
                          <a:off x="3851920" y="3645024"/>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8" name="直接连接符 107"/>
                        <a:cNvCxnSpPr/>
                      </a:nvCxnSpPr>
                      <a:spPr>
                        <a:xfrm>
                          <a:off x="3059832" y="3284984"/>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09" name="直接连接符 108"/>
                        <a:cNvCxnSpPr/>
                      </a:nvCxnSpPr>
                      <a:spPr>
                        <a:xfrm>
                          <a:off x="4211960" y="3284984"/>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10" name="直接箭头连接符 109"/>
                        <a:cNvCxnSpPr/>
                      </a:nvCxnSpPr>
                      <a:spPr>
                        <a:xfrm>
                          <a:off x="3059832" y="3501008"/>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11" name="TextBox 110"/>
                        <a:cNvSpPr txBox="1"/>
                      </a:nvSpPr>
                      <a:spPr>
                        <a:xfrm>
                          <a:off x="3563888" y="3356992"/>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12" name="矩形 111"/>
                        <a:cNvSpPr/>
                      </a:nvSpPr>
                      <a:spPr>
                        <a:xfrm>
                          <a:off x="4788024" y="3645024"/>
                          <a:ext cx="216024"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矩形 112"/>
                        <a:cNvSpPr/>
                      </a:nvSpPr>
                      <a:spPr>
                        <a:xfrm>
                          <a:off x="4211960" y="3645024"/>
                          <a:ext cx="576064"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4" name="矩形 113"/>
                        <a:cNvSpPr/>
                      </a:nvSpPr>
                      <a:spPr>
                        <a:xfrm>
                          <a:off x="5004048" y="3645024"/>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6" name="直接连接符 115"/>
                        <a:cNvCxnSpPr/>
                      </a:nvCxnSpPr>
                      <a:spPr>
                        <a:xfrm>
                          <a:off x="4211960" y="3284984"/>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17" name="直接连接符 116"/>
                        <a:cNvCxnSpPr/>
                      </a:nvCxnSpPr>
                      <a:spPr>
                        <a:xfrm>
                          <a:off x="5364088" y="3284984"/>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18" name="直接箭头连接符 117"/>
                        <a:cNvCxnSpPr/>
                      </a:nvCxnSpPr>
                      <a:spPr>
                        <a:xfrm>
                          <a:off x="4211960" y="3501008"/>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19" name="TextBox 118"/>
                        <a:cNvSpPr txBox="1"/>
                      </a:nvSpPr>
                      <a:spPr>
                        <a:xfrm>
                          <a:off x="4716016" y="3356992"/>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20" name="矩形 119"/>
                        <a:cNvSpPr/>
                      </a:nvSpPr>
                      <a:spPr>
                        <a:xfrm>
                          <a:off x="5940152" y="3645024"/>
                          <a:ext cx="216024"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矩形 120"/>
                        <a:cNvSpPr/>
                      </a:nvSpPr>
                      <a:spPr>
                        <a:xfrm>
                          <a:off x="5364088" y="3645024"/>
                          <a:ext cx="576064"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矩形 121"/>
                        <a:cNvSpPr/>
                      </a:nvSpPr>
                      <a:spPr>
                        <a:xfrm>
                          <a:off x="6156176" y="3645024"/>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4" name="直接连接符 123"/>
                        <a:cNvCxnSpPr/>
                      </a:nvCxnSpPr>
                      <a:spPr>
                        <a:xfrm>
                          <a:off x="5364088" y="3284984"/>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25" name="直接连接符 124"/>
                        <a:cNvCxnSpPr/>
                      </a:nvCxnSpPr>
                      <a:spPr>
                        <a:xfrm>
                          <a:off x="6516216" y="3284984"/>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26" name="直接箭头连接符 125"/>
                        <a:cNvCxnSpPr/>
                      </a:nvCxnSpPr>
                      <a:spPr>
                        <a:xfrm>
                          <a:off x="5364088" y="3501008"/>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27" name="TextBox 126"/>
                        <a:cNvSpPr txBox="1"/>
                      </a:nvSpPr>
                      <a:spPr>
                        <a:xfrm>
                          <a:off x="5868144" y="3356992"/>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28" name="TextBox 127"/>
                        <a:cNvSpPr txBox="1"/>
                      </a:nvSpPr>
                      <a:spPr>
                        <a:xfrm>
                          <a:off x="2339752" y="3717032"/>
                          <a:ext cx="638316" cy="215444"/>
                        </a:xfrm>
                        <a:prstGeom prst="rect">
                          <a:avLst/>
                        </a:prstGeom>
                        <a:solidFill>
                          <a:schemeClr val="bg1"/>
                        </a:solid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Donor gNB</a:t>
                            </a:r>
                            <a:endParaRPr lang="en-US" sz="800" dirty="0"/>
                          </a:p>
                        </a:txBody>
                        <a:useSpRect/>
                      </a:txSp>
                    </a:sp>
                    <a:cxnSp>
                      <a:nvCxnSpPr>
                        <a:cNvPr id="130" name="直接连接符 129"/>
                        <a:cNvCxnSpPr/>
                      </a:nvCxnSpPr>
                      <a:spPr>
                        <a:xfrm>
                          <a:off x="4788024" y="4437112"/>
                          <a:ext cx="0" cy="576064"/>
                        </a:xfrm>
                        <a:prstGeom prst="line">
                          <a:avLst/>
                        </a:prstGeom>
                        <a:ln>
                          <a:prstDash val="sysDot"/>
                        </a:ln>
                      </a:spPr>
                      <a:style>
                        <a:lnRef idx="1">
                          <a:schemeClr val="accent1"/>
                        </a:lnRef>
                        <a:fillRef idx="0">
                          <a:schemeClr val="accent1"/>
                        </a:fillRef>
                        <a:effectRef idx="0">
                          <a:schemeClr val="accent1"/>
                        </a:effectRef>
                        <a:fontRef idx="minor">
                          <a:schemeClr val="tx1"/>
                        </a:fontRef>
                      </a:style>
                    </a:cxnSp>
                    <a:sp>
                      <a:nvSpPr>
                        <a:cNvPr id="131" name="TextBox 130"/>
                        <a:cNvSpPr txBox="1"/>
                      </a:nvSpPr>
                      <a:spPr>
                        <a:xfrm>
                          <a:off x="4139952" y="4869160"/>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32" name="矩形 131"/>
                        <a:cNvSpPr/>
                      </a:nvSpPr>
                      <a:spPr>
                        <a:xfrm>
                          <a:off x="4139952" y="4293096"/>
                          <a:ext cx="288032"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3" name="矩形 132"/>
                        <a:cNvSpPr/>
                      </a:nvSpPr>
                      <a:spPr>
                        <a:xfrm>
                          <a:off x="3635896" y="4293096"/>
                          <a:ext cx="504056"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4" name="矩形 133"/>
                        <a:cNvSpPr/>
                      </a:nvSpPr>
                      <a:spPr>
                        <a:xfrm>
                          <a:off x="4427984" y="4293096"/>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6" name="直接连接符 135"/>
                        <a:cNvCxnSpPr/>
                      </a:nvCxnSpPr>
                      <a:spPr>
                        <a:xfrm>
                          <a:off x="3635896" y="4293096"/>
                          <a:ext cx="0" cy="720080"/>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37" name="直接箭头连接符 136"/>
                        <a:cNvCxnSpPr/>
                      </a:nvCxnSpPr>
                      <a:spPr>
                        <a:xfrm>
                          <a:off x="3635896" y="4797152"/>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139" name="直接连接符 138"/>
                        <a:cNvCxnSpPr/>
                      </a:nvCxnSpPr>
                      <a:spPr>
                        <a:xfrm>
                          <a:off x="5940152" y="4437112"/>
                          <a:ext cx="0" cy="576064"/>
                        </a:xfrm>
                        <a:prstGeom prst="line">
                          <a:avLst/>
                        </a:prstGeom>
                        <a:ln>
                          <a:prstDash val="sysDot"/>
                        </a:ln>
                      </a:spPr>
                      <a:style>
                        <a:lnRef idx="1">
                          <a:schemeClr val="accent1"/>
                        </a:lnRef>
                        <a:fillRef idx="0">
                          <a:schemeClr val="accent1"/>
                        </a:fillRef>
                        <a:effectRef idx="0">
                          <a:schemeClr val="accent1"/>
                        </a:effectRef>
                        <a:fontRef idx="minor">
                          <a:schemeClr val="tx1"/>
                        </a:fontRef>
                      </a:style>
                    </a:cxnSp>
                    <a:sp>
                      <a:nvSpPr>
                        <a:cNvPr id="140" name="TextBox 139"/>
                        <a:cNvSpPr txBox="1"/>
                      </a:nvSpPr>
                      <a:spPr>
                        <a:xfrm>
                          <a:off x="5292080" y="4869160"/>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41" name="矩形 140"/>
                        <a:cNvSpPr/>
                      </a:nvSpPr>
                      <a:spPr>
                        <a:xfrm>
                          <a:off x="5292080" y="4293096"/>
                          <a:ext cx="288032"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矩形 141"/>
                        <a:cNvSpPr/>
                      </a:nvSpPr>
                      <a:spPr>
                        <a:xfrm>
                          <a:off x="4788024" y="4293096"/>
                          <a:ext cx="504056"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矩形 142"/>
                        <a:cNvSpPr/>
                      </a:nvSpPr>
                      <a:spPr>
                        <a:xfrm>
                          <a:off x="5580112" y="4293096"/>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44" name="直接连接符 143"/>
                        <a:cNvCxnSpPr/>
                      </a:nvCxnSpPr>
                      <a:spPr>
                        <a:xfrm>
                          <a:off x="4788024" y="4293096"/>
                          <a:ext cx="0" cy="720080"/>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45" name="直接箭头连接符 144"/>
                        <a:cNvCxnSpPr/>
                      </a:nvCxnSpPr>
                      <a:spPr>
                        <a:xfrm>
                          <a:off x="4788024" y="4797152"/>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146" name="直接连接符 145"/>
                        <a:cNvCxnSpPr/>
                      </a:nvCxnSpPr>
                      <a:spPr>
                        <a:xfrm>
                          <a:off x="7092280" y="4437112"/>
                          <a:ext cx="0" cy="576064"/>
                        </a:xfrm>
                        <a:prstGeom prst="line">
                          <a:avLst/>
                        </a:prstGeom>
                        <a:ln>
                          <a:prstDash val="sysDot"/>
                        </a:ln>
                      </a:spPr>
                      <a:style>
                        <a:lnRef idx="1">
                          <a:schemeClr val="accent1"/>
                        </a:lnRef>
                        <a:fillRef idx="0">
                          <a:schemeClr val="accent1"/>
                        </a:fillRef>
                        <a:effectRef idx="0">
                          <a:schemeClr val="accent1"/>
                        </a:effectRef>
                        <a:fontRef idx="minor">
                          <a:schemeClr val="tx1"/>
                        </a:fontRef>
                      </a:style>
                    </a:cxnSp>
                    <a:sp>
                      <a:nvSpPr>
                        <a:cNvPr id="147" name="TextBox 146"/>
                        <a:cNvSpPr txBox="1"/>
                      </a:nvSpPr>
                      <a:spPr>
                        <a:xfrm>
                          <a:off x="6444208" y="4869160"/>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48" name="矩形 147"/>
                        <a:cNvSpPr/>
                      </a:nvSpPr>
                      <a:spPr>
                        <a:xfrm>
                          <a:off x="6444208" y="4293096"/>
                          <a:ext cx="288032"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9" name="矩形 148"/>
                        <a:cNvSpPr/>
                      </a:nvSpPr>
                      <a:spPr>
                        <a:xfrm>
                          <a:off x="5940152" y="4293096"/>
                          <a:ext cx="504056"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0" name="矩形 149"/>
                        <a:cNvSpPr/>
                      </a:nvSpPr>
                      <a:spPr>
                        <a:xfrm>
                          <a:off x="6732240" y="4293096"/>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1" name="直接连接符 150"/>
                        <a:cNvCxnSpPr/>
                      </a:nvCxnSpPr>
                      <a:spPr>
                        <a:xfrm>
                          <a:off x="5940152" y="4293096"/>
                          <a:ext cx="0" cy="720080"/>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52" name="直接箭头连接符 151"/>
                        <a:cNvCxnSpPr/>
                      </a:nvCxnSpPr>
                      <a:spPr>
                        <a:xfrm>
                          <a:off x="5940152" y="4797152"/>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153" name="直接连接符 152"/>
                        <a:cNvCxnSpPr/>
                      </a:nvCxnSpPr>
                      <a:spPr>
                        <a:xfrm>
                          <a:off x="3635896" y="4437112"/>
                          <a:ext cx="0" cy="576064"/>
                        </a:xfrm>
                        <a:prstGeom prst="line">
                          <a:avLst/>
                        </a:prstGeom>
                        <a:ln>
                          <a:prstDash val="sysDot"/>
                        </a:ln>
                      </a:spPr>
                      <a:style>
                        <a:lnRef idx="1">
                          <a:schemeClr val="accent1"/>
                        </a:lnRef>
                        <a:fillRef idx="0">
                          <a:schemeClr val="accent1"/>
                        </a:fillRef>
                        <a:effectRef idx="0">
                          <a:schemeClr val="accent1"/>
                        </a:effectRef>
                        <a:fontRef idx="minor">
                          <a:schemeClr val="tx1"/>
                        </a:fontRef>
                      </a:style>
                    </a:cxnSp>
                    <a:sp>
                      <a:nvSpPr>
                        <a:cNvPr id="154" name="TextBox 153"/>
                        <a:cNvSpPr txBox="1"/>
                      </a:nvSpPr>
                      <a:spPr>
                        <a:xfrm>
                          <a:off x="2987824" y="4869160"/>
                          <a:ext cx="504056" cy="24622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Fixed shift of slot</a:t>
                            </a:r>
                            <a:endParaRPr lang="en-US" sz="800" dirty="0"/>
                          </a:p>
                        </a:txBody>
                        <a:useSpRect/>
                      </a:txSp>
                    </a:sp>
                    <a:sp>
                      <a:nvSpPr>
                        <a:cNvPr id="155" name="矩形 154"/>
                        <a:cNvSpPr/>
                      </a:nvSpPr>
                      <a:spPr>
                        <a:xfrm>
                          <a:off x="2987824" y="4293096"/>
                          <a:ext cx="288032"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矩形 156"/>
                        <a:cNvSpPr/>
                      </a:nvSpPr>
                      <a:spPr>
                        <a:xfrm>
                          <a:off x="3275856" y="4293096"/>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9" name="直接箭头连接符 158"/>
                        <a:cNvCxnSpPr/>
                      </a:nvCxnSpPr>
                      <a:spPr>
                        <a:xfrm>
                          <a:off x="2987824" y="4797152"/>
                          <a:ext cx="648072" cy="0"/>
                        </a:xfrm>
                        <a:prstGeom prst="straightConnector1">
                          <a:avLst/>
                        </a:prstGeom>
                        <a:ln>
                          <a:headEnd type="none"/>
                          <a:tailEnd type="stealth"/>
                        </a:ln>
                      </a:spPr>
                      <a:style>
                        <a:lnRef idx="1">
                          <a:schemeClr val="accent1"/>
                        </a:lnRef>
                        <a:fillRef idx="0">
                          <a:schemeClr val="accent1"/>
                        </a:fillRef>
                        <a:effectRef idx="0">
                          <a:schemeClr val="accent1"/>
                        </a:effectRef>
                        <a:fontRef idx="minor">
                          <a:schemeClr val="tx1"/>
                        </a:fontRef>
                      </a:style>
                    </a:cxnSp>
                    <a:sp>
                      <a:nvSpPr>
                        <a:cNvPr id="161" name="TextBox 160"/>
                        <a:cNvSpPr txBox="1"/>
                      </a:nvSpPr>
                      <a:spPr>
                        <a:xfrm>
                          <a:off x="2267744" y="4293096"/>
                          <a:ext cx="572593"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IAB-node</a:t>
                            </a:r>
                            <a:endParaRPr lang="en-US" sz="800" dirty="0"/>
                          </a:p>
                        </a:txBody>
                        <a:useSpRect/>
                      </a:txSp>
                    </a:sp>
                  </a:grpSp>
                </lc:lockedCanvas>
              </a:graphicData>
            </a:graphic>
          </wp:inline>
        </w:drawing>
      </w:r>
    </w:p>
    <w:p w:rsidR="00EE2173" w:rsidRDefault="00EE2173" w:rsidP="00EE2173">
      <w:pPr>
        <w:pStyle w:val="ad"/>
        <w:jc w:val="center"/>
        <w:rPr>
          <w:noProof/>
        </w:rPr>
      </w:pPr>
      <w:bookmarkStart w:id="4" w:name="_Ref520220610"/>
      <w:r>
        <w:t xml:space="preserve">Figure </w:t>
      </w:r>
      <w:fldSimple w:instr=" SEQ Figure \* ARABIC ">
        <w:r>
          <w:rPr>
            <w:noProof/>
          </w:rPr>
          <w:t>3</w:t>
        </w:r>
      </w:fldSimple>
      <w:bookmarkEnd w:id="4"/>
      <w:r>
        <w:rPr>
          <w:noProof/>
        </w:rPr>
        <w:t>: Semi-static slot format configuration for donor gNB and IAB node</w:t>
      </w:r>
    </w:p>
    <w:p w:rsidR="00EE2173" w:rsidRDefault="00EE2173" w:rsidP="00EE2173">
      <w:pPr>
        <w:pStyle w:val="ad"/>
        <w:jc w:val="center"/>
        <w:rPr>
          <w:noProof/>
        </w:rPr>
      </w:pPr>
    </w:p>
    <w:p w:rsidR="00EE2173" w:rsidRDefault="00EE2173" w:rsidP="00EE2173">
      <w:pPr>
        <w:pStyle w:val="ad"/>
        <w:keepNext/>
        <w:jc w:val="center"/>
      </w:pPr>
      <w:r w:rsidRPr="00EE2173">
        <w:rPr>
          <w:noProof/>
          <w:lang w:val="en-US" w:eastAsia="zh-CN"/>
        </w:rPr>
        <w:drawing>
          <wp:inline distT="0" distB="0" distL="0" distR="0">
            <wp:extent cx="3897858" cy="1460310"/>
            <wp:effectExtent l="19050" t="0" r="7392" b="0"/>
            <wp:docPr id="5"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24536" cy="1830397"/>
                      <a:chOff x="2195736" y="1340768"/>
                      <a:chExt cx="4824536" cy="1830397"/>
                    </a:xfrm>
                  </a:grpSpPr>
                  <a:grpSp>
                    <a:nvGrpSpPr>
                      <a:cNvPr id="163" name="组合 162"/>
                      <a:cNvGrpSpPr/>
                    </a:nvGrpSpPr>
                    <a:grpSpPr>
                      <a:xfrm>
                        <a:off x="2195736" y="1340768"/>
                        <a:ext cx="4824536" cy="1830397"/>
                        <a:chOff x="2195736" y="1340768"/>
                        <a:chExt cx="4824536" cy="1830397"/>
                      </a:xfrm>
                    </a:grpSpPr>
                    <a:sp>
                      <a:nvSpPr>
                        <a:cNvPr id="7" name="TextBox 6"/>
                        <a:cNvSpPr txBox="1"/>
                      </a:nvSpPr>
                      <a:spPr>
                        <a:xfrm>
                          <a:off x="2195736" y="1772816"/>
                          <a:ext cx="638316" cy="215444"/>
                        </a:xfrm>
                        <a:prstGeom prst="rect">
                          <a:avLst/>
                        </a:prstGeom>
                        <a:solidFill>
                          <a:schemeClr val="bg1"/>
                        </a:solid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Donor gNB</a:t>
                            </a:r>
                            <a:endParaRPr lang="en-US" sz="800" dirty="0"/>
                          </a:p>
                        </a:txBody>
                        <a:useSpRect/>
                      </a:txSp>
                    </a:sp>
                    <a:sp>
                      <a:nvSpPr>
                        <a:cNvPr id="9" name="TextBox 8"/>
                        <a:cNvSpPr txBox="1"/>
                      </a:nvSpPr>
                      <a:spPr>
                        <a:xfrm>
                          <a:off x="2267744" y="2348880"/>
                          <a:ext cx="572593"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IAB-node</a:t>
                            </a:r>
                            <a:endParaRPr lang="en-US" sz="800" dirty="0"/>
                          </a:p>
                        </a:txBody>
                        <a:useSpRect/>
                      </a:txSp>
                    </a:sp>
                    <a:cxnSp>
                      <a:nvCxnSpPr>
                        <a:cNvPr id="10" name="直接连接符 9"/>
                        <a:cNvCxnSpPr/>
                      </a:nvCxnSpPr>
                      <a:spPr>
                        <a:xfrm>
                          <a:off x="3059832" y="1340768"/>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1" name="直接连接符 10"/>
                        <a:cNvCxnSpPr/>
                      </a:nvCxnSpPr>
                      <a:spPr>
                        <a:xfrm>
                          <a:off x="4211960" y="1340768"/>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12" name="直接连接符 11"/>
                        <a:cNvCxnSpPr/>
                      </a:nvCxnSpPr>
                      <a:spPr>
                        <a:xfrm>
                          <a:off x="4716016" y="2492896"/>
                          <a:ext cx="0" cy="576064"/>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31" name="直接连接符 30"/>
                        <a:cNvCxnSpPr/>
                      </a:nvCxnSpPr>
                      <a:spPr>
                        <a:xfrm>
                          <a:off x="5868144" y="2348880"/>
                          <a:ext cx="0" cy="720080"/>
                        </a:xfrm>
                        <a:prstGeom prst="line">
                          <a:avLst/>
                        </a:prstGeom>
                        <a:ln>
                          <a:prstDash val="sysDot"/>
                        </a:ln>
                      </a:spPr>
                      <a:style>
                        <a:lnRef idx="1">
                          <a:schemeClr val="accent1"/>
                        </a:lnRef>
                        <a:fillRef idx="0">
                          <a:schemeClr val="accent1"/>
                        </a:fillRef>
                        <a:effectRef idx="0">
                          <a:schemeClr val="accent1"/>
                        </a:effectRef>
                        <a:fontRef idx="minor">
                          <a:schemeClr val="tx1"/>
                        </a:fontRef>
                      </a:style>
                    </a:cxnSp>
                    <a:sp>
                      <a:nvSpPr>
                        <a:cNvPr id="32" name="TextBox 31"/>
                        <a:cNvSpPr txBox="1"/>
                      </a:nvSpPr>
                      <a:spPr>
                        <a:xfrm>
                          <a:off x="4067944" y="2924944"/>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20" name="矩形 19"/>
                        <a:cNvSpPr/>
                      </a:nvSpPr>
                      <a:spPr>
                        <a:xfrm>
                          <a:off x="5940152" y="1700808"/>
                          <a:ext cx="216024"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矩形 35"/>
                        <a:cNvSpPr/>
                      </a:nvSpPr>
                      <a:spPr>
                        <a:xfrm>
                          <a:off x="5364088" y="1700808"/>
                          <a:ext cx="576064"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6156176" y="1700808"/>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flipH="1">
                          <a:off x="5364088" y="1700808"/>
                          <a:ext cx="72010" cy="144016"/>
                        </a:xfrm>
                        <a:prstGeom prst="rect">
                          <a:avLst/>
                        </a:prstGeom>
                        <a:solidFill>
                          <a:srgbClr val="002060"/>
                        </a:solidFill>
                      </a:spPr>
                      <a:txSp>
                        <a:txBody>
                          <a:bodyPr vert="eaVert"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400" dirty="0" smtClean="0">
                                <a:solidFill>
                                  <a:schemeClr val="bg1"/>
                                </a:solidFill>
                              </a:rPr>
                              <a:t>SFI</a:t>
                            </a:r>
                            <a:endParaRPr lang="en-US" sz="400" dirty="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3419872" y="1700808"/>
                          <a:ext cx="432048"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3059832" y="1700808"/>
                          <a:ext cx="360040"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3851920" y="1700808"/>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flipH="1">
                          <a:off x="3059832" y="1700808"/>
                          <a:ext cx="72010" cy="144016"/>
                        </a:xfrm>
                        <a:prstGeom prst="rect">
                          <a:avLst/>
                        </a:prstGeom>
                        <a:solidFill>
                          <a:srgbClr val="002060"/>
                        </a:solidFill>
                      </a:spPr>
                      <a:txSp>
                        <a:txBody>
                          <a:bodyPr vert="eaVert"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400" dirty="0" smtClean="0">
                                <a:solidFill>
                                  <a:schemeClr val="bg1"/>
                                </a:solidFill>
                              </a:rPr>
                              <a:t>SFI</a:t>
                            </a:r>
                            <a:endParaRPr lang="en-US" sz="400" dirty="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4860032" y="1700808"/>
                          <a:ext cx="144016"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4211960" y="1700808"/>
                          <a:ext cx="648072"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5004048" y="1700808"/>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flipH="1">
                          <a:off x="4211960" y="1700808"/>
                          <a:ext cx="72010" cy="144016"/>
                        </a:xfrm>
                        <a:prstGeom prst="rect">
                          <a:avLst/>
                        </a:prstGeom>
                        <a:solidFill>
                          <a:srgbClr val="002060"/>
                        </a:solidFill>
                      </a:spPr>
                      <a:txSp>
                        <a:txBody>
                          <a:bodyPr vert="eaVert"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400" dirty="0" smtClean="0">
                                <a:solidFill>
                                  <a:schemeClr val="bg1"/>
                                </a:solidFill>
                              </a:rPr>
                              <a:t>SFI</a:t>
                            </a:r>
                            <a:endParaRPr lang="en-US" sz="400" dirty="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4067944" y="2348880"/>
                          <a:ext cx="288032"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3563888" y="2348880"/>
                          <a:ext cx="504056"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矩形 52"/>
                        <a:cNvSpPr/>
                      </a:nvSpPr>
                      <a:spPr>
                        <a:xfrm>
                          <a:off x="4355976" y="2348880"/>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flipH="1">
                          <a:off x="3563888" y="2348880"/>
                          <a:ext cx="72010" cy="144016"/>
                        </a:xfrm>
                        <a:prstGeom prst="rect">
                          <a:avLst/>
                        </a:prstGeom>
                        <a:solidFill>
                          <a:srgbClr val="002060"/>
                        </a:solidFill>
                      </a:spPr>
                      <a:txSp>
                        <a:txBody>
                          <a:bodyPr vert="eaVert"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400" dirty="0" smtClean="0">
                                <a:solidFill>
                                  <a:schemeClr val="bg1"/>
                                </a:solidFill>
                              </a:rPr>
                              <a:t>SFI</a:t>
                            </a:r>
                            <a:endParaRPr lang="en-US" sz="400" dirty="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矩形 54"/>
                        <a:cNvSpPr/>
                      </a:nvSpPr>
                      <a:spPr>
                        <a:xfrm>
                          <a:off x="5436096" y="2348880"/>
                          <a:ext cx="72008"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矩形 55"/>
                        <a:cNvSpPr/>
                      </a:nvSpPr>
                      <a:spPr>
                        <a:xfrm>
                          <a:off x="4860032" y="2348880"/>
                          <a:ext cx="576064"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矩形 56"/>
                        <a:cNvSpPr/>
                      </a:nvSpPr>
                      <a:spPr>
                        <a:xfrm>
                          <a:off x="5508104" y="2348880"/>
                          <a:ext cx="360040"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矩形 57"/>
                        <a:cNvSpPr/>
                      </a:nvSpPr>
                      <a:spPr>
                        <a:xfrm flipH="1">
                          <a:off x="4860032" y="2348880"/>
                          <a:ext cx="72010" cy="144016"/>
                        </a:xfrm>
                        <a:prstGeom prst="rect">
                          <a:avLst/>
                        </a:prstGeom>
                        <a:solidFill>
                          <a:srgbClr val="002060"/>
                        </a:solidFill>
                      </a:spPr>
                      <a:txSp>
                        <a:txBody>
                          <a:bodyPr vert="eaVert"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400" dirty="0" smtClean="0">
                                <a:solidFill>
                                  <a:schemeClr val="bg1"/>
                                </a:solidFill>
                              </a:rPr>
                              <a:t>SFI</a:t>
                            </a:r>
                            <a:endParaRPr lang="en-US" sz="400" dirty="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矩形 58"/>
                        <a:cNvSpPr/>
                      </a:nvSpPr>
                      <a:spPr>
                        <a:xfrm>
                          <a:off x="6660232" y="2348880"/>
                          <a:ext cx="144016"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矩形 59"/>
                        <a:cNvSpPr/>
                      </a:nvSpPr>
                      <a:spPr>
                        <a:xfrm>
                          <a:off x="5940152" y="2348880"/>
                          <a:ext cx="720080" cy="288032"/>
                        </a:xfrm>
                        <a:prstGeom prst="rect">
                          <a:avLst/>
                        </a:prstGeom>
                        <a:solidFill>
                          <a:srgbClr val="FFFF0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DL </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矩形 60"/>
                        <a:cNvSpPr/>
                      </a:nvSpPr>
                      <a:spPr>
                        <a:xfrm>
                          <a:off x="6804248" y="2348880"/>
                          <a:ext cx="216024"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矩形 61"/>
                        <a:cNvSpPr/>
                      </a:nvSpPr>
                      <a:spPr>
                        <a:xfrm flipH="1">
                          <a:off x="5940152" y="2348880"/>
                          <a:ext cx="72010" cy="144016"/>
                        </a:xfrm>
                        <a:prstGeom prst="rect">
                          <a:avLst/>
                        </a:prstGeom>
                        <a:solidFill>
                          <a:srgbClr val="002060"/>
                        </a:solidFill>
                      </a:spPr>
                      <a:txSp>
                        <a:txBody>
                          <a:bodyPr vert="eaVert"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400" dirty="0" smtClean="0">
                                <a:solidFill>
                                  <a:schemeClr val="bg1"/>
                                </a:solidFill>
                              </a:rPr>
                              <a:t>SFI</a:t>
                            </a:r>
                            <a:endParaRPr lang="en-US" sz="400" dirty="0">
                              <a:solidFill>
                                <a:schemeClr val="bg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7" name="直接连接符 66"/>
                        <a:cNvCxnSpPr/>
                      </a:nvCxnSpPr>
                      <a:spPr>
                        <a:xfrm>
                          <a:off x="3563888" y="2348880"/>
                          <a:ext cx="0" cy="720080"/>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73" name="直接连接符 72"/>
                        <a:cNvCxnSpPr/>
                      </a:nvCxnSpPr>
                      <a:spPr>
                        <a:xfrm>
                          <a:off x="5364088" y="1340768"/>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74" name="直接连接符 73"/>
                        <a:cNvCxnSpPr/>
                      </a:nvCxnSpPr>
                      <a:spPr>
                        <a:xfrm>
                          <a:off x="6516216" y="1340768"/>
                          <a:ext cx="0" cy="504056"/>
                        </a:xfrm>
                        <a:prstGeom prst="line">
                          <a:avLst/>
                        </a:prstGeom>
                        <a:ln>
                          <a:prstDash val="sysDot"/>
                        </a:ln>
                      </a:spPr>
                      <a:style>
                        <a:lnRef idx="1">
                          <a:schemeClr val="accent1"/>
                        </a:lnRef>
                        <a:fillRef idx="0">
                          <a:schemeClr val="accent1"/>
                        </a:fillRef>
                        <a:effectRef idx="0">
                          <a:schemeClr val="accent1"/>
                        </a:effectRef>
                        <a:fontRef idx="minor">
                          <a:schemeClr val="tx1"/>
                        </a:fontRef>
                      </a:style>
                    </a:cxnSp>
                    <a:cxnSp>
                      <a:nvCxnSpPr>
                        <a:cNvPr id="80" name="直接箭头连接符 79"/>
                        <a:cNvCxnSpPr/>
                      </a:nvCxnSpPr>
                      <a:spPr>
                        <a:xfrm>
                          <a:off x="3563888" y="2852936"/>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81" name="直接箭头连接符 80"/>
                        <a:cNvCxnSpPr/>
                      </a:nvCxnSpPr>
                      <a:spPr>
                        <a:xfrm>
                          <a:off x="3059832" y="1556792"/>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82" name="TextBox 81"/>
                        <a:cNvSpPr txBox="1"/>
                      </a:nvSpPr>
                      <a:spPr>
                        <a:xfrm>
                          <a:off x="3635896" y="1412776"/>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cxnSp>
                      <a:nvCxnSpPr>
                        <a:cNvPr id="83" name="直接箭头连接符 82"/>
                        <a:cNvCxnSpPr/>
                      </a:nvCxnSpPr>
                      <a:spPr>
                        <a:xfrm>
                          <a:off x="4716016" y="2852936"/>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86" name="矩形 85"/>
                        <a:cNvSpPr/>
                      </a:nvSpPr>
                      <a:spPr>
                        <a:xfrm>
                          <a:off x="4716016" y="2348880"/>
                          <a:ext cx="144016"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矩形 86"/>
                        <a:cNvSpPr/>
                      </a:nvSpPr>
                      <a:spPr>
                        <a:xfrm>
                          <a:off x="5868144" y="2348880"/>
                          <a:ext cx="72008" cy="288032"/>
                        </a:xfrm>
                        <a:prstGeom prst="rect">
                          <a:avLst/>
                        </a:prstGeom>
                        <a:solidFill>
                          <a:schemeClr val="bg1"/>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GP</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8" name="直接箭头连接符 87"/>
                        <a:cNvCxnSpPr/>
                      </a:nvCxnSpPr>
                      <a:spPr>
                        <a:xfrm>
                          <a:off x="5868144" y="2852936"/>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91" name="直接箭头连接符 90"/>
                        <a:cNvCxnSpPr/>
                      </a:nvCxnSpPr>
                      <a:spPr>
                        <a:xfrm>
                          <a:off x="4211960" y="1556792"/>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92" name="直接箭头连接符 91"/>
                        <a:cNvCxnSpPr/>
                      </a:nvCxnSpPr>
                      <a:spPr>
                        <a:xfrm>
                          <a:off x="5364088" y="1556792"/>
                          <a:ext cx="115212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93" name="直接连接符 92"/>
                        <a:cNvCxnSpPr/>
                      </a:nvCxnSpPr>
                      <a:spPr>
                        <a:xfrm>
                          <a:off x="7020272" y="2348880"/>
                          <a:ext cx="0" cy="720080"/>
                        </a:xfrm>
                        <a:prstGeom prst="line">
                          <a:avLst/>
                        </a:prstGeom>
                        <a:ln>
                          <a:prstDash val="sysDot"/>
                        </a:ln>
                      </a:spPr>
                      <a:style>
                        <a:lnRef idx="1">
                          <a:schemeClr val="accent1"/>
                        </a:lnRef>
                        <a:fillRef idx="0">
                          <a:schemeClr val="accent1"/>
                        </a:fillRef>
                        <a:effectRef idx="0">
                          <a:schemeClr val="accent1"/>
                        </a:effectRef>
                        <a:fontRef idx="minor">
                          <a:schemeClr val="tx1"/>
                        </a:fontRef>
                      </a:style>
                    </a:cxnSp>
                    <a:sp>
                      <a:nvSpPr>
                        <a:cNvPr id="94" name="矩形 93"/>
                        <a:cNvSpPr/>
                      </a:nvSpPr>
                      <a:spPr>
                        <a:xfrm>
                          <a:off x="3059832" y="2348880"/>
                          <a:ext cx="504056" cy="288032"/>
                        </a:xfrm>
                        <a:prstGeom prst="rect">
                          <a:avLst/>
                        </a:prstGeom>
                        <a:solidFill>
                          <a:srgbClr val="92D050"/>
                        </a:solidFill>
                      </a:spPr>
                      <a:txSp>
                        <a:txBody>
                          <a:bodyPr lIns="0" tIns="0" rIns="0" bIns="0"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800" dirty="0" smtClean="0">
                                <a:solidFill>
                                  <a:schemeClr val="tx1"/>
                                </a:solidFill>
                              </a:rPr>
                              <a:t>UL</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5" name="直接箭头连接符 94"/>
                        <a:cNvCxnSpPr/>
                      </a:nvCxnSpPr>
                      <a:spPr>
                        <a:xfrm>
                          <a:off x="3059832" y="2852936"/>
                          <a:ext cx="504056" cy="0"/>
                        </a:xfrm>
                        <a:prstGeom prst="straightConnector1">
                          <a:avLst/>
                        </a:prstGeom>
                        <a:ln>
                          <a:headEnd type="none"/>
                          <a:tailEnd type="stealth"/>
                        </a:ln>
                      </a:spPr>
                      <a:style>
                        <a:lnRef idx="1">
                          <a:schemeClr val="accent1"/>
                        </a:lnRef>
                        <a:fillRef idx="0">
                          <a:schemeClr val="accent1"/>
                        </a:fillRef>
                        <a:effectRef idx="0">
                          <a:schemeClr val="accent1"/>
                        </a:effectRef>
                        <a:fontRef idx="minor">
                          <a:schemeClr val="tx1"/>
                        </a:fontRef>
                      </a:style>
                    </a:cxnSp>
                    <a:sp>
                      <a:nvSpPr>
                        <a:cNvPr id="98" name="TextBox 97"/>
                        <a:cNvSpPr txBox="1"/>
                      </a:nvSpPr>
                      <a:spPr>
                        <a:xfrm>
                          <a:off x="5220072" y="2924944"/>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99" name="TextBox 98"/>
                        <a:cNvSpPr txBox="1"/>
                      </a:nvSpPr>
                      <a:spPr>
                        <a:xfrm>
                          <a:off x="6372200" y="2924944"/>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00" name="TextBox 99"/>
                        <a:cNvSpPr txBox="1"/>
                      </a:nvSpPr>
                      <a:spPr>
                        <a:xfrm>
                          <a:off x="4716016" y="1412776"/>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01" name="TextBox 100"/>
                        <a:cNvSpPr txBox="1"/>
                      </a:nvSpPr>
                      <a:spPr>
                        <a:xfrm>
                          <a:off x="5868144" y="1412776"/>
                          <a:ext cx="216024" cy="12311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 </a:t>
                            </a:r>
                            <a:r>
                              <a:rPr lang="en-US" sz="800" dirty="0" smtClean="0"/>
                              <a:t>slot</a:t>
                            </a:r>
                            <a:endParaRPr lang="en-US" sz="800" dirty="0"/>
                          </a:p>
                        </a:txBody>
                        <a:useSpRect/>
                      </a:txSp>
                    </a:sp>
                    <a:sp>
                      <a:nvSpPr>
                        <a:cNvPr id="102" name="TextBox 101"/>
                        <a:cNvSpPr txBox="1"/>
                      </a:nvSpPr>
                      <a:spPr>
                        <a:xfrm>
                          <a:off x="3059832" y="2924944"/>
                          <a:ext cx="432048" cy="246221"/>
                        </a:xfrm>
                        <a:prstGeom prst="rect">
                          <a:avLst/>
                        </a:prstGeom>
                        <a:solidFill>
                          <a:schemeClr val="bg1"/>
                        </a:solidFill>
                      </a:spPr>
                      <a:txSp>
                        <a:txBody>
                          <a:bodyPr wrap="square" lIns="0" tIns="0" rIns="0" bIns="0"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800" dirty="0" smtClean="0"/>
                              <a:t> </a:t>
                            </a:r>
                            <a:r>
                              <a:rPr lang="en-US" sz="800" dirty="0" smtClean="0"/>
                              <a:t>shift of slot </a:t>
                            </a:r>
                            <a:endParaRPr lang="en-US" sz="800" dirty="0"/>
                          </a:p>
                        </a:txBody>
                        <a:useSpRect/>
                      </a:txSp>
                    </a:sp>
                    <a:sp>
                      <a:nvSpPr>
                        <a:cNvPr id="129" name="TextBox 128"/>
                        <a:cNvSpPr txBox="1"/>
                      </a:nvSpPr>
                      <a:spPr>
                        <a:xfrm>
                          <a:off x="2348136" y="1925216"/>
                          <a:ext cx="638316" cy="215444"/>
                        </a:xfrm>
                        <a:prstGeom prst="rect">
                          <a:avLst/>
                        </a:prstGeom>
                        <a:solidFill>
                          <a:schemeClr val="bg1"/>
                        </a:solid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Donor gNB</a:t>
                            </a:r>
                            <a:endParaRPr lang="en-US" sz="800" dirty="0"/>
                          </a:p>
                        </a:txBody>
                        <a:useSpRect/>
                      </a:txSp>
                    </a:sp>
                  </a:grpSp>
                </lc:lockedCanvas>
              </a:graphicData>
            </a:graphic>
          </wp:inline>
        </w:drawing>
      </w:r>
    </w:p>
    <w:p w:rsidR="00EE2173" w:rsidRPr="00EE2173" w:rsidRDefault="00EE2173" w:rsidP="00EE2173">
      <w:pPr>
        <w:pStyle w:val="ad"/>
        <w:jc w:val="center"/>
        <w:rPr>
          <w:bCs/>
        </w:rPr>
      </w:pPr>
      <w:bookmarkStart w:id="5" w:name="_Ref520232727"/>
      <w:r>
        <w:t xml:space="preserve">Figure </w:t>
      </w:r>
      <w:fldSimple w:instr=" SEQ Figure \* ARABIC ">
        <w:r>
          <w:rPr>
            <w:noProof/>
          </w:rPr>
          <w:t>4</w:t>
        </w:r>
      </w:fldSimple>
      <w:bookmarkEnd w:id="5"/>
      <w:r>
        <w:rPr>
          <w:noProof/>
        </w:rPr>
        <w:t>: Dynamic slot format configuration through SFI on Group common PDCCH</w:t>
      </w:r>
    </w:p>
    <w:p w:rsidR="005D3CE0" w:rsidRDefault="005D3CE0" w:rsidP="005D3CE0">
      <w:pPr>
        <w:overflowPunct/>
        <w:autoSpaceDE/>
        <w:autoSpaceDN/>
        <w:adjustRightInd/>
        <w:spacing w:before="60" w:after="120"/>
        <w:jc w:val="both"/>
        <w:textAlignment w:val="auto"/>
      </w:pPr>
    </w:p>
    <w:p w:rsidR="005D3CE0" w:rsidRDefault="005D3CE0" w:rsidP="005D3CE0">
      <w:pPr>
        <w:overflowPunct/>
        <w:autoSpaceDE/>
        <w:autoSpaceDN/>
        <w:adjustRightInd/>
        <w:spacing w:before="60" w:after="120"/>
        <w:jc w:val="both"/>
        <w:textAlignment w:val="auto"/>
      </w:pPr>
      <w:r>
        <w:t xml:space="preserve">We can see from </w:t>
      </w:r>
      <w:r w:rsidR="002D5598">
        <w:fldChar w:fldCharType="begin"/>
      </w:r>
      <w:r>
        <w:instrText xml:space="preserve"> REF _Ref520220610 \h </w:instrText>
      </w:r>
      <w:r w:rsidR="002D5598">
        <w:fldChar w:fldCharType="separate"/>
      </w:r>
      <w:r>
        <w:t xml:space="preserve">Figure </w:t>
      </w:r>
      <w:r>
        <w:rPr>
          <w:noProof/>
        </w:rPr>
        <w:t>3</w:t>
      </w:r>
      <w:r w:rsidR="002D5598">
        <w:fldChar w:fldCharType="end"/>
      </w:r>
      <w:r>
        <w:t xml:space="preserve"> and </w:t>
      </w:r>
      <w:r w:rsidR="002D5598">
        <w:fldChar w:fldCharType="begin"/>
      </w:r>
      <w:r>
        <w:instrText xml:space="preserve"> REF _Ref520232727 \h </w:instrText>
      </w:r>
      <w:r w:rsidR="002D5598">
        <w:fldChar w:fldCharType="separate"/>
      </w:r>
      <w:r>
        <w:t xml:space="preserve">Figure </w:t>
      </w:r>
      <w:r>
        <w:rPr>
          <w:noProof/>
        </w:rPr>
        <w:t>4</w:t>
      </w:r>
      <w:r w:rsidR="002D5598">
        <w:fldChar w:fldCharType="end"/>
      </w:r>
      <w:r>
        <w:t xml:space="preserve"> that the slot boundary of the IAB node should be shifted a few symbols with respect to the slot boundary of the donor gNB in order to avoid self interference between access link and backhaul link when one link is transmitting and the other link is receiving.   For the UL transmission on the backhaul link, the </w:t>
      </w:r>
      <w:r w:rsidR="00A66888">
        <w:t xml:space="preserve">transmission time would be determined by TA command from the donor gNB, which the TA is derived from the propagation delay.   For IAB backhaul link, the propagation delay should be steady since the IAB node is stationary.   Thus, the minimum time interval for the UL transmission time in advanced in the backhaul link could be provisioned and included in the computation of the number of symbols for the GP within the slot.   Thus, the </w:t>
      </w:r>
      <w:r w:rsidR="00E11B56">
        <w:t xml:space="preserve">slot boundary of the </w:t>
      </w:r>
      <w:r w:rsidR="00A66888">
        <w:t xml:space="preserve">IAB node and the donor gNB should be aligned with integer multi-symbol shift.   Since each IAB node is to align the slot with symbol shift from its donor gNB semi-statically, it would be beneficial if the </w:t>
      </w:r>
      <w:r w:rsidR="00E11B56">
        <w:t xml:space="preserve">number of the OFDM symbols shift is configured to be the same.  This would minimize the co-channel interference for UEs covered by neighboring IAB nodes.   </w:t>
      </w:r>
    </w:p>
    <w:p w:rsidR="005D3CE0" w:rsidRDefault="005D3CE0" w:rsidP="00A66888">
      <w:pPr>
        <w:overflowPunct/>
        <w:autoSpaceDE/>
        <w:autoSpaceDN/>
        <w:adjustRightInd/>
        <w:spacing w:before="60" w:after="120"/>
        <w:jc w:val="both"/>
        <w:textAlignment w:val="auto"/>
      </w:pPr>
    </w:p>
    <w:p w:rsidR="00A66888" w:rsidRPr="00E11B56" w:rsidRDefault="00E11B56" w:rsidP="00A66888">
      <w:pPr>
        <w:overflowPunct/>
        <w:autoSpaceDE/>
        <w:autoSpaceDN/>
        <w:adjustRightInd/>
        <w:spacing w:before="60" w:after="120"/>
        <w:jc w:val="both"/>
        <w:textAlignment w:val="auto"/>
        <w:rPr>
          <w:b/>
        </w:rPr>
      </w:pPr>
      <w:r>
        <w:rPr>
          <w:b/>
        </w:rPr>
        <w:t>Proposal 5:  T</w:t>
      </w:r>
      <w:r w:rsidRPr="00E11B56">
        <w:rPr>
          <w:b/>
        </w:rPr>
        <w:t>he</w:t>
      </w:r>
      <w:r>
        <w:rPr>
          <w:b/>
        </w:rPr>
        <w:t xml:space="preserve"> slot boundary of the</w:t>
      </w:r>
      <w:r w:rsidRPr="00E11B56">
        <w:rPr>
          <w:b/>
        </w:rPr>
        <w:t xml:space="preserve"> IAB node and the donor gNB should be aligned with integer multi-symbol shift</w:t>
      </w:r>
      <w:r>
        <w:rPr>
          <w:b/>
        </w:rPr>
        <w:t>s</w:t>
      </w:r>
      <w:r w:rsidRPr="00E11B56">
        <w:rPr>
          <w:b/>
        </w:rPr>
        <w:t xml:space="preserve">.   </w:t>
      </w:r>
      <w:r>
        <w:rPr>
          <w:b/>
        </w:rPr>
        <w:t xml:space="preserve">The number of the OFDM symbol shifted at the slot boundary of the IAB node should be configured to be the same for all IAB nodes in the cluster.   </w:t>
      </w:r>
    </w:p>
    <w:p w:rsidR="005D3CE0" w:rsidRDefault="005D3CE0" w:rsidP="005D3CE0">
      <w:pPr>
        <w:rPr>
          <w:highlight w:val="green"/>
        </w:rPr>
      </w:pPr>
    </w:p>
    <w:p w:rsidR="005D3CE0" w:rsidRDefault="005D3CE0" w:rsidP="005D3CE0">
      <w:pPr>
        <w:rPr>
          <w:highlight w:val="green"/>
        </w:rPr>
      </w:pPr>
    </w:p>
    <w:p w:rsidR="005D3CE0" w:rsidRPr="006E2265" w:rsidRDefault="005D3CE0" w:rsidP="005D3CE0"/>
    <w:p w:rsidR="00E271F9" w:rsidRPr="000B1569" w:rsidRDefault="000B1569" w:rsidP="00601F7D">
      <w:pPr>
        <w:pStyle w:val="2"/>
        <w:spacing w:after="240"/>
      </w:pPr>
      <w:r>
        <w:t>Configuration of Cell ID</w:t>
      </w:r>
    </w:p>
    <w:p w:rsidR="00B203DA" w:rsidRDefault="00273490" w:rsidP="00601F7D">
      <w:pPr>
        <w:rPr>
          <w:bCs/>
        </w:rPr>
      </w:pPr>
      <w:r>
        <w:rPr>
          <w:bCs/>
        </w:rPr>
        <w:t>If the IAB-node is configured with the same cell ID as that of the Donor gNB, the IAB-node and the Donor gNB need tight coordination in scheduli</w:t>
      </w:r>
      <w:r w:rsidR="007E2B63">
        <w:rPr>
          <w:bCs/>
        </w:rPr>
        <w:t xml:space="preserve">ng and transmission similar to beam management coordination among distributed TRPs.   In the mean time, the wireless link between the IAB-node and the Donor gNB would be running F1 interface for the CU-DU link and not the NG interface of the backhaul link if the IAB-node and the Donor gNB share the same cell ID.  </w:t>
      </w:r>
      <w:r w:rsidR="00C64373">
        <w:rPr>
          <w:bCs/>
        </w:rPr>
        <w:t>The advantage of the IAB-node and the Donor gNB sharing the same cell ID is for UE to perform implicitly combining of signals transmitting from both nodes.  However, t</w:t>
      </w:r>
      <w:r w:rsidR="006C7D76">
        <w:rPr>
          <w:bCs/>
        </w:rPr>
        <w:t>he IAB-node would not be able to transmit to its serving UEs during the time of receiving the backhaul link from the Donor gNB</w:t>
      </w:r>
      <w:r w:rsidR="00C64373">
        <w:rPr>
          <w:bCs/>
        </w:rPr>
        <w:t xml:space="preserve"> if the backhaul antenna and Uu antenna are not isolated to minimize the self interference</w:t>
      </w:r>
      <w:r w:rsidR="006C7D76">
        <w:rPr>
          <w:bCs/>
        </w:rPr>
        <w:t xml:space="preserve">.  The IAB-node and the Donor gNB could not transmit the same data in the same time for UE to perform coherent/non-coherent combining of data.   </w:t>
      </w:r>
      <w:r w:rsidR="007E2B63">
        <w:rPr>
          <w:bCs/>
        </w:rPr>
        <w:t xml:space="preserve">The current IAB architecture supports the several alternatives, which only the cell ID of the IAB-node is different to that of the gNB.   Thus, the IAB study should </w:t>
      </w:r>
      <w:r w:rsidR="006C7D76">
        <w:rPr>
          <w:bCs/>
        </w:rPr>
        <w:t>con</w:t>
      </w:r>
      <w:r w:rsidR="007E2B63">
        <w:rPr>
          <w:bCs/>
        </w:rPr>
        <w:t xml:space="preserve">fine to the case that the IAB-node and </w:t>
      </w:r>
      <w:r w:rsidR="00B203DA">
        <w:rPr>
          <w:bCs/>
        </w:rPr>
        <w:t xml:space="preserve">the Donor gNB have different cell ID.  </w:t>
      </w:r>
    </w:p>
    <w:p w:rsidR="00BC0113" w:rsidRDefault="00BC0113" w:rsidP="00601F7D">
      <w:pPr>
        <w:rPr>
          <w:bCs/>
        </w:rPr>
      </w:pPr>
    </w:p>
    <w:p w:rsidR="00B203DA" w:rsidRDefault="00E11B56" w:rsidP="00601F7D">
      <w:pPr>
        <w:rPr>
          <w:b/>
          <w:bCs/>
        </w:rPr>
      </w:pPr>
      <w:r>
        <w:rPr>
          <w:b/>
          <w:bCs/>
        </w:rPr>
        <w:t>Proposal 6</w:t>
      </w:r>
      <w:r w:rsidR="00B203DA">
        <w:rPr>
          <w:b/>
          <w:bCs/>
        </w:rPr>
        <w:t>:  T</w:t>
      </w:r>
      <w:r w:rsidR="00B203DA" w:rsidRPr="00B203DA">
        <w:rPr>
          <w:b/>
          <w:bCs/>
        </w:rPr>
        <w:t xml:space="preserve">he IAB study should </w:t>
      </w:r>
      <w:r w:rsidR="00576AE7">
        <w:rPr>
          <w:b/>
          <w:bCs/>
        </w:rPr>
        <w:t>con</w:t>
      </w:r>
      <w:r w:rsidR="00B203DA" w:rsidRPr="00B203DA">
        <w:rPr>
          <w:b/>
          <w:bCs/>
        </w:rPr>
        <w:t>fine to the case that the IAB-node and the Donor gNB have different cell ID</w:t>
      </w:r>
      <w:r w:rsidR="00B203DA">
        <w:rPr>
          <w:b/>
          <w:bCs/>
        </w:rPr>
        <w:t>s</w:t>
      </w:r>
      <w:r w:rsidR="00B203DA" w:rsidRPr="00B203DA">
        <w:rPr>
          <w:b/>
          <w:bCs/>
        </w:rPr>
        <w:t xml:space="preserve">.  </w:t>
      </w:r>
    </w:p>
    <w:p w:rsidR="00B203DA" w:rsidRPr="00B203DA" w:rsidRDefault="00C40AFE" w:rsidP="00601F7D">
      <w:pPr>
        <w:rPr>
          <w:bCs/>
        </w:rPr>
      </w:pPr>
      <w:r>
        <w:rPr>
          <w:bCs/>
        </w:rPr>
        <w:t xml:space="preserve">   </w:t>
      </w:r>
    </w:p>
    <w:p w:rsidR="00536565" w:rsidRPr="00E11B56" w:rsidRDefault="00483CDC" w:rsidP="00AC36ED">
      <w:pPr>
        <w:pStyle w:val="2"/>
        <w:spacing w:after="240"/>
      </w:pPr>
      <w:bookmarkStart w:id="6" w:name="_GoBack"/>
      <w:bookmarkEnd w:id="6"/>
      <w:r>
        <w:t>Node Sy</w:t>
      </w:r>
      <w:r w:rsidR="00DE0CBB">
        <w:t>nchronization</w:t>
      </w:r>
    </w:p>
    <w:p w:rsidR="00754A8F" w:rsidRDefault="00754A8F" w:rsidP="00754A8F">
      <w:pPr>
        <w:overflowPunct/>
        <w:autoSpaceDE/>
        <w:autoSpaceDN/>
        <w:adjustRightInd/>
        <w:spacing w:before="60" w:after="120"/>
        <w:jc w:val="both"/>
        <w:textAlignment w:val="auto"/>
        <w:rPr>
          <w:rFonts w:eastAsia="Arial"/>
        </w:rPr>
      </w:pPr>
    </w:p>
    <w:p w:rsidR="00754A8F" w:rsidRPr="00163FCD" w:rsidRDefault="00754A8F" w:rsidP="00A0391D">
      <w:pPr>
        <w:rPr>
          <w:rFonts w:eastAsia="Arial"/>
          <w:sz w:val="22"/>
        </w:rPr>
      </w:pPr>
      <w:r>
        <w:rPr>
          <w:rFonts w:eastAsia="Arial"/>
          <w:sz w:val="22"/>
        </w:rPr>
        <w:t>The over-the-air synchronization (OTA) techniques fo</w:t>
      </w:r>
      <w:r w:rsidR="00DA4FB8">
        <w:rPr>
          <w:rFonts w:eastAsia="Arial"/>
          <w:sz w:val="22"/>
        </w:rPr>
        <w:t>r node</w:t>
      </w:r>
      <w:r>
        <w:rPr>
          <w:rFonts w:eastAsia="Arial"/>
          <w:sz w:val="22"/>
        </w:rPr>
        <w:t xml:space="preserve"> synchronization have been discussed in UMTS Rel-99 and in LTE Rel-12/14.  The OTA synchronization is to have a slave node synchronized with the master node.  For IAB system, the IAB-node plays the role as an UE to synchronize with the Donor gNB.  The node synchronization accuracy in the IAB system depends on the quality of backhaul link and the frequency stability of local oscillator at both the Donor gNB and the IAB-node.  </w:t>
      </w:r>
      <w:r w:rsidR="00A0391D">
        <w:rPr>
          <w:rFonts w:eastAsia="Arial"/>
          <w:sz w:val="22"/>
        </w:rPr>
        <w:t xml:space="preserve">The interference and noise of the backhaul link would incur the synchronization error.  The drifting of the local oscillators at the Donor gNB and the </w:t>
      </w:r>
      <w:r w:rsidR="00DA4FB8">
        <w:rPr>
          <w:rFonts w:eastAsia="Arial"/>
          <w:sz w:val="22"/>
        </w:rPr>
        <w:t xml:space="preserve">IAB-node would double the synchronization error when the IAB-node would use the DL signals from the Donor gNB as the reference time.   The synchronization error would propagate when the network access timing at the IAB-node is derived from the backhaul timing, which is synchronized with the Donor gNB.  The OTA techniques would not achieve the accurate node synchronization for the IAB system.  </w:t>
      </w:r>
      <w:r w:rsidRPr="00163FCD">
        <w:rPr>
          <w:rFonts w:eastAsia="Arial"/>
          <w:sz w:val="22"/>
        </w:rPr>
        <w:t xml:space="preserve">To achieve </w:t>
      </w:r>
      <w:r w:rsidR="00DA4FB8">
        <w:rPr>
          <w:rFonts w:eastAsia="Arial"/>
          <w:sz w:val="22"/>
        </w:rPr>
        <w:t xml:space="preserve">desired accuracy of nodes </w:t>
      </w:r>
      <w:r w:rsidRPr="00163FCD">
        <w:rPr>
          <w:rFonts w:eastAsia="Arial"/>
          <w:sz w:val="22"/>
        </w:rPr>
        <w:t>synchronization across</w:t>
      </w:r>
      <w:r w:rsidR="00DA4FB8">
        <w:rPr>
          <w:rFonts w:eastAsia="Arial"/>
          <w:sz w:val="22"/>
        </w:rPr>
        <w:t xml:space="preserve"> IAB nodes in the</w:t>
      </w:r>
      <w:r w:rsidRPr="00163FCD">
        <w:rPr>
          <w:rFonts w:eastAsia="Arial"/>
          <w:sz w:val="22"/>
        </w:rPr>
        <w:t xml:space="preserve"> clu</w:t>
      </w:r>
      <w:r w:rsidR="00DA4FB8">
        <w:rPr>
          <w:rFonts w:eastAsia="Arial"/>
          <w:sz w:val="22"/>
        </w:rPr>
        <w:t>sters, the IAB-donors should be synchronized with absolute reference resources, such as GPS/GNSS</w:t>
      </w:r>
      <w:r w:rsidRPr="00163FCD">
        <w:rPr>
          <w:rFonts w:eastAsia="Arial"/>
          <w:sz w:val="22"/>
        </w:rPr>
        <w:t xml:space="preserve">. </w:t>
      </w:r>
    </w:p>
    <w:p w:rsidR="00754A8F" w:rsidRPr="00193C16" w:rsidRDefault="00754A8F" w:rsidP="00754A8F">
      <w:pPr>
        <w:overflowPunct/>
        <w:autoSpaceDE/>
        <w:autoSpaceDN/>
        <w:adjustRightInd/>
        <w:spacing w:before="60" w:after="120"/>
        <w:jc w:val="both"/>
        <w:textAlignment w:val="auto"/>
        <w:rPr>
          <w:rFonts w:eastAsia="Arial"/>
        </w:rPr>
      </w:pPr>
    </w:p>
    <w:p w:rsidR="00996E3B" w:rsidRDefault="00996E3B" w:rsidP="00996E3B">
      <w:pPr>
        <w:rPr>
          <w:rFonts w:eastAsia="Arial"/>
          <w:b/>
          <w:sz w:val="22"/>
        </w:rPr>
      </w:pPr>
      <w:r w:rsidRPr="00BB0E2E">
        <w:rPr>
          <w:rFonts w:eastAsia="Arial"/>
          <w:b/>
          <w:sz w:val="22"/>
        </w:rPr>
        <w:t xml:space="preserve">Proposal </w:t>
      </w:r>
      <w:r w:rsidR="00E11B56">
        <w:rPr>
          <w:rFonts w:eastAsia="Arial"/>
          <w:b/>
          <w:sz w:val="22"/>
        </w:rPr>
        <w:t>7</w:t>
      </w:r>
      <w:r w:rsidRPr="00BB0E2E">
        <w:rPr>
          <w:rFonts w:eastAsia="Arial"/>
          <w:b/>
          <w:sz w:val="22"/>
        </w:rPr>
        <w:t xml:space="preserve">: </w:t>
      </w:r>
      <w:r w:rsidR="00DA4FB8" w:rsidRPr="00DA4FB8">
        <w:rPr>
          <w:rFonts w:eastAsia="Arial"/>
          <w:b/>
          <w:sz w:val="22"/>
        </w:rPr>
        <w:t xml:space="preserve">The OTA techniques would not achieve the accurate node synchronization for the IAB system.  To achieve desired accuracy of nodes synchronization across IAB nodes in the clusters, the IAB-donors should be synchronized with absolute reference resources, such as GPS/GNSS. </w:t>
      </w:r>
    </w:p>
    <w:p w:rsidR="001A1571" w:rsidRDefault="001A1571" w:rsidP="00AC36ED">
      <w:pPr>
        <w:rPr>
          <w:rFonts w:eastAsia="Arial"/>
          <w:sz w:val="22"/>
        </w:rPr>
      </w:pPr>
    </w:p>
    <w:p w:rsidR="000035F2" w:rsidRPr="000035F2" w:rsidRDefault="000035F2" w:rsidP="000035F2">
      <w:pPr>
        <w:rPr>
          <w:rFonts w:eastAsia="SimSun"/>
          <w:lang w:eastAsia="zh-CN"/>
        </w:rPr>
      </w:pPr>
    </w:p>
    <w:p w:rsidR="00877A98" w:rsidRDefault="00877A98" w:rsidP="00FA4CFC">
      <w:pPr>
        <w:pStyle w:val="1"/>
        <w:rPr>
          <w:lang w:eastAsia="zh-CN"/>
        </w:rPr>
      </w:pPr>
      <w:r w:rsidRPr="00FA4CFC">
        <w:rPr>
          <w:lang w:eastAsia="zh-CN"/>
        </w:rPr>
        <w:t>Conclusion</w:t>
      </w:r>
    </w:p>
    <w:p w:rsidR="00B31DA8" w:rsidRPr="00B31DA8" w:rsidRDefault="00B31DA8" w:rsidP="00B31DA8">
      <w:pPr>
        <w:pStyle w:val="ad"/>
        <w:rPr>
          <w:rFonts w:eastAsia="Arial"/>
          <w:sz w:val="22"/>
        </w:rPr>
      </w:pPr>
      <w:r>
        <w:rPr>
          <w:rFonts w:eastAsia="Arial"/>
          <w:b w:val="0"/>
          <w:sz w:val="22"/>
        </w:rPr>
        <w:t>In this co</w:t>
      </w:r>
      <w:r w:rsidR="00BB531F">
        <w:rPr>
          <w:rFonts w:eastAsia="Arial"/>
          <w:b w:val="0"/>
          <w:sz w:val="22"/>
        </w:rPr>
        <w:t xml:space="preserve">ntribution, we provide some analysis on the system design aspect in support </w:t>
      </w:r>
      <w:r>
        <w:rPr>
          <w:rFonts w:eastAsia="Arial"/>
          <w:b w:val="0"/>
          <w:sz w:val="22"/>
        </w:rPr>
        <w:t>IAB</w:t>
      </w:r>
      <w:r w:rsidR="00BB531F">
        <w:rPr>
          <w:rFonts w:eastAsia="Arial"/>
          <w:b w:val="0"/>
          <w:sz w:val="22"/>
        </w:rPr>
        <w:t xml:space="preserve"> in NR with the following</w:t>
      </w:r>
      <w:r w:rsidRPr="00B31DA8">
        <w:rPr>
          <w:rFonts w:eastAsia="Arial"/>
          <w:b w:val="0"/>
          <w:sz w:val="22"/>
        </w:rPr>
        <w:t xml:space="preserve"> proposals:</w:t>
      </w:r>
    </w:p>
    <w:p w:rsidR="00E11B56" w:rsidRDefault="00E11B56" w:rsidP="0080498F">
      <w:pPr>
        <w:pStyle w:val="afc"/>
        <w:numPr>
          <w:ilvl w:val="0"/>
          <w:numId w:val="33"/>
        </w:numPr>
        <w:ind w:firstLineChars="0"/>
        <w:rPr>
          <w:bCs/>
        </w:rPr>
      </w:pPr>
    </w:p>
    <w:p w:rsidR="00E11B56" w:rsidRPr="00E11B56" w:rsidRDefault="00E11B56" w:rsidP="00E11B56">
      <w:pPr>
        <w:pStyle w:val="afc"/>
        <w:numPr>
          <w:ilvl w:val="0"/>
          <w:numId w:val="33"/>
        </w:numPr>
        <w:ind w:firstLineChars="0"/>
        <w:rPr>
          <w:bCs/>
        </w:rPr>
      </w:pPr>
      <w:r w:rsidRPr="00E11B56">
        <w:rPr>
          <w:bCs/>
        </w:rPr>
        <w:lastRenderedPageBreak/>
        <w:t xml:space="preserve">Proposal 1:  Multiple NZP and ZP CSI-RS resources could be configured as the reference for backhaul link measurements of any candidate backhaul link and interference mitigation of non-measure backhaul links respectively to allow IAB node to measure multiple candidate backhaul links in the same time.  </w:t>
      </w:r>
    </w:p>
    <w:p w:rsidR="00E11B56" w:rsidRPr="00E11B56" w:rsidRDefault="00E11B56" w:rsidP="00E11B56">
      <w:pPr>
        <w:pStyle w:val="afc"/>
        <w:numPr>
          <w:ilvl w:val="0"/>
          <w:numId w:val="33"/>
        </w:numPr>
        <w:overflowPunct/>
        <w:autoSpaceDE/>
        <w:autoSpaceDN/>
        <w:adjustRightInd/>
        <w:spacing w:before="60" w:after="120"/>
        <w:ind w:firstLineChars="0"/>
        <w:jc w:val="both"/>
        <w:textAlignment w:val="auto"/>
        <w:rPr>
          <w:rFonts w:eastAsia="Malgun Gothic"/>
          <w:lang w:eastAsia="ko-KR"/>
        </w:rPr>
      </w:pPr>
      <w:r w:rsidRPr="00E11B56">
        <w:rPr>
          <w:rFonts w:eastAsia="Malgun Gothic"/>
          <w:lang w:eastAsia="ko-KR"/>
        </w:rPr>
        <w:t xml:space="preserve">Proposal 2:   The CSI-RS resource configured for beam management or CSI measurements from the donor gNB should be reused for RRM measurements of IAB backhaul links as well as RLM measurements.  </w:t>
      </w:r>
    </w:p>
    <w:p w:rsidR="00E11B56" w:rsidRPr="00E11B56" w:rsidRDefault="00E11B56" w:rsidP="00E11B56">
      <w:pPr>
        <w:pStyle w:val="afc"/>
        <w:numPr>
          <w:ilvl w:val="0"/>
          <w:numId w:val="33"/>
        </w:numPr>
        <w:ind w:firstLineChars="0"/>
        <w:rPr>
          <w:bCs/>
        </w:rPr>
      </w:pPr>
      <w:r w:rsidRPr="00E11B56">
        <w:rPr>
          <w:bCs/>
        </w:rPr>
        <w:t xml:space="preserve">Proposal 3:  The IP connectivity associated with target backhaul link needs to be tested and confirmed autonomously when the backhaul link switches from current serving donor gNB to the target donor gNB before the backhaul data could be carried by the new backhaul link.     </w:t>
      </w:r>
    </w:p>
    <w:p w:rsidR="00E11B56" w:rsidRPr="00E11B56" w:rsidRDefault="00E11B56" w:rsidP="00E11B56">
      <w:pPr>
        <w:pStyle w:val="afc"/>
        <w:numPr>
          <w:ilvl w:val="0"/>
          <w:numId w:val="33"/>
        </w:numPr>
        <w:ind w:firstLineChars="0"/>
        <w:rPr>
          <w:bCs/>
        </w:rPr>
      </w:pPr>
      <w:r w:rsidRPr="00E11B56">
        <w:rPr>
          <w:bCs/>
        </w:rPr>
        <w:t xml:space="preserve">Proposal 4:  The interference mitigation for IAB could be achieved by implementation with the DL/UL slot configuration at the IAB node is semi-static or dynamic assigned based on the DL/UL slot configuration of the donor gNB without any standard specification </w:t>
      </w:r>
    </w:p>
    <w:p w:rsidR="00E11B56" w:rsidRPr="00E11B56" w:rsidRDefault="00E11B56" w:rsidP="00E11B56">
      <w:pPr>
        <w:pStyle w:val="afc"/>
        <w:numPr>
          <w:ilvl w:val="0"/>
          <w:numId w:val="33"/>
        </w:numPr>
        <w:overflowPunct/>
        <w:autoSpaceDE/>
        <w:autoSpaceDN/>
        <w:adjustRightInd/>
        <w:spacing w:before="60" w:after="120"/>
        <w:ind w:firstLineChars="0"/>
        <w:jc w:val="both"/>
        <w:textAlignment w:val="auto"/>
      </w:pPr>
      <w:r w:rsidRPr="00E11B56">
        <w:t xml:space="preserve">Proposal 5:  The slot boundary of the IAB node and the donor gNB should be aligned with integer multi-symbol shifts.   The number of the OFDM symbol shifted at the slot boundary of the IAB node should be configured to be the same for all IAB nodes in the cluster.   </w:t>
      </w:r>
    </w:p>
    <w:p w:rsidR="0080498F" w:rsidRPr="0080498F" w:rsidRDefault="00E11B56" w:rsidP="0080498F">
      <w:pPr>
        <w:pStyle w:val="afc"/>
        <w:numPr>
          <w:ilvl w:val="0"/>
          <w:numId w:val="33"/>
        </w:numPr>
        <w:ind w:firstLineChars="0"/>
        <w:rPr>
          <w:bCs/>
        </w:rPr>
      </w:pPr>
      <w:r>
        <w:rPr>
          <w:bCs/>
        </w:rPr>
        <w:t>Proposal 6</w:t>
      </w:r>
      <w:r w:rsidR="0080498F" w:rsidRPr="0080498F">
        <w:rPr>
          <w:bCs/>
        </w:rPr>
        <w:t xml:space="preserve">:  The IAB study should refine to the case that the IAB-node and the Donor gNB have different cell IDs.  </w:t>
      </w:r>
    </w:p>
    <w:p w:rsidR="00BB531F" w:rsidRPr="00BB531F" w:rsidRDefault="00E11B56" w:rsidP="00BB531F">
      <w:pPr>
        <w:pStyle w:val="afc"/>
        <w:numPr>
          <w:ilvl w:val="0"/>
          <w:numId w:val="33"/>
        </w:numPr>
        <w:ind w:firstLineChars="0"/>
        <w:rPr>
          <w:rFonts w:eastAsia="Arial"/>
          <w:sz w:val="22"/>
        </w:rPr>
      </w:pPr>
      <w:r>
        <w:rPr>
          <w:rFonts w:eastAsia="Arial"/>
          <w:sz w:val="22"/>
        </w:rPr>
        <w:t>Proposal 7</w:t>
      </w:r>
      <w:r w:rsidR="00BB531F" w:rsidRPr="00BB531F">
        <w:rPr>
          <w:rFonts w:eastAsia="Arial"/>
          <w:sz w:val="22"/>
        </w:rPr>
        <w:t xml:space="preserve">: The OTA techniques would not achieve the accurate node synchronization for the IAB system.  To achieve desired accuracy of nodes synchronization across IAB nodes in the clusters, the IAB-donors should be synchronized with absolute reference resources, such as GPS/GNSS. </w:t>
      </w:r>
    </w:p>
    <w:p w:rsidR="00B31DA8" w:rsidRDefault="00B31DA8" w:rsidP="00DA3BDF">
      <w:pPr>
        <w:rPr>
          <w:rFonts w:eastAsia="Arial"/>
          <w:b/>
          <w:sz w:val="22"/>
        </w:rPr>
      </w:pPr>
    </w:p>
    <w:p w:rsidR="00996E3B" w:rsidRPr="00996E3B" w:rsidRDefault="00996E3B" w:rsidP="00996E3B">
      <w:pPr>
        <w:rPr>
          <w:rFonts w:eastAsia="Arial"/>
          <w:b/>
          <w:sz w:val="22"/>
        </w:rPr>
      </w:pPr>
    </w:p>
    <w:p w:rsidR="00A314B3" w:rsidRPr="006E13D1" w:rsidRDefault="00A314B3" w:rsidP="00DE0CBB">
      <w:pPr>
        <w:pStyle w:val="1"/>
      </w:pPr>
      <w:r w:rsidRPr="006E13D1">
        <w:t>References</w:t>
      </w:r>
    </w:p>
    <w:p w:rsidR="005014A7" w:rsidRPr="005014A7" w:rsidRDefault="00EC097B" w:rsidP="005014A7">
      <w:pPr>
        <w:pStyle w:val="2222"/>
        <w:numPr>
          <w:ilvl w:val="0"/>
          <w:numId w:val="31"/>
        </w:numPr>
        <w:spacing w:after="120" w:line="288" w:lineRule="auto"/>
        <w:ind w:firstLineChars="0"/>
        <w:jc w:val="left"/>
      </w:pPr>
      <w:bookmarkStart w:id="7" w:name="_Ref513630011"/>
      <w:r>
        <w:rPr>
          <w:rFonts w:cs="Times New Roman"/>
          <w:lang w:eastAsia="ko-KR"/>
        </w:rPr>
        <w:t>RP-172290</w:t>
      </w:r>
      <w:r w:rsidR="005014A7" w:rsidRPr="005014A7">
        <w:rPr>
          <w:rFonts w:cs="Times New Roman"/>
          <w:lang w:eastAsia="ko-KR"/>
        </w:rPr>
        <w:t xml:space="preserve">, </w:t>
      </w:r>
      <w:r w:rsidR="005014A7">
        <w:rPr>
          <w:rFonts w:cs="Times New Roman"/>
          <w:lang w:eastAsia="ko-KR"/>
        </w:rPr>
        <w:t>“</w:t>
      </w:r>
      <w:r w:rsidR="005014A7" w:rsidRPr="005014A7">
        <w:rPr>
          <w:rFonts w:cs="Times New Roman"/>
          <w:lang w:eastAsia="ko-KR"/>
        </w:rPr>
        <w:t>Study on Integrated Access and Backhaul for NR</w:t>
      </w:r>
      <w:r w:rsidR="005014A7">
        <w:rPr>
          <w:rFonts w:cs="Times New Roman"/>
          <w:lang w:eastAsia="ko-KR"/>
        </w:rPr>
        <w:t>”</w:t>
      </w:r>
      <w:r w:rsidR="005014A7" w:rsidRPr="005014A7">
        <w:rPr>
          <w:rFonts w:cs="Times New Roman"/>
          <w:lang w:eastAsia="ko-KR"/>
        </w:rPr>
        <w:t>, AT&amp;T, Qualcomm, Samsung.</w:t>
      </w:r>
      <w:bookmarkEnd w:id="7"/>
    </w:p>
    <w:p w:rsidR="00B03E88" w:rsidRPr="00B03E88" w:rsidRDefault="00B03E88" w:rsidP="00B03E88">
      <w:pPr>
        <w:pStyle w:val="afc"/>
        <w:numPr>
          <w:ilvl w:val="0"/>
          <w:numId w:val="31"/>
        </w:numPr>
        <w:ind w:firstLineChars="0"/>
      </w:pPr>
      <w:r w:rsidRPr="00B03E88">
        <w:t>R1-1806649</w:t>
      </w:r>
      <w:r>
        <w:t>, “</w:t>
      </w:r>
      <w:r w:rsidRPr="00B03E88">
        <w:t>Discussions on NR IAB support</w:t>
      </w:r>
      <w:r>
        <w:t xml:space="preserve">”, </w:t>
      </w:r>
      <w:r w:rsidRPr="00B03E88">
        <w:t>LG Electronics</w:t>
      </w:r>
    </w:p>
    <w:p w:rsidR="00B03E88" w:rsidRPr="00B03E88" w:rsidRDefault="00B03E88" w:rsidP="00B03E88">
      <w:pPr>
        <w:pStyle w:val="afc"/>
        <w:numPr>
          <w:ilvl w:val="0"/>
          <w:numId w:val="31"/>
        </w:numPr>
        <w:ind w:firstLineChars="0"/>
      </w:pPr>
      <w:r w:rsidRPr="00B03E88">
        <w:t>R1-1806660</w:t>
      </w:r>
      <w:r>
        <w:t>, “</w:t>
      </w:r>
      <w:r w:rsidRPr="00B03E88">
        <w:t>NR support for IAB</w:t>
      </w:r>
      <w:r>
        <w:t xml:space="preserve">”, </w:t>
      </w:r>
      <w:r w:rsidRPr="00B03E88">
        <w:tab/>
        <w:t>Nokia, Nokia Shanghai Bell</w:t>
      </w:r>
    </w:p>
    <w:p w:rsidR="00B03E88" w:rsidRPr="00B03E88" w:rsidRDefault="00B03E88" w:rsidP="00B03E88">
      <w:pPr>
        <w:pStyle w:val="afc"/>
        <w:numPr>
          <w:ilvl w:val="0"/>
          <w:numId w:val="31"/>
        </w:numPr>
        <w:ind w:firstLineChars="0"/>
      </w:pPr>
      <w:r w:rsidRPr="00B03E88">
        <w:t>R1-1806970</w:t>
      </w:r>
      <w:r>
        <w:t>, “</w:t>
      </w:r>
      <w:r w:rsidRPr="00B03E88">
        <w:t>Details of physical layer enhancements for IAB</w:t>
      </w:r>
      <w:r>
        <w:t xml:space="preserve">”, </w:t>
      </w:r>
      <w:r w:rsidRPr="00B03E88">
        <w:t>AT&amp;T</w:t>
      </w:r>
    </w:p>
    <w:p w:rsidR="00B03E88" w:rsidRPr="00B03E88" w:rsidRDefault="00B03E88" w:rsidP="00B03E88">
      <w:pPr>
        <w:pStyle w:val="afc"/>
        <w:numPr>
          <w:ilvl w:val="0"/>
          <w:numId w:val="31"/>
        </w:numPr>
        <w:ind w:firstLineChars="0"/>
      </w:pPr>
      <w:r w:rsidRPr="00B03E88">
        <w:t>R1-1807393</w:t>
      </w:r>
      <w:r>
        <w:t>, “</w:t>
      </w:r>
      <w:r w:rsidRPr="00B03E88">
        <w:t>Enhancements to support NR backhaul links</w:t>
      </w:r>
      <w:r>
        <w:t xml:space="preserve">”, </w:t>
      </w:r>
      <w:r w:rsidRPr="00B03E88">
        <w:tab/>
        <w:t>Qualcomm Incorporated</w:t>
      </w:r>
    </w:p>
    <w:p w:rsidR="00B03E88" w:rsidRDefault="00B03E88" w:rsidP="00B03E88">
      <w:pPr>
        <w:pStyle w:val="afc"/>
        <w:numPr>
          <w:ilvl w:val="0"/>
          <w:numId w:val="31"/>
        </w:numPr>
        <w:ind w:firstLineChars="0"/>
      </w:pPr>
      <w:r w:rsidRPr="00B03E88">
        <w:t>R1-1807703</w:t>
      </w:r>
      <w:r>
        <w:t>, “</w:t>
      </w:r>
      <w:r w:rsidRPr="00B03E88">
        <w:t>Summary of 7.7.1 Enhancements to support NR backhaul links</w:t>
      </w:r>
      <w:r>
        <w:t xml:space="preserve">”, </w:t>
      </w:r>
      <w:r w:rsidRPr="00B03E88">
        <w:t>AT&amp;T</w:t>
      </w:r>
    </w:p>
    <w:p w:rsidR="00725FCB" w:rsidRDefault="00725FCB" w:rsidP="00725FCB">
      <w:pPr>
        <w:pStyle w:val="afc"/>
        <w:numPr>
          <w:ilvl w:val="0"/>
          <w:numId w:val="31"/>
        </w:numPr>
        <w:ind w:firstLineChars="0"/>
      </w:pPr>
      <w:r w:rsidRPr="00725FCB">
        <w:t>R1-1806321</w:t>
      </w:r>
      <w:r>
        <w:t xml:space="preserve">, “NR Physical Layer design for IAB backhaul link”, </w:t>
      </w:r>
      <w:r>
        <w:tab/>
        <w:t>CATT</w:t>
      </w:r>
    </w:p>
    <w:p w:rsidR="008E6D2C" w:rsidRPr="008E6D2C" w:rsidRDefault="008E6D2C" w:rsidP="008E6D2C">
      <w:pPr>
        <w:pStyle w:val="afc"/>
        <w:numPr>
          <w:ilvl w:val="0"/>
          <w:numId w:val="31"/>
        </w:numPr>
        <w:ind w:firstLineChars="0"/>
      </w:pPr>
      <w:bookmarkStart w:id="8" w:name="_Ref519458753"/>
      <w:r w:rsidRPr="008E6D2C">
        <w:rPr>
          <w:rFonts w:eastAsia="Arial"/>
        </w:rPr>
        <w:t>R3-184313, “</w:t>
      </w:r>
      <w:r w:rsidRPr="008E6D2C">
        <w:t>IAB setup procedures”, Huawei</w:t>
      </w:r>
      <w:bookmarkEnd w:id="8"/>
    </w:p>
    <w:p w:rsidR="00725FCB" w:rsidRPr="00B03E88" w:rsidRDefault="00725FCB" w:rsidP="00E11B56">
      <w:pPr>
        <w:pStyle w:val="afc"/>
        <w:ind w:left="644" w:firstLineChars="0" w:firstLine="0"/>
      </w:pPr>
    </w:p>
    <w:p w:rsidR="005014A7" w:rsidRDefault="005014A7" w:rsidP="005014A7">
      <w:pPr>
        <w:pStyle w:val="2222"/>
        <w:spacing w:after="120" w:line="288" w:lineRule="auto"/>
        <w:ind w:firstLineChars="0"/>
        <w:jc w:val="left"/>
        <w:rPr>
          <w:rFonts w:cs="Times New Roman"/>
          <w:lang w:eastAsia="ko-KR"/>
        </w:rPr>
      </w:pPr>
    </w:p>
    <w:p w:rsidR="00402AF5" w:rsidRPr="00EE38E0" w:rsidRDefault="00402AF5" w:rsidP="005014A7">
      <w:pPr>
        <w:ind w:left="357"/>
      </w:pPr>
    </w:p>
    <w:p w:rsidR="00A314B3" w:rsidRPr="00581C51" w:rsidRDefault="00A314B3" w:rsidP="00A314B3">
      <w:pPr>
        <w:pStyle w:val="Doc-text2"/>
        <w:rPr>
          <w:rFonts w:ascii="Times New Roman" w:eastAsia="Times New Roman" w:hAnsi="Times New Roman"/>
          <w:sz w:val="22"/>
          <w:szCs w:val="20"/>
          <w:lang w:eastAsia="en-US"/>
        </w:rPr>
      </w:pPr>
    </w:p>
    <w:p w:rsidR="00586905" w:rsidRPr="00581C51" w:rsidRDefault="00586905" w:rsidP="00586905">
      <w:pPr>
        <w:pStyle w:val="Doc-text2"/>
        <w:rPr>
          <w:rFonts w:ascii="Times New Roman" w:eastAsia="Times New Roman" w:hAnsi="Times New Roman"/>
          <w:sz w:val="22"/>
          <w:szCs w:val="20"/>
          <w:lang w:eastAsia="en-US"/>
        </w:rPr>
      </w:pPr>
    </w:p>
    <w:sectPr w:rsidR="00586905" w:rsidRPr="00581C51" w:rsidSect="00D06FAD">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61C" w:rsidRDefault="0093461C">
      <w:r>
        <w:separator/>
      </w:r>
    </w:p>
  </w:endnote>
  <w:endnote w:type="continuationSeparator" w:id="0">
    <w:p w:rsidR="0093461C" w:rsidRDefault="009346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Tahoma"/>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A8" w:rsidRDefault="00F712A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61C" w:rsidRDefault="0093461C">
      <w:r>
        <w:separator/>
      </w:r>
    </w:p>
  </w:footnote>
  <w:footnote w:type="continuationSeparator" w:id="0">
    <w:p w:rsidR="0093461C" w:rsidRDefault="009346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4A6B74"/>
    <w:multiLevelType w:val="hybridMultilevel"/>
    <w:tmpl w:val="F92C927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
    <w:nsid w:val="0406030E"/>
    <w:multiLevelType w:val="hybridMultilevel"/>
    <w:tmpl w:val="B148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1F2A96"/>
    <w:multiLevelType w:val="hybridMultilevel"/>
    <w:tmpl w:val="EE362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C60A02"/>
    <w:multiLevelType w:val="hybridMultilevel"/>
    <w:tmpl w:val="3BC081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nsid w:val="0AF03C44"/>
    <w:multiLevelType w:val="hybridMultilevel"/>
    <w:tmpl w:val="7CFAF830"/>
    <w:lvl w:ilvl="0" w:tplc="910CF456">
      <w:start w:val="1"/>
      <w:numFmt w:val="decimal"/>
      <w:lvlText w:val="[%1]"/>
      <w:lvlJc w:val="left"/>
      <w:pPr>
        <w:ind w:left="644"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0CB06E49"/>
    <w:multiLevelType w:val="hybridMultilevel"/>
    <w:tmpl w:val="7982F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0BC3232"/>
    <w:multiLevelType w:val="hybridMultilevel"/>
    <w:tmpl w:val="ED600116"/>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8">
    <w:nsid w:val="10D43EE3"/>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nsid w:val="1B250038"/>
    <w:multiLevelType w:val="hybridMultilevel"/>
    <w:tmpl w:val="44F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CB1F24"/>
    <w:multiLevelType w:val="hybridMultilevel"/>
    <w:tmpl w:val="9E0A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E34A5E"/>
    <w:multiLevelType w:val="hybridMultilevel"/>
    <w:tmpl w:val="C534D4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77C4094"/>
    <w:multiLevelType w:val="hybridMultilevel"/>
    <w:tmpl w:val="7AEAC8C2"/>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BF42F4"/>
    <w:multiLevelType w:val="hybridMultilevel"/>
    <w:tmpl w:val="7F987C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38FF5B05"/>
    <w:multiLevelType w:val="hybridMultilevel"/>
    <w:tmpl w:val="24B0B924"/>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B852EEE"/>
    <w:multiLevelType w:val="hybridMultilevel"/>
    <w:tmpl w:val="7C52BCA6"/>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F41A8D"/>
    <w:multiLevelType w:val="hybridMultilevel"/>
    <w:tmpl w:val="A44EB9D0"/>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45F333C6"/>
    <w:multiLevelType w:val="hybridMultilevel"/>
    <w:tmpl w:val="C708FE20"/>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5">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156153E"/>
    <w:multiLevelType w:val="hybridMultilevel"/>
    <w:tmpl w:val="35A6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306DBB"/>
    <w:multiLevelType w:val="hybridMultilevel"/>
    <w:tmpl w:val="D8700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EB6D5A"/>
    <w:multiLevelType w:val="hybridMultilevel"/>
    <w:tmpl w:val="A63CE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D14E25"/>
    <w:multiLevelType w:val="hybridMultilevel"/>
    <w:tmpl w:val="4B1A94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5C4E64F0"/>
    <w:multiLevelType w:val="hybridMultilevel"/>
    <w:tmpl w:val="26A8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D82982"/>
    <w:multiLevelType w:val="hybridMultilevel"/>
    <w:tmpl w:val="3B022E0A"/>
    <w:lvl w:ilvl="0" w:tplc="04090017">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34">
    <w:nsid w:val="61430757"/>
    <w:multiLevelType w:val="hybridMultilevel"/>
    <w:tmpl w:val="DAAA3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7568A5"/>
    <w:multiLevelType w:val="hybridMultilevel"/>
    <w:tmpl w:val="169A6720"/>
    <w:lvl w:ilvl="0" w:tplc="56B27FA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1F0E3D"/>
    <w:multiLevelType w:val="hybridMultilevel"/>
    <w:tmpl w:val="DC926E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22"/>
  </w:num>
  <w:num w:numId="4">
    <w:abstractNumId w:val="16"/>
  </w:num>
  <w:num w:numId="5">
    <w:abstractNumId w:val="38"/>
  </w:num>
  <w:num w:numId="6">
    <w:abstractNumId w:val="6"/>
  </w:num>
  <w:num w:numId="7">
    <w:abstractNumId w:val="2"/>
  </w:num>
  <w:num w:numId="8">
    <w:abstractNumId w:val="30"/>
  </w:num>
  <w:num w:numId="9">
    <w:abstractNumId w:val="4"/>
  </w:num>
  <w:num w:numId="10">
    <w:abstractNumId w:val="24"/>
  </w:num>
  <w:num w:numId="11">
    <w:abstractNumId w:val="7"/>
  </w:num>
  <w:num w:numId="12">
    <w:abstractNumId w:val="33"/>
  </w:num>
  <w:num w:numId="13">
    <w:abstractNumId w:val="1"/>
  </w:num>
  <w:num w:numId="14">
    <w:abstractNumId w:val="28"/>
  </w:num>
  <w:num w:numId="15">
    <w:abstractNumId w:val="14"/>
  </w:num>
  <w:num w:numId="16">
    <w:abstractNumId w:val="32"/>
  </w:num>
  <w:num w:numId="17">
    <w:abstractNumId w:val="39"/>
  </w:num>
  <w:num w:numId="18">
    <w:abstractNumId w:val="31"/>
  </w:num>
  <w:num w:numId="19">
    <w:abstractNumId w:val="21"/>
  </w:num>
  <w:num w:numId="20">
    <w:abstractNumId w:val="19"/>
  </w:num>
  <w:num w:numId="21">
    <w:abstractNumId w:val="17"/>
  </w:num>
  <w:num w:numId="22">
    <w:abstractNumId w:val="12"/>
  </w:num>
  <w:num w:numId="23">
    <w:abstractNumId w:val="3"/>
  </w:num>
  <w:num w:numId="24">
    <w:abstractNumId w:val="37"/>
  </w:num>
  <w:num w:numId="25">
    <w:abstractNumId w:val="15"/>
  </w:num>
  <w:num w:numId="26">
    <w:abstractNumId w:val="34"/>
  </w:num>
  <w:num w:numId="27">
    <w:abstractNumId w:val="36"/>
  </w:num>
  <w:num w:numId="28">
    <w:abstractNumId w:val="35"/>
  </w:num>
  <w:num w:numId="29">
    <w:abstractNumId w:val="25"/>
  </w:num>
  <w:num w:numId="30">
    <w:abstractNumId w:val="9"/>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9"/>
  </w:num>
  <w:num w:numId="34">
    <w:abstractNumId w:val="26"/>
  </w:num>
  <w:num w:numId="35">
    <w:abstractNumId w:val="10"/>
  </w:num>
  <w:num w:numId="36">
    <w:abstractNumId w:val="0"/>
  </w:num>
  <w:num w:numId="37">
    <w:abstractNumId w:val="8"/>
  </w:num>
  <w:num w:numId="38">
    <w:abstractNumId w:val="27"/>
  </w:num>
  <w:num w:numId="39">
    <w:abstractNumId w:val="13"/>
  </w:num>
  <w:num w:numId="40">
    <w:abstractNumId w:val="40"/>
  </w:num>
  <w:num w:numId="41">
    <w:abstractNumId w:val="18"/>
  </w:num>
  <w:num w:numId="42">
    <w:abstractNumId w:val="2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3B1"/>
    <w:rsid w:val="00000594"/>
    <w:rsid w:val="000006F4"/>
    <w:rsid w:val="0000093A"/>
    <w:rsid w:val="000011D5"/>
    <w:rsid w:val="00001AF0"/>
    <w:rsid w:val="00001D23"/>
    <w:rsid w:val="00002583"/>
    <w:rsid w:val="000035F2"/>
    <w:rsid w:val="000046FC"/>
    <w:rsid w:val="000052A1"/>
    <w:rsid w:val="000059BB"/>
    <w:rsid w:val="000059D0"/>
    <w:rsid w:val="00005B55"/>
    <w:rsid w:val="00005DD7"/>
    <w:rsid w:val="000063C5"/>
    <w:rsid w:val="00006528"/>
    <w:rsid w:val="000065D1"/>
    <w:rsid w:val="00006F04"/>
    <w:rsid w:val="00006FAD"/>
    <w:rsid w:val="00007109"/>
    <w:rsid w:val="0001097A"/>
    <w:rsid w:val="000116BD"/>
    <w:rsid w:val="0001201B"/>
    <w:rsid w:val="00012217"/>
    <w:rsid w:val="000122DC"/>
    <w:rsid w:val="000125D8"/>
    <w:rsid w:val="000136DF"/>
    <w:rsid w:val="00013738"/>
    <w:rsid w:val="00014509"/>
    <w:rsid w:val="00014963"/>
    <w:rsid w:val="00014C47"/>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F28"/>
    <w:rsid w:val="0003564D"/>
    <w:rsid w:val="000360A3"/>
    <w:rsid w:val="000368DA"/>
    <w:rsid w:val="00040278"/>
    <w:rsid w:val="000402AB"/>
    <w:rsid w:val="00041AF5"/>
    <w:rsid w:val="00042536"/>
    <w:rsid w:val="000425B2"/>
    <w:rsid w:val="0004270D"/>
    <w:rsid w:val="00043DCE"/>
    <w:rsid w:val="00044123"/>
    <w:rsid w:val="000442CA"/>
    <w:rsid w:val="00044985"/>
    <w:rsid w:val="000456A2"/>
    <w:rsid w:val="00045776"/>
    <w:rsid w:val="00045975"/>
    <w:rsid w:val="00045B4A"/>
    <w:rsid w:val="00045E91"/>
    <w:rsid w:val="00045EEA"/>
    <w:rsid w:val="00045FD7"/>
    <w:rsid w:val="0004622E"/>
    <w:rsid w:val="0004636F"/>
    <w:rsid w:val="00046804"/>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5E7"/>
    <w:rsid w:val="00060836"/>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562"/>
    <w:rsid w:val="00067985"/>
    <w:rsid w:val="00067DAE"/>
    <w:rsid w:val="000707F9"/>
    <w:rsid w:val="00070E01"/>
    <w:rsid w:val="000714C2"/>
    <w:rsid w:val="00071777"/>
    <w:rsid w:val="00071C85"/>
    <w:rsid w:val="00071DB0"/>
    <w:rsid w:val="00071F47"/>
    <w:rsid w:val="000723F1"/>
    <w:rsid w:val="000723FE"/>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70F0"/>
    <w:rsid w:val="0008727B"/>
    <w:rsid w:val="0008742B"/>
    <w:rsid w:val="00087BA0"/>
    <w:rsid w:val="00087D25"/>
    <w:rsid w:val="0009044A"/>
    <w:rsid w:val="00091044"/>
    <w:rsid w:val="00092249"/>
    <w:rsid w:val="000923CF"/>
    <w:rsid w:val="00092432"/>
    <w:rsid w:val="0009322C"/>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819"/>
    <w:rsid w:val="000A7B11"/>
    <w:rsid w:val="000A7C07"/>
    <w:rsid w:val="000A7F00"/>
    <w:rsid w:val="000B0854"/>
    <w:rsid w:val="000B0987"/>
    <w:rsid w:val="000B0BA7"/>
    <w:rsid w:val="000B1569"/>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43C"/>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E7EE5"/>
    <w:rsid w:val="000F031A"/>
    <w:rsid w:val="000F0576"/>
    <w:rsid w:val="000F0F33"/>
    <w:rsid w:val="000F1DAE"/>
    <w:rsid w:val="000F271E"/>
    <w:rsid w:val="000F283B"/>
    <w:rsid w:val="000F328C"/>
    <w:rsid w:val="000F379D"/>
    <w:rsid w:val="000F42D3"/>
    <w:rsid w:val="000F4599"/>
    <w:rsid w:val="000F5392"/>
    <w:rsid w:val="000F5488"/>
    <w:rsid w:val="000F5530"/>
    <w:rsid w:val="000F5AA3"/>
    <w:rsid w:val="000F68F1"/>
    <w:rsid w:val="000F690C"/>
    <w:rsid w:val="000F6A99"/>
    <w:rsid w:val="000F70E0"/>
    <w:rsid w:val="000F7382"/>
    <w:rsid w:val="000F7560"/>
    <w:rsid w:val="000F7716"/>
    <w:rsid w:val="000F7D2E"/>
    <w:rsid w:val="000F7F87"/>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4764"/>
    <w:rsid w:val="001157D6"/>
    <w:rsid w:val="00115CC0"/>
    <w:rsid w:val="00116080"/>
    <w:rsid w:val="00116877"/>
    <w:rsid w:val="00116BF9"/>
    <w:rsid w:val="0011770C"/>
    <w:rsid w:val="00117964"/>
    <w:rsid w:val="00120141"/>
    <w:rsid w:val="00120BBB"/>
    <w:rsid w:val="00120F17"/>
    <w:rsid w:val="0012120A"/>
    <w:rsid w:val="00122A38"/>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1F11"/>
    <w:rsid w:val="00132B1C"/>
    <w:rsid w:val="0013329A"/>
    <w:rsid w:val="001333E5"/>
    <w:rsid w:val="00133EB9"/>
    <w:rsid w:val="0013512A"/>
    <w:rsid w:val="00135141"/>
    <w:rsid w:val="00135467"/>
    <w:rsid w:val="00135536"/>
    <w:rsid w:val="00135796"/>
    <w:rsid w:val="00135898"/>
    <w:rsid w:val="00135C70"/>
    <w:rsid w:val="00135DAD"/>
    <w:rsid w:val="00136650"/>
    <w:rsid w:val="00136B9F"/>
    <w:rsid w:val="00136ECA"/>
    <w:rsid w:val="0014048A"/>
    <w:rsid w:val="00140CB7"/>
    <w:rsid w:val="00140F21"/>
    <w:rsid w:val="00141EF8"/>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19A2"/>
    <w:rsid w:val="00152BC7"/>
    <w:rsid w:val="00154011"/>
    <w:rsid w:val="00154F4D"/>
    <w:rsid w:val="0015524F"/>
    <w:rsid w:val="001562AB"/>
    <w:rsid w:val="00156B36"/>
    <w:rsid w:val="00156DBF"/>
    <w:rsid w:val="00156EEF"/>
    <w:rsid w:val="00156FA1"/>
    <w:rsid w:val="00156FDD"/>
    <w:rsid w:val="0015714C"/>
    <w:rsid w:val="00157C9C"/>
    <w:rsid w:val="0016089E"/>
    <w:rsid w:val="00160997"/>
    <w:rsid w:val="00160B74"/>
    <w:rsid w:val="001625A7"/>
    <w:rsid w:val="00162C66"/>
    <w:rsid w:val="001637D4"/>
    <w:rsid w:val="00163D7E"/>
    <w:rsid w:val="00163E02"/>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A7B"/>
    <w:rsid w:val="00176AED"/>
    <w:rsid w:val="00177C30"/>
    <w:rsid w:val="00180258"/>
    <w:rsid w:val="001804BE"/>
    <w:rsid w:val="00180945"/>
    <w:rsid w:val="00181048"/>
    <w:rsid w:val="0018126A"/>
    <w:rsid w:val="001815BA"/>
    <w:rsid w:val="001815F1"/>
    <w:rsid w:val="00181721"/>
    <w:rsid w:val="0018178B"/>
    <w:rsid w:val="00181AD5"/>
    <w:rsid w:val="001822D6"/>
    <w:rsid w:val="001824D1"/>
    <w:rsid w:val="00182628"/>
    <w:rsid w:val="00182D6C"/>
    <w:rsid w:val="00183012"/>
    <w:rsid w:val="0018314E"/>
    <w:rsid w:val="0018331F"/>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C16"/>
    <w:rsid w:val="00193DA7"/>
    <w:rsid w:val="00193ED4"/>
    <w:rsid w:val="00194A72"/>
    <w:rsid w:val="00195DCD"/>
    <w:rsid w:val="00195F48"/>
    <w:rsid w:val="00196CED"/>
    <w:rsid w:val="0019781D"/>
    <w:rsid w:val="00197F54"/>
    <w:rsid w:val="001A070B"/>
    <w:rsid w:val="001A08FF"/>
    <w:rsid w:val="001A094C"/>
    <w:rsid w:val="001A1378"/>
    <w:rsid w:val="001A1571"/>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1AF7"/>
    <w:rsid w:val="001B2B27"/>
    <w:rsid w:val="001B316E"/>
    <w:rsid w:val="001B32FB"/>
    <w:rsid w:val="001B3BC3"/>
    <w:rsid w:val="001B4001"/>
    <w:rsid w:val="001B4A01"/>
    <w:rsid w:val="001B4F8C"/>
    <w:rsid w:val="001B51D2"/>
    <w:rsid w:val="001B57DA"/>
    <w:rsid w:val="001B5A06"/>
    <w:rsid w:val="001B659B"/>
    <w:rsid w:val="001B6B6A"/>
    <w:rsid w:val="001B7033"/>
    <w:rsid w:val="001B708E"/>
    <w:rsid w:val="001B72DC"/>
    <w:rsid w:val="001C111E"/>
    <w:rsid w:val="001C1B20"/>
    <w:rsid w:val="001C1B58"/>
    <w:rsid w:val="001C1BB3"/>
    <w:rsid w:val="001C20B1"/>
    <w:rsid w:val="001C23E8"/>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AD9"/>
    <w:rsid w:val="001C6BE2"/>
    <w:rsid w:val="001C766F"/>
    <w:rsid w:val="001C7A02"/>
    <w:rsid w:val="001D0A03"/>
    <w:rsid w:val="001D1BDA"/>
    <w:rsid w:val="001D1C24"/>
    <w:rsid w:val="001D1F10"/>
    <w:rsid w:val="001D200C"/>
    <w:rsid w:val="001D2676"/>
    <w:rsid w:val="001D272D"/>
    <w:rsid w:val="001D297B"/>
    <w:rsid w:val="001D3743"/>
    <w:rsid w:val="001D42F7"/>
    <w:rsid w:val="001D4547"/>
    <w:rsid w:val="001D4717"/>
    <w:rsid w:val="001D4AC5"/>
    <w:rsid w:val="001D4F42"/>
    <w:rsid w:val="001D509A"/>
    <w:rsid w:val="001D5249"/>
    <w:rsid w:val="001D53AF"/>
    <w:rsid w:val="001D54EC"/>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9BA"/>
    <w:rsid w:val="001F0F50"/>
    <w:rsid w:val="001F1DEF"/>
    <w:rsid w:val="001F1E6B"/>
    <w:rsid w:val="001F2087"/>
    <w:rsid w:val="001F27B2"/>
    <w:rsid w:val="001F2ABA"/>
    <w:rsid w:val="001F30BA"/>
    <w:rsid w:val="001F341A"/>
    <w:rsid w:val="001F37EA"/>
    <w:rsid w:val="001F3909"/>
    <w:rsid w:val="001F39C3"/>
    <w:rsid w:val="001F4468"/>
    <w:rsid w:val="001F49B6"/>
    <w:rsid w:val="001F5512"/>
    <w:rsid w:val="001F5890"/>
    <w:rsid w:val="001F6042"/>
    <w:rsid w:val="001F626C"/>
    <w:rsid w:val="001F6F34"/>
    <w:rsid w:val="001F71E4"/>
    <w:rsid w:val="001F7A64"/>
    <w:rsid w:val="001F7C4D"/>
    <w:rsid w:val="002004D3"/>
    <w:rsid w:val="002006E3"/>
    <w:rsid w:val="00201225"/>
    <w:rsid w:val="002024BA"/>
    <w:rsid w:val="00202596"/>
    <w:rsid w:val="002025F3"/>
    <w:rsid w:val="00203326"/>
    <w:rsid w:val="0020442C"/>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57ED"/>
    <w:rsid w:val="002368E0"/>
    <w:rsid w:val="00236BCA"/>
    <w:rsid w:val="00237447"/>
    <w:rsid w:val="00237506"/>
    <w:rsid w:val="0024120C"/>
    <w:rsid w:val="002415BD"/>
    <w:rsid w:val="00241962"/>
    <w:rsid w:val="00241996"/>
    <w:rsid w:val="002419B6"/>
    <w:rsid w:val="002426C7"/>
    <w:rsid w:val="00242D37"/>
    <w:rsid w:val="00242E3C"/>
    <w:rsid w:val="00243028"/>
    <w:rsid w:val="00243513"/>
    <w:rsid w:val="002436BD"/>
    <w:rsid w:val="0024385E"/>
    <w:rsid w:val="00243F07"/>
    <w:rsid w:val="00244041"/>
    <w:rsid w:val="00244C32"/>
    <w:rsid w:val="00245132"/>
    <w:rsid w:val="002454B7"/>
    <w:rsid w:val="00245814"/>
    <w:rsid w:val="002458BE"/>
    <w:rsid w:val="00245CCE"/>
    <w:rsid w:val="00246595"/>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4CBF"/>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490"/>
    <w:rsid w:val="002735D2"/>
    <w:rsid w:val="002738E6"/>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FD6"/>
    <w:rsid w:val="0028762A"/>
    <w:rsid w:val="00287B44"/>
    <w:rsid w:val="00291354"/>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9FD"/>
    <w:rsid w:val="002B5B27"/>
    <w:rsid w:val="002B6BCD"/>
    <w:rsid w:val="002B7B57"/>
    <w:rsid w:val="002C01E3"/>
    <w:rsid w:val="002C070D"/>
    <w:rsid w:val="002C0B67"/>
    <w:rsid w:val="002C11E0"/>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598"/>
    <w:rsid w:val="002D586C"/>
    <w:rsid w:val="002D5E3C"/>
    <w:rsid w:val="002D65C7"/>
    <w:rsid w:val="002D6BDE"/>
    <w:rsid w:val="002D7685"/>
    <w:rsid w:val="002E0205"/>
    <w:rsid w:val="002E0753"/>
    <w:rsid w:val="002E092D"/>
    <w:rsid w:val="002E1055"/>
    <w:rsid w:val="002E12A9"/>
    <w:rsid w:val="002E132E"/>
    <w:rsid w:val="002E17D8"/>
    <w:rsid w:val="002E3275"/>
    <w:rsid w:val="002E32E6"/>
    <w:rsid w:val="002E3C54"/>
    <w:rsid w:val="002E4453"/>
    <w:rsid w:val="002E5A74"/>
    <w:rsid w:val="002E5FFC"/>
    <w:rsid w:val="002E675E"/>
    <w:rsid w:val="002E6824"/>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5E9C"/>
    <w:rsid w:val="002F60AA"/>
    <w:rsid w:val="002F6321"/>
    <w:rsid w:val="002F64DA"/>
    <w:rsid w:val="002F666C"/>
    <w:rsid w:val="002F6F3F"/>
    <w:rsid w:val="002F7041"/>
    <w:rsid w:val="002F7317"/>
    <w:rsid w:val="002F744E"/>
    <w:rsid w:val="002F776D"/>
    <w:rsid w:val="002F7FD1"/>
    <w:rsid w:val="00300734"/>
    <w:rsid w:val="003007E8"/>
    <w:rsid w:val="00300ACD"/>
    <w:rsid w:val="00300FBA"/>
    <w:rsid w:val="003010EB"/>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780"/>
    <w:rsid w:val="003300C3"/>
    <w:rsid w:val="00331251"/>
    <w:rsid w:val="0033133D"/>
    <w:rsid w:val="0033148B"/>
    <w:rsid w:val="00331B0D"/>
    <w:rsid w:val="00332A3B"/>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AF1"/>
    <w:rsid w:val="00343E3C"/>
    <w:rsid w:val="003442B0"/>
    <w:rsid w:val="003443F3"/>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82C"/>
    <w:rsid w:val="00360CF3"/>
    <w:rsid w:val="003610D3"/>
    <w:rsid w:val="00361BA2"/>
    <w:rsid w:val="00363418"/>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6C2"/>
    <w:rsid w:val="00374A4E"/>
    <w:rsid w:val="00374A6C"/>
    <w:rsid w:val="003751FA"/>
    <w:rsid w:val="003753A5"/>
    <w:rsid w:val="003753F2"/>
    <w:rsid w:val="00375734"/>
    <w:rsid w:val="003758FB"/>
    <w:rsid w:val="003765D2"/>
    <w:rsid w:val="00376966"/>
    <w:rsid w:val="00376D4B"/>
    <w:rsid w:val="00376ED2"/>
    <w:rsid w:val="00377118"/>
    <w:rsid w:val="00377271"/>
    <w:rsid w:val="003778C9"/>
    <w:rsid w:val="0038060E"/>
    <w:rsid w:val="003806B5"/>
    <w:rsid w:val="00380C80"/>
    <w:rsid w:val="0038207E"/>
    <w:rsid w:val="00382108"/>
    <w:rsid w:val="00382335"/>
    <w:rsid w:val="00382784"/>
    <w:rsid w:val="00382D5F"/>
    <w:rsid w:val="003833AC"/>
    <w:rsid w:val="00384028"/>
    <w:rsid w:val="00384B99"/>
    <w:rsid w:val="0038575C"/>
    <w:rsid w:val="003865CA"/>
    <w:rsid w:val="00386E67"/>
    <w:rsid w:val="003871C1"/>
    <w:rsid w:val="00387427"/>
    <w:rsid w:val="00387A30"/>
    <w:rsid w:val="00387B0B"/>
    <w:rsid w:val="003901C2"/>
    <w:rsid w:val="003903D3"/>
    <w:rsid w:val="00390858"/>
    <w:rsid w:val="00390E9F"/>
    <w:rsid w:val="00390EAA"/>
    <w:rsid w:val="003913A3"/>
    <w:rsid w:val="003915C1"/>
    <w:rsid w:val="00391622"/>
    <w:rsid w:val="0039167C"/>
    <w:rsid w:val="00392DF8"/>
    <w:rsid w:val="00392F11"/>
    <w:rsid w:val="00393614"/>
    <w:rsid w:val="003936F2"/>
    <w:rsid w:val="00393873"/>
    <w:rsid w:val="003945D6"/>
    <w:rsid w:val="00394D01"/>
    <w:rsid w:val="003950DD"/>
    <w:rsid w:val="0039607A"/>
    <w:rsid w:val="00396825"/>
    <w:rsid w:val="00396D51"/>
    <w:rsid w:val="00396E15"/>
    <w:rsid w:val="0039777A"/>
    <w:rsid w:val="003A0043"/>
    <w:rsid w:val="003A189F"/>
    <w:rsid w:val="003A1B19"/>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19B"/>
    <w:rsid w:val="003B5239"/>
    <w:rsid w:val="003B57FF"/>
    <w:rsid w:val="003B5923"/>
    <w:rsid w:val="003B5E84"/>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D014F"/>
    <w:rsid w:val="003D072B"/>
    <w:rsid w:val="003D0774"/>
    <w:rsid w:val="003D1AD3"/>
    <w:rsid w:val="003D1D98"/>
    <w:rsid w:val="003D1D9F"/>
    <w:rsid w:val="003D22F7"/>
    <w:rsid w:val="003D2308"/>
    <w:rsid w:val="003D25F7"/>
    <w:rsid w:val="003D29B9"/>
    <w:rsid w:val="003D2EB7"/>
    <w:rsid w:val="003D31AD"/>
    <w:rsid w:val="003D356D"/>
    <w:rsid w:val="003D37D2"/>
    <w:rsid w:val="003D37FB"/>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B4"/>
    <w:rsid w:val="0040356F"/>
    <w:rsid w:val="004035EE"/>
    <w:rsid w:val="0040416A"/>
    <w:rsid w:val="00404634"/>
    <w:rsid w:val="004050E9"/>
    <w:rsid w:val="00405597"/>
    <w:rsid w:val="00405B3C"/>
    <w:rsid w:val="00405F8D"/>
    <w:rsid w:val="004061CC"/>
    <w:rsid w:val="00406346"/>
    <w:rsid w:val="004065E5"/>
    <w:rsid w:val="00406D37"/>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248"/>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1AF"/>
    <w:rsid w:val="00423618"/>
    <w:rsid w:val="004236F1"/>
    <w:rsid w:val="004239DF"/>
    <w:rsid w:val="00424182"/>
    <w:rsid w:val="004246C0"/>
    <w:rsid w:val="00424896"/>
    <w:rsid w:val="00425AD1"/>
    <w:rsid w:val="00426073"/>
    <w:rsid w:val="004266D5"/>
    <w:rsid w:val="00426E37"/>
    <w:rsid w:val="004272E5"/>
    <w:rsid w:val="004278C3"/>
    <w:rsid w:val="00427B1A"/>
    <w:rsid w:val="00427BD4"/>
    <w:rsid w:val="00427F5F"/>
    <w:rsid w:val="00430324"/>
    <w:rsid w:val="00430E84"/>
    <w:rsid w:val="00430EB7"/>
    <w:rsid w:val="0043156E"/>
    <w:rsid w:val="0043188C"/>
    <w:rsid w:val="00431BEF"/>
    <w:rsid w:val="00432035"/>
    <w:rsid w:val="00432212"/>
    <w:rsid w:val="00432A6B"/>
    <w:rsid w:val="00432C4A"/>
    <w:rsid w:val="00432C65"/>
    <w:rsid w:val="00433E48"/>
    <w:rsid w:val="004344E3"/>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7C"/>
    <w:rsid w:val="00465AE3"/>
    <w:rsid w:val="00466012"/>
    <w:rsid w:val="00466307"/>
    <w:rsid w:val="0046639A"/>
    <w:rsid w:val="004668D4"/>
    <w:rsid w:val="004674B2"/>
    <w:rsid w:val="004676E5"/>
    <w:rsid w:val="004677D1"/>
    <w:rsid w:val="00467BE4"/>
    <w:rsid w:val="00470DBC"/>
    <w:rsid w:val="004710C4"/>
    <w:rsid w:val="00471190"/>
    <w:rsid w:val="004711EF"/>
    <w:rsid w:val="00472760"/>
    <w:rsid w:val="00472B63"/>
    <w:rsid w:val="00473001"/>
    <w:rsid w:val="0047422B"/>
    <w:rsid w:val="00474557"/>
    <w:rsid w:val="0047518D"/>
    <w:rsid w:val="00475E71"/>
    <w:rsid w:val="0047656F"/>
    <w:rsid w:val="004766CD"/>
    <w:rsid w:val="004766D7"/>
    <w:rsid w:val="00476EE7"/>
    <w:rsid w:val="0047795F"/>
    <w:rsid w:val="00477ECA"/>
    <w:rsid w:val="00480212"/>
    <w:rsid w:val="00480A4B"/>
    <w:rsid w:val="004819D9"/>
    <w:rsid w:val="004828E7"/>
    <w:rsid w:val="00482DFB"/>
    <w:rsid w:val="004835A3"/>
    <w:rsid w:val="00483CDC"/>
    <w:rsid w:val="00484050"/>
    <w:rsid w:val="004854CF"/>
    <w:rsid w:val="00485C7E"/>
    <w:rsid w:val="00485CF6"/>
    <w:rsid w:val="00485F39"/>
    <w:rsid w:val="004865B0"/>
    <w:rsid w:val="00486982"/>
    <w:rsid w:val="00487531"/>
    <w:rsid w:val="004879E3"/>
    <w:rsid w:val="00487D57"/>
    <w:rsid w:val="00490029"/>
    <w:rsid w:val="00490145"/>
    <w:rsid w:val="00490287"/>
    <w:rsid w:val="00490BAC"/>
    <w:rsid w:val="00490D83"/>
    <w:rsid w:val="00490DF8"/>
    <w:rsid w:val="00490FAB"/>
    <w:rsid w:val="004916A9"/>
    <w:rsid w:val="0049171C"/>
    <w:rsid w:val="00491D95"/>
    <w:rsid w:val="00491E7C"/>
    <w:rsid w:val="0049200B"/>
    <w:rsid w:val="00492404"/>
    <w:rsid w:val="00492B50"/>
    <w:rsid w:val="00492F50"/>
    <w:rsid w:val="00494FA2"/>
    <w:rsid w:val="00495329"/>
    <w:rsid w:val="00495749"/>
    <w:rsid w:val="00495A00"/>
    <w:rsid w:val="00495D6C"/>
    <w:rsid w:val="00495E61"/>
    <w:rsid w:val="00496152"/>
    <w:rsid w:val="004969E7"/>
    <w:rsid w:val="00497092"/>
    <w:rsid w:val="00497481"/>
    <w:rsid w:val="004975A3"/>
    <w:rsid w:val="00497877"/>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2C7D"/>
    <w:rsid w:val="004D3656"/>
    <w:rsid w:val="004D3ADB"/>
    <w:rsid w:val="004D3C23"/>
    <w:rsid w:val="004D3CB7"/>
    <w:rsid w:val="004D3E54"/>
    <w:rsid w:val="004D4538"/>
    <w:rsid w:val="004D4A9F"/>
    <w:rsid w:val="004D4FB6"/>
    <w:rsid w:val="004D572F"/>
    <w:rsid w:val="004D593B"/>
    <w:rsid w:val="004D5DB5"/>
    <w:rsid w:val="004D62DA"/>
    <w:rsid w:val="004D6643"/>
    <w:rsid w:val="004D71A3"/>
    <w:rsid w:val="004D78ED"/>
    <w:rsid w:val="004E0228"/>
    <w:rsid w:val="004E05D3"/>
    <w:rsid w:val="004E0E63"/>
    <w:rsid w:val="004E17F8"/>
    <w:rsid w:val="004E1B13"/>
    <w:rsid w:val="004E23A7"/>
    <w:rsid w:val="004E2554"/>
    <w:rsid w:val="004E25AF"/>
    <w:rsid w:val="004E28CB"/>
    <w:rsid w:val="004E3BCF"/>
    <w:rsid w:val="004E4194"/>
    <w:rsid w:val="004E5418"/>
    <w:rsid w:val="004E5A5E"/>
    <w:rsid w:val="004E5EAD"/>
    <w:rsid w:val="004E679C"/>
    <w:rsid w:val="004E6B02"/>
    <w:rsid w:val="004E7376"/>
    <w:rsid w:val="004E76F5"/>
    <w:rsid w:val="004F084D"/>
    <w:rsid w:val="004F0C43"/>
    <w:rsid w:val="004F16E2"/>
    <w:rsid w:val="004F21EE"/>
    <w:rsid w:val="004F2614"/>
    <w:rsid w:val="004F3BBF"/>
    <w:rsid w:val="004F4340"/>
    <w:rsid w:val="004F4E02"/>
    <w:rsid w:val="004F52E1"/>
    <w:rsid w:val="004F6196"/>
    <w:rsid w:val="004F6373"/>
    <w:rsid w:val="004F6E37"/>
    <w:rsid w:val="004F7C61"/>
    <w:rsid w:val="0050091B"/>
    <w:rsid w:val="00500A0F"/>
    <w:rsid w:val="0050100B"/>
    <w:rsid w:val="0050101A"/>
    <w:rsid w:val="0050111E"/>
    <w:rsid w:val="005014A7"/>
    <w:rsid w:val="00501A5B"/>
    <w:rsid w:val="00502279"/>
    <w:rsid w:val="0050247B"/>
    <w:rsid w:val="00502710"/>
    <w:rsid w:val="00502C94"/>
    <w:rsid w:val="00503307"/>
    <w:rsid w:val="00503D5E"/>
    <w:rsid w:val="00503E57"/>
    <w:rsid w:val="00503ECC"/>
    <w:rsid w:val="00504F54"/>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4F42"/>
    <w:rsid w:val="00525BF0"/>
    <w:rsid w:val="00525C2F"/>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47C"/>
    <w:rsid w:val="00542999"/>
    <w:rsid w:val="00543B0B"/>
    <w:rsid w:val="00543C48"/>
    <w:rsid w:val="00543C5D"/>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28"/>
    <w:rsid w:val="00564D95"/>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6AE7"/>
    <w:rsid w:val="0058033C"/>
    <w:rsid w:val="0058071E"/>
    <w:rsid w:val="00581A68"/>
    <w:rsid w:val="00581B00"/>
    <w:rsid w:val="00581C51"/>
    <w:rsid w:val="0058229F"/>
    <w:rsid w:val="00582FDB"/>
    <w:rsid w:val="005836AF"/>
    <w:rsid w:val="0058454D"/>
    <w:rsid w:val="005851D2"/>
    <w:rsid w:val="0058528B"/>
    <w:rsid w:val="0058532E"/>
    <w:rsid w:val="005864FA"/>
    <w:rsid w:val="00586774"/>
    <w:rsid w:val="00586905"/>
    <w:rsid w:val="00586956"/>
    <w:rsid w:val="00586F2B"/>
    <w:rsid w:val="00587942"/>
    <w:rsid w:val="00590164"/>
    <w:rsid w:val="005902F9"/>
    <w:rsid w:val="00590652"/>
    <w:rsid w:val="00590995"/>
    <w:rsid w:val="00591628"/>
    <w:rsid w:val="00591AD4"/>
    <w:rsid w:val="005929A6"/>
    <w:rsid w:val="00593956"/>
    <w:rsid w:val="005956C5"/>
    <w:rsid w:val="005964D3"/>
    <w:rsid w:val="005966C7"/>
    <w:rsid w:val="00596976"/>
    <w:rsid w:val="00596F7D"/>
    <w:rsid w:val="00597401"/>
    <w:rsid w:val="00597649"/>
    <w:rsid w:val="00597FF7"/>
    <w:rsid w:val="005A186A"/>
    <w:rsid w:val="005A19A2"/>
    <w:rsid w:val="005A19BB"/>
    <w:rsid w:val="005A1AF7"/>
    <w:rsid w:val="005A1B4F"/>
    <w:rsid w:val="005A2280"/>
    <w:rsid w:val="005A2454"/>
    <w:rsid w:val="005A2A9B"/>
    <w:rsid w:val="005A340D"/>
    <w:rsid w:val="005A3826"/>
    <w:rsid w:val="005A3CCD"/>
    <w:rsid w:val="005A456D"/>
    <w:rsid w:val="005A64F5"/>
    <w:rsid w:val="005A69F8"/>
    <w:rsid w:val="005A6AD0"/>
    <w:rsid w:val="005A6C32"/>
    <w:rsid w:val="005A74E8"/>
    <w:rsid w:val="005B05C2"/>
    <w:rsid w:val="005B0C52"/>
    <w:rsid w:val="005B15C2"/>
    <w:rsid w:val="005B2390"/>
    <w:rsid w:val="005B25EB"/>
    <w:rsid w:val="005B3056"/>
    <w:rsid w:val="005B3177"/>
    <w:rsid w:val="005B36AB"/>
    <w:rsid w:val="005B3D5F"/>
    <w:rsid w:val="005B4166"/>
    <w:rsid w:val="005B49ED"/>
    <w:rsid w:val="005B4D0B"/>
    <w:rsid w:val="005B622A"/>
    <w:rsid w:val="005B6C6F"/>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699"/>
    <w:rsid w:val="005C7F18"/>
    <w:rsid w:val="005D01DA"/>
    <w:rsid w:val="005D0696"/>
    <w:rsid w:val="005D0775"/>
    <w:rsid w:val="005D124A"/>
    <w:rsid w:val="005D1CF3"/>
    <w:rsid w:val="005D20E7"/>
    <w:rsid w:val="005D24F1"/>
    <w:rsid w:val="005D2B9B"/>
    <w:rsid w:val="005D3126"/>
    <w:rsid w:val="005D3CE0"/>
    <w:rsid w:val="005D45E6"/>
    <w:rsid w:val="005D4799"/>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1F7D"/>
    <w:rsid w:val="006034A7"/>
    <w:rsid w:val="00603D13"/>
    <w:rsid w:val="00604275"/>
    <w:rsid w:val="0060451A"/>
    <w:rsid w:val="00604847"/>
    <w:rsid w:val="00604D12"/>
    <w:rsid w:val="00604D2A"/>
    <w:rsid w:val="006061DD"/>
    <w:rsid w:val="00606DD8"/>
    <w:rsid w:val="00607C77"/>
    <w:rsid w:val="00607D22"/>
    <w:rsid w:val="00607D29"/>
    <w:rsid w:val="00610135"/>
    <w:rsid w:val="00610445"/>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0DDD"/>
    <w:rsid w:val="0062124E"/>
    <w:rsid w:val="00621420"/>
    <w:rsid w:val="00621C92"/>
    <w:rsid w:val="006229C8"/>
    <w:rsid w:val="0062322C"/>
    <w:rsid w:val="00624600"/>
    <w:rsid w:val="00624F42"/>
    <w:rsid w:val="006253DC"/>
    <w:rsid w:val="00625450"/>
    <w:rsid w:val="0062545C"/>
    <w:rsid w:val="006255C3"/>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354"/>
    <w:rsid w:val="00651465"/>
    <w:rsid w:val="006516F0"/>
    <w:rsid w:val="00651A12"/>
    <w:rsid w:val="00652257"/>
    <w:rsid w:val="00653279"/>
    <w:rsid w:val="00653606"/>
    <w:rsid w:val="0065457E"/>
    <w:rsid w:val="00654584"/>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12E6"/>
    <w:rsid w:val="00673145"/>
    <w:rsid w:val="00673291"/>
    <w:rsid w:val="00673EC0"/>
    <w:rsid w:val="006740EF"/>
    <w:rsid w:val="0067485A"/>
    <w:rsid w:val="00674AA0"/>
    <w:rsid w:val="00674BA3"/>
    <w:rsid w:val="006755C2"/>
    <w:rsid w:val="00675884"/>
    <w:rsid w:val="00675C27"/>
    <w:rsid w:val="00675F92"/>
    <w:rsid w:val="0067674D"/>
    <w:rsid w:val="006768A6"/>
    <w:rsid w:val="0067691F"/>
    <w:rsid w:val="00677056"/>
    <w:rsid w:val="006772B6"/>
    <w:rsid w:val="00677343"/>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12"/>
    <w:rsid w:val="0068535B"/>
    <w:rsid w:val="00685CF7"/>
    <w:rsid w:val="00685D13"/>
    <w:rsid w:val="00686188"/>
    <w:rsid w:val="006876C7"/>
    <w:rsid w:val="00687843"/>
    <w:rsid w:val="006878F3"/>
    <w:rsid w:val="00687F74"/>
    <w:rsid w:val="00690875"/>
    <w:rsid w:val="00690B50"/>
    <w:rsid w:val="00690BA3"/>
    <w:rsid w:val="006910EB"/>
    <w:rsid w:val="0069121E"/>
    <w:rsid w:val="00691346"/>
    <w:rsid w:val="00692A9B"/>
    <w:rsid w:val="006930A3"/>
    <w:rsid w:val="006933C9"/>
    <w:rsid w:val="006933CE"/>
    <w:rsid w:val="00693495"/>
    <w:rsid w:val="00693582"/>
    <w:rsid w:val="006939F6"/>
    <w:rsid w:val="0069446A"/>
    <w:rsid w:val="00694498"/>
    <w:rsid w:val="00694D5D"/>
    <w:rsid w:val="00694E59"/>
    <w:rsid w:val="006955A5"/>
    <w:rsid w:val="00696552"/>
    <w:rsid w:val="006965E3"/>
    <w:rsid w:val="00696E69"/>
    <w:rsid w:val="00696F88"/>
    <w:rsid w:val="0069733E"/>
    <w:rsid w:val="0069766A"/>
    <w:rsid w:val="006977CC"/>
    <w:rsid w:val="006A0281"/>
    <w:rsid w:val="006A1039"/>
    <w:rsid w:val="006A1830"/>
    <w:rsid w:val="006A2332"/>
    <w:rsid w:val="006A3056"/>
    <w:rsid w:val="006A35BD"/>
    <w:rsid w:val="006A369C"/>
    <w:rsid w:val="006A3874"/>
    <w:rsid w:val="006A395C"/>
    <w:rsid w:val="006A3FD2"/>
    <w:rsid w:val="006A4095"/>
    <w:rsid w:val="006A46A7"/>
    <w:rsid w:val="006A4A4E"/>
    <w:rsid w:val="006A5591"/>
    <w:rsid w:val="006A5C86"/>
    <w:rsid w:val="006A60DA"/>
    <w:rsid w:val="006A61F2"/>
    <w:rsid w:val="006A6527"/>
    <w:rsid w:val="006A75D8"/>
    <w:rsid w:val="006A7836"/>
    <w:rsid w:val="006B06D5"/>
    <w:rsid w:val="006B1CCC"/>
    <w:rsid w:val="006B1FBC"/>
    <w:rsid w:val="006B264B"/>
    <w:rsid w:val="006B266D"/>
    <w:rsid w:val="006B2FF6"/>
    <w:rsid w:val="006B32CC"/>
    <w:rsid w:val="006B3348"/>
    <w:rsid w:val="006B35C6"/>
    <w:rsid w:val="006B3728"/>
    <w:rsid w:val="006B400B"/>
    <w:rsid w:val="006B4C45"/>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C7D76"/>
    <w:rsid w:val="006D004D"/>
    <w:rsid w:val="006D0DAB"/>
    <w:rsid w:val="006D135E"/>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E09A8"/>
    <w:rsid w:val="006E09E2"/>
    <w:rsid w:val="006E0A34"/>
    <w:rsid w:val="006E0CC1"/>
    <w:rsid w:val="006E0F17"/>
    <w:rsid w:val="006E159E"/>
    <w:rsid w:val="006E21A8"/>
    <w:rsid w:val="006E21B9"/>
    <w:rsid w:val="006E2265"/>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553"/>
    <w:rsid w:val="006F469B"/>
    <w:rsid w:val="006F48A3"/>
    <w:rsid w:val="006F5576"/>
    <w:rsid w:val="006F56B8"/>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9A9"/>
    <w:rsid w:val="007070F5"/>
    <w:rsid w:val="00707A3D"/>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C64"/>
    <w:rsid w:val="00715F29"/>
    <w:rsid w:val="00715F9F"/>
    <w:rsid w:val="0071664A"/>
    <w:rsid w:val="00716909"/>
    <w:rsid w:val="00716B79"/>
    <w:rsid w:val="00716E59"/>
    <w:rsid w:val="00716F01"/>
    <w:rsid w:val="00721FBA"/>
    <w:rsid w:val="0072216B"/>
    <w:rsid w:val="00722C89"/>
    <w:rsid w:val="00723240"/>
    <w:rsid w:val="00723743"/>
    <w:rsid w:val="0072428F"/>
    <w:rsid w:val="00724347"/>
    <w:rsid w:val="007245D5"/>
    <w:rsid w:val="007246E8"/>
    <w:rsid w:val="00724826"/>
    <w:rsid w:val="00724D7B"/>
    <w:rsid w:val="00725705"/>
    <w:rsid w:val="00725AD4"/>
    <w:rsid w:val="00725FCB"/>
    <w:rsid w:val="0072624D"/>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56EC"/>
    <w:rsid w:val="00746041"/>
    <w:rsid w:val="007469A3"/>
    <w:rsid w:val="00746FD1"/>
    <w:rsid w:val="00747CF8"/>
    <w:rsid w:val="0075063F"/>
    <w:rsid w:val="00750688"/>
    <w:rsid w:val="007506FC"/>
    <w:rsid w:val="007507DC"/>
    <w:rsid w:val="00750A1F"/>
    <w:rsid w:val="00750BE6"/>
    <w:rsid w:val="0075133B"/>
    <w:rsid w:val="00751DBC"/>
    <w:rsid w:val="00751FEE"/>
    <w:rsid w:val="00752609"/>
    <w:rsid w:val="00752990"/>
    <w:rsid w:val="00752B7C"/>
    <w:rsid w:val="007532A1"/>
    <w:rsid w:val="00754414"/>
    <w:rsid w:val="007545D4"/>
    <w:rsid w:val="00754A8F"/>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234"/>
    <w:rsid w:val="00765421"/>
    <w:rsid w:val="0076546D"/>
    <w:rsid w:val="00766479"/>
    <w:rsid w:val="00766483"/>
    <w:rsid w:val="0076656F"/>
    <w:rsid w:val="00766A2B"/>
    <w:rsid w:val="007670F0"/>
    <w:rsid w:val="00767A6C"/>
    <w:rsid w:val="007707D4"/>
    <w:rsid w:val="00770991"/>
    <w:rsid w:val="00770C60"/>
    <w:rsid w:val="00770E78"/>
    <w:rsid w:val="00771D69"/>
    <w:rsid w:val="007726A7"/>
    <w:rsid w:val="007726F1"/>
    <w:rsid w:val="0077302C"/>
    <w:rsid w:val="00773B75"/>
    <w:rsid w:val="00773B9E"/>
    <w:rsid w:val="007742C2"/>
    <w:rsid w:val="007743F6"/>
    <w:rsid w:val="00775C1B"/>
    <w:rsid w:val="00776FEC"/>
    <w:rsid w:val="0077744F"/>
    <w:rsid w:val="00777A30"/>
    <w:rsid w:val="00780611"/>
    <w:rsid w:val="007810AF"/>
    <w:rsid w:val="0078268D"/>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23FA"/>
    <w:rsid w:val="007B291C"/>
    <w:rsid w:val="007B34A4"/>
    <w:rsid w:val="007B3B0E"/>
    <w:rsid w:val="007B3E89"/>
    <w:rsid w:val="007B4571"/>
    <w:rsid w:val="007B528E"/>
    <w:rsid w:val="007B5701"/>
    <w:rsid w:val="007B5CA6"/>
    <w:rsid w:val="007B692F"/>
    <w:rsid w:val="007B74A3"/>
    <w:rsid w:val="007B75FE"/>
    <w:rsid w:val="007B7756"/>
    <w:rsid w:val="007B7F8A"/>
    <w:rsid w:val="007C06A8"/>
    <w:rsid w:val="007C0907"/>
    <w:rsid w:val="007C103D"/>
    <w:rsid w:val="007C1079"/>
    <w:rsid w:val="007C14EE"/>
    <w:rsid w:val="007C1537"/>
    <w:rsid w:val="007C1B7E"/>
    <w:rsid w:val="007C2D23"/>
    <w:rsid w:val="007C2F71"/>
    <w:rsid w:val="007C3E71"/>
    <w:rsid w:val="007C48A8"/>
    <w:rsid w:val="007C4900"/>
    <w:rsid w:val="007C4C29"/>
    <w:rsid w:val="007C4E9A"/>
    <w:rsid w:val="007C53D3"/>
    <w:rsid w:val="007C5C32"/>
    <w:rsid w:val="007C5CF0"/>
    <w:rsid w:val="007C5FFF"/>
    <w:rsid w:val="007C6145"/>
    <w:rsid w:val="007C61DB"/>
    <w:rsid w:val="007C6201"/>
    <w:rsid w:val="007C7447"/>
    <w:rsid w:val="007C7CCF"/>
    <w:rsid w:val="007C7CF6"/>
    <w:rsid w:val="007D011A"/>
    <w:rsid w:val="007D19AD"/>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2B6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C2D"/>
    <w:rsid w:val="008030A2"/>
    <w:rsid w:val="008038A1"/>
    <w:rsid w:val="0080498F"/>
    <w:rsid w:val="00804A2A"/>
    <w:rsid w:val="00804EC6"/>
    <w:rsid w:val="00805355"/>
    <w:rsid w:val="008057A5"/>
    <w:rsid w:val="00805B99"/>
    <w:rsid w:val="00805C26"/>
    <w:rsid w:val="00805EAF"/>
    <w:rsid w:val="00806376"/>
    <w:rsid w:val="008068AF"/>
    <w:rsid w:val="00806A55"/>
    <w:rsid w:val="008074C5"/>
    <w:rsid w:val="00807B39"/>
    <w:rsid w:val="00810015"/>
    <w:rsid w:val="00810362"/>
    <w:rsid w:val="00811546"/>
    <w:rsid w:val="00811BDE"/>
    <w:rsid w:val="00812818"/>
    <w:rsid w:val="008134ED"/>
    <w:rsid w:val="00813673"/>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68"/>
    <w:rsid w:val="008257F1"/>
    <w:rsid w:val="008258E0"/>
    <w:rsid w:val="00825B9E"/>
    <w:rsid w:val="008263F4"/>
    <w:rsid w:val="00826E1D"/>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881"/>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52E"/>
    <w:rsid w:val="008537A1"/>
    <w:rsid w:val="00853FFE"/>
    <w:rsid w:val="008547AE"/>
    <w:rsid w:val="008547F7"/>
    <w:rsid w:val="0085498E"/>
    <w:rsid w:val="00855690"/>
    <w:rsid w:val="00855F51"/>
    <w:rsid w:val="008567D3"/>
    <w:rsid w:val="00856D48"/>
    <w:rsid w:val="00857A1F"/>
    <w:rsid w:val="00857ABD"/>
    <w:rsid w:val="008603B1"/>
    <w:rsid w:val="00862B09"/>
    <w:rsid w:val="00862E0F"/>
    <w:rsid w:val="00862F56"/>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31D6"/>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7C3"/>
    <w:rsid w:val="00897C3C"/>
    <w:rsid w:val="008A1790"/>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AE7"/>
    <w:rsid w:val="008E3BCB"/>
    <w:rsid w:val="008E3F3C"/>
    <w:rsid w:val="008E40CC"/>
    <w:rsid w:val="008E5A0F"/>
    <w:rsid w:val="008E5D59"/>
    <w:rsid w:val="008E5DFE"/>
    <w:rsid w:val="008E6576"/>
    <w:rsid w:val="008E6D2C"/>
    <w:rsid w:val="008E6D5B"/>
    <w:rsid w:val="008E6D6C"/>
    <w:rsid w:val="008E6EF3"/>
    <w:rsid w:val="008E7919"/>
    <w:rsid w:val="008E7CF1"/>
    <w:rsid w:val="008F00AF"/>
    <w:rsid w:val="008F01CA"/>
    <w:rsid w:val="008F0490"/>
    <w:rsid w:val="008F118B"/>
    <w:rsid w:val="008F21B4"/>
    <w:rsid w:val="008F2C82"/>
    <w:rsid w:val="008F2F6B"/>
    <w:rsid w:val="008F2F81"/>
    <w:rsid w:val="008F322A"/>
    <w:rsid w:val="008F4131"/>
    <w:rsid w:val="008F42FF"/>
    <w:rsid w:val="008F4479"/>
    <w:rsid w:val="008F448A"/>
    <w:rsid w:val="008F48E8"/>
    <w:rsid w:val="008F498F"/>
    <w:rsid w:val="008F4C3C"/>
    <w:rsid w:val="008F4E65"/>
    <w:rsid w:val="008F53DC"/>
    <w:rsid w:val="008F5B3E"/>
    <w:rsid w:val="008F5EC8"/>
    <w:rsid w:val="008F63D5"/>
    <w:rsid w:val="008F650A"/>
    <w:rsid w:val="008F67B0"/>
    <w:rsid w:val="008F6959"/>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5AC7"/>
    <w:rsid w:val="009069C3"/>
    <w:rsid w:val="00906E43"/>
    <w:rsid w:val="0090779F"/>
    <w:rsid w:val="0091065D"/>
    <w:rsid w:val="009112E8"/>
    <w:rsid w:val="00911369"/>
    <w:rsid w:val="00911A11"/>
    <w:rsid w:val="00912326"/>
    <w:rsid w:val="00912372"/>
    <w:rsid w:val="0091369A"/>
    <w:rsid w:val="00913BC7"/>
    <w:rsid w:val="009141C3"/>
    <w:rsid w:val="009145CC"/>
    <w:rsid w:val="00914DC4"/>
    <w:rsid w:val="00915129"/>
    <w:rsid w:val="00915295"/>
    <w:rsid w:val="0091598F"/>
    <w:rsid w:val="0091656F"/>
    <w:rsid w:val="00916ED9"/>
    <w:rsid w:val="009170C9"/>
    <w:rsid w:val="0091764F"/>
    <w:rsid w:val="00917B86"/>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635A"/>
    <w:rsid w:val="00926A0C"/>
    <w:rsid w:val="009271B9"/>
    <w:rsid w:val="0092745D"/>
    <w:rsid w:val="00927627"/>
    <w:rsid w:val="0093032D"/>
    <w:rsid w:val="0093035B"/>
    <w:rsid w:val="0093046F"/>
    <w:rsid w:val="0093061F"/>
    <w:rsid w:val="00930A38"/>
    <w:rsid w:val="0093133D"/>
    <w:rsid w:val="0093145C"/>
    <w:rsid w:val="009317C3"/>
    <w:rsid w:val="0093394F"/>
    <w:rsid w:val="009339DF"/>
    <w:rsid w:val="00933A2D"/>
    <w:rsid w:val="00933DFB"/>
    <w:rsid w:val="00933E4A"/>
    <w:rsid w:val="0093461C"/>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5F2"/>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3E7B"/>
    <w:rsid w:val="00973F19"/>
    <w:rsid w:val="00974092"/>
    <w:rsid w:val="00974E2C"/>
    <w:rsid w:val="0097525C"/>
    <w:rsid w:val="009753EC"/>
    <w:rsid w:val="00976849"/>
    <w:rsid w:val="00977056"/>
    <w:rsid w:val="00977FD7"/>
    <w:rsid w:val="00980D9D"/>
    <w:rsid w:val="009816BB"/>
    <w:rsid w:val="00982190"/>
    <w:rsid w:val="009824C3"/>
    <w:rsid w:val="00982C85"/>
    <w:rsid w:val="009831C4"/>
    <w:rsid w:val="00983CB4"/>
    <w:rsid w:val="009845C3"/>
    <w:rsid w:val="009848B8"/>
    <w:rsid w:val="00985611"/>
    <w:rsid w:val="00985BC7"/>
    <w:rsid w:val="00985FFE"/>
    <w:rsid w:val="009860A7"/>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70B3"/>
    <w:rsid w:val="009A780E"/>
    <w:rsid w:val="009A78F4"/>
    <w:rsid w:val="009B097E"/>
    <w:rsid w:val="009B1168"/>
    <w:rsid w:val="009B16F2"/>
    <w:rsid w:val="009B1A96"/>
    <w:rsid w:val="009B1D12"/>
    <w:rsid w:val="009B1F32"/>
    <w:rsid w:val="009B20CE"/>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72B"/>
    <w:rsid w:val="009B7E0E"/>
    <w:rsid w:val="009B7E96"/>
    <w:rsid w:val="009C0082"/>
    <w:rsid w:val="009C125B"/>
    <w:rsid w:val="009C1362"/>
    <w:rsid w:val="009C13D4"/>
    <w:rsid w:val="009C23C5"/>
    <w:rsid w:val="009C2445"/>
    <w:rsid w:val="009C2A1B"/>
    <w:rsid w:val="009C313C"/>
    <w:rsid w:val="009C3492"/>
    <w:rsid w:val="009C3558"/>
    <w:rsid w:val="009C44A4"/>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272"/>
    <w:rsid w:val="009D2425"/>
    <w:rsid w:val="009D2961"/>
    <w:rsid w:val="009D35BD"/>
    <w:rsid w:val="009D35EC"/>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32C6"/>
    <w:rsid w:val="009E38D6"/>
    <w:rsid w:val="009E4103"/>
    <w:rsid w:val="009E4360"/>
    <w:rsid w:val="009E43A9"/>
    <w:rsid w:val="009E4618"/>
    <w:rsid w:val="009E4F63"/>
    <w:rsid w:val="009E6373"/>
    <w:rsid w:val="009E655F"/>
    <w:rsid w:val="009E6EB8"/>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57"/>
    <w:rsid w:val="00A017F2"/>
    <w:rsid w:val="00A023DA"/>
    <w:rsid w:val="00A02434"/>
    <w:rsid w:val="00A02C33"/>
    <w:rsid w:val="00A02FFB"/>
    <w:rsid w:val="00A03383"/>
    <w:rsid w:val="00A036F1"/>
    <w:rsid w:val="00A0391D"/>
    <w:rsid w:val="00A03A06"/>
    <w:rsid w:val="00A03E6C"/>
    <w:rsid w:val="00A041D3"/>
    <w:rsid w:val="00A04BDC"/>
    <w:rsid w:val="00A051E3"/>
    <w:rsid w:val="00A05753"/>
    <w:rsid w:val="00A05D48"/>
    <w:rsid w:val="00A06165"/>
    <w:rsid w:val="00A06276"/>
    <w:rsid w:val="00A07369"/>
    <w:rsid w:val="00A1011E"/>
    <w:rsid w:val="00A10A06"/>
    <w:rsid w:val="00A10F8F"/>
    <w:rsid w:val="00A11072"/>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10BE"/>
    <w:rsid w:val="00A215E8"/>
    <w:rsid w:val="00A217FC"/>
    <w:rsid w:val="00A2230C"/>
    <w:rsid w:val="00A22A97"/>
    <w:rsid w:val="00A235F9"/>
    <w:rsid w:val="00A23B27"/>
    <w:rsid w:val="00A2482D"/>
    <w:rsid w:val="00A24BB3"/>
    <w:rsid w:val="00A24C79"/>
    <w:rsid w:val="00A24F4F"/>
    <w:rsid w:val="00A250EF"/>
    <w:rsid w:val="00A2515E"/>
    <w:rsid w:val="00A2588A"/>
    <w:rsid w:val="00A25925"/>
    <w:rsid w:val="00A25F87"/>
    <w:rsid w:val="00A25F90"/>
    <w:rsid w:val="00A26164"/>
    <w:rsid w:val="00A2629A"/>
    <w:rsid w:val="00A2647A"/>
    <w:rsid w:val="00A273D4"/>
    <w:rsid w:val="00A314B3"/>
    <w:rsid w:val="00A31774"/>
    <w:rsid w:val="00A31D94"/>
    <w:rsid w:val="00A32C05"/>
    <w:rsid w:val="00A32ED9"/>
    <w:rsid w:val="00A3316F"/>
    <w:rsid w:val="00A333C2"/>
    <w:rsid w:val="00A33667"/>
    <w:rsid w:val="00A33FE8"/>
    <w:rsid w:val="00A34233"/>
    <w:rsid w:val="00A34AA6"/>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6092"/>
    <w:rsid w:val="00A662FB"/>
    <w:rsid w:val="00A66377"/>
    <w:rsid w:val="00A66594"/>
    <w:rsid w:val="00A66888"/>
    <w:rsid w:val="00A67B7C"/>
    <w:rsid w:val="00A70C69"/>
    <w:rsid w:val="00A70ED1"/>
    <w:rsid w:val="00A717CE"/>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275"/>
    <w:rsid w:val="00A8586E"/>
    <w:rsid w:val="00A85AD9"/>
    <w:rsid w:val="00A85D91"/>
    <w:rsid w:val="00A860B5"/>
    <w:rsid w:val="00A8667D"/>
    <w:rsid w:val="00A8681E"/>
    <w:rsid w:val="00A86C4D"/>
    <w:rsid w:val="00A874C5"/>
    <w:rsid w:val="00A87AF0"/>
    <w:rsid w:val="00A901AF"/>
    <w:rsid w:val="00A901F9"/>
    <w:rsid w:val="00A90569"/>
    <w:rsid w:val="00A9099E"/>
    <w:rsid w:val="00A909AB"/>
    <w:rsid w:val="00A91AF6"/>
    <w:rsid w:val="00A92264"/>
    <w:rsid w:val="00A923E1"/>
    <w:rsid w:val="00A92AAF"/>
    <w:rsid w:val="00A9304C"/>
    <w:rsid w:val="00A9357A"/>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D9"/>
    <w:rsid w:val="00AA62E6"/>
    <w:rsid w:val="00AA674B"/>
    <w:rsid w:val="00AA7CE3"/>
    <w:rsid w:val="00AA7F08"/>
    <w:rsid w:val="00AB0900"/>
    <w:rsid w:val="00AB0BEB"/>
    <w:rsid w:val="00AB0E12"/>
    <w:rsid w:val="00AB13B3"/>
    <w:rsid w:val="00AB1610"/>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D9D"/>
    <w:rsid w:val="00AC1E23"/>
    <w:rsid w:val="00AC1EE2"/>
    <w:rsid w:val="00AC244D"/>
    <w:rsid w:val="00AC2A5B"/>
    <w:rsid w:val="00AC3039"/>
    <w:rsid w:val="00AC339A"/>
    <w:rsid w:val="00AC33AE"/>
    <w:rsid w:val="00AC33B7"/>
    <w:rsid w:val="00AC36CD"/>
    <w:rsid w:val="00AC36ED"/>
    <w:rsid w:val="00AC3922"/>
    <w:rsid w:val="00AC3FD5"/>
    <w:rsid w:val="00AC4048"/>
    <w:rsid w:val="00AC404D"/>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FB6"/>
    <w:rsid w:val="00AF522C"/>
    <w:rsid w:val="00AF5B11"/>
    <w:rsid w:val="00AF5DAA"/>
    <w:rsid w:val="00AF6C17"/>
    <w:rsid w:val="00AF6EF3"/>
    <w:rsid w:val="00AF7FEB"/>
    <w:rsid w:val="00B00218"/>
    <w:rsid w:val="00B009DF"/>
    <w:rsid w:val="00B00F9C"/>
    <w:rsid w:val="00B01301"/>
    <w:rsid w:val="00B01914"/>
    <w:rsid w:val="00B02095"/>
    <w:rsid w:val="00B0294A"/>
    <w:rsid w:val="00B029D8"/>
    <w:rsid w:val="00B02AE0"/>
    <w:rsid w:val="00B03426"/>
    <w:rsid w:val="00B03C3F"/>
    <w:rsid w:val="00B03E88"/>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0F"/>
    <w:rsid w:val="00B118F4"/>
    <w:rsid w:val="00B135EE"/>
    <w:rsid w:val="00B13CAF"/>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3DA"/>
    <w:rsid w:val="00B20606"/>
    <w:rsid w:val="00B21DDF"/>
    <w:rsid w:val="00B21ECD"/>
    <w:rsid w:val="00B21FC1"/>
    <w:rsid w:val="00B22177"/>
    <w:rsid w:val="00B224D9"/>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7303"/>
    <w:rsid w:val="00B279BA"/>
    <w:rsid w:val="00B3056F"/>
    <w:rsid w:val="00B31897"/>
    <w:rsid w:val="00B318CF"/>
    <w:rsid w:val="00B3193F"/>
    <w:rsid w:val="00B31B41"/>
    <w:rsid w:val="00B31DA8"/>
    <w:rsid w:val="00B3264E"/>
    <w:rsid w:val="00B33D7B"/>
    <w:rsid w:val="00B33DBE"/>
    <w:rsid w:val="00B34DB8"/>
    <w:rsid w:val="00B351BF"/>
    <w:rsid w:val="00B354A0"/>
    <w:rsid w:val="00B35A28"/>
    <w:rsid w:val="00B35B78"/>
    <w:rsid w:val="00B35BC5"/>
    <w:rsid w:val="00B36ABA"/>
    <w:rsid w:val="00B37330"/>
    <w:rsid w:val="00B37641"/>
    <w:rsid w:val="00B37649"/>
    <w:rsid w:val="00B37662"/>
    <w:rsid w:val="00B3770E"/>
    <w:rsid w:val="00B377DD"/>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7CB"/>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C8"/>
    <w:rsid w:val="00B54160"/>
    <w:rsid w:val="00B54552"/>
    <w:rsid w:val="00B55195"/>
    <w:rsid w:val="00B55383"/>
    <w:rsid w:val="00B553BD"/>
    <w:rsid w:val="00B5788D"/>
    <w:rsid w:val="00B57CF1"/>
    <w:rsid w:val="00B60013"/>
    <w:rsid w:val="00B6005B"/>
    <w:rsid w:val="00B60847"/>
    <w:rsid w:val="00B60A05"/>
    <w:rsid w:val="00B60BB8"/>
    <w:rsid w:val="00B6280C"/>
    <w:rsid w:val="00B62B5B"/>
    <w:rsid w:val="00B637FD"/>
    <w:rsid w:val="00B63FC6"/>
    <w:rsid w:val="00B6449F"/>
    <w:rsid w:val="00B645BE"/>
    <w:rsid w:val="00B64678"/>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06F9"/>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E97"/>
    <w:rsid w:val="00B85D34"/>
    <w:rsid w:val="00B85FB1"/>
    <w:rsid w:val="00B860A3"/>
    <w:rsid w:val="00B864A3"/>
    <w:rsid w:val="00B8791F"/>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DF5"/>
    <w:rsid w:val="00BA27FC"/>
    <w:rsid w:val="00BA3A37"/>
    <w:rsid w:val="00BA3D64"/>
    <w:rsid w:val="00BA3FDC"/>
    <w:rsid w:val="00BA4023"/>
    <w:rsid w:val="00BA4225"/>
    <w:rsid w:val="00BA55DD"/>
    <w:rsid w:val="00BA5BCD"/>
    <w:rsid w:val="00BA611B"/>
    <w:rsid w:val="00BA79DE"/>
    <w:rsid w:val="00BA7DCA"/>
    <w:rsid w:val="00BB01F7"/>
    <w:rsid w:val="00BB0A30"/>
    <w:rsid w:val="00BB1B52"/>
    <w:rsid w:val="00BB1F6B"/>
    <w:rsid w:val="00BB2161"/>
    <w:rsid w:val="00BB2554"/>
    <w:rsid w:val="00BB2557"/>
    <w:rsid w:val="00BB3B49"/>
    <w:rsid w:val="00BB442E"/>
    <w:rsid w:val="00BB50F1"/>
    <w:rsid w:val="00BB531F"/>
    <w:rsid w:val="00BB70E7"/>
    <w:rsid w:val="00BB75C5"/>
    <w:rsid w:val="00BB7889"/>
    <w:rsid w:val="00BB7962"/>
    <w:rsid w:val="00BB7CEF"/>
    <w:rsid w:val="00BB7F9D"/>
    <w:rsid w:val="00BC0113"/>
    <w:rsid w:val="00BC059F"/>
    <w:rsid w:val="00BC0D74"/>
    <w:rsid w:val="00BC1714"/>
    <w:rsid w:val="00BC1C4B"/>
    <w:rsid w:val="00BC1E29"/>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FD"/>
    <w:rsid w:val="00BF3DD1"/>
    <w:rsid w:val="00BF5322"/>
    <w:rsid w:val="00BF5506"/>
    <w:rsid w:val="00BF5BCA"/>
    <w:rsid w:val="00BF6B8A"/>
    <w:rsid w:val="00BF7FE9"/>
    <w:rsid w:val="00C0008A"/>
    <w:rsid w:val="00C01113"/>
    <w:rsid w:val="00C01D45"/>
    <w:rsid w:val="00C02611"/>
    <w:rsid w:val="00C03033"/>
    <w:rsid w:val="00C03D11"/>
    <w:rsid w:val="00C04435"/>
    <w:rsid w:val="00C0443F"/>
    <w:rsid w:val="00C0449E"/>
    <w:rsid w:val="00C04B37"/>
    <w:rsid w:val="00C058F0"/>
    <w:rsid w:val="00C05B24"/>
    <w:rsid w:val="00C05F0D"/>
    <w:rsid w:val="00C06AD3"/>
    <w:rsid w:val="00C06B3D"/>
    <w:rsid w:val="00C06DF4"/>
    <w:rsid w:val="00C07268"/>
    <w:rsid w:val="00C0734C"/>
    <w:rsid w:val="00C07694"/>
    <w:rsid w:val="00C07819"/>
    <w:rsid w:val="00C07A1B"/>
    <w:rsid w:val="00C1041A"/>
    <w:rsid w:val="00C10607"/>
    <w:rsid w:val="00C10BB2"/>
    <w:rsid w:val="00C1179C"/>
    <w:rsid w:val="00C123B3"/>
    <w:rsid w:val="00C127B9"/>
    <w:rsid w:val="00C127DA"/>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0E"/>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42"/>
    <w:rsid w:val="00C35AC5"/>
    <w:rsid w:val="00C367F0"/>
    <w:rsid w:val="00C36E28"/>
    <w:rsid w:val="00C379A7"/>
    <w:rsid w:val="00C37D2F"/>
    <w:rsid w:val="00C40AFE"/>
    <w:rsid w:val="00C418EF"/>
    <w:rsid w:val="00C41D95"/>
    <w:rsid w:val="00C4283F"/>
    <w:rsid w:val="00C42FC2"/>
    <w:rsid w:val="00C437F1"/>
    <w:rsid w:val="00C43D1B"/>
    <w:rsid w:val="00C45A95"/>
    <w:rsid w:val="00C46552"/>
    <w:rsid w:val="00C4691F"/>
    <w:rsid w:val="00C46D24"/>
    <w:rsid w:val="00C477FB"/>
    <w:rsid w:val="00C51773"/>
    <w:rsid w:val="00C520C5"/>
    <w:rsid w:val="00C525C7"/>
    <w:rsid w:val="00C52639"/>
    <w:rsid w:val="00C52713"/>
    <w:rsid w:val="00C52CA0"/>
    <w:rsid w:val="00C52E23"/>
    <w:rsid w:val="00C545D2"/>
    <w:rsid w:val="00C54B26"/>
    <w:rsid w:val="00C55CAF"/>
    <w:rsid w:val="00C56455"/>
    <w:rsid w:val="00C56472"/>
    <w:rsid w:val="00C56A4A"/>
    <w:rsid w:val="00C57060"/>
    <w:rsid w:val="00C57573"/>
    <w:rsid w:val="00C5758C"/>
    <w:rsid w:val="00C57786"/>
    <w:rsid w:val="00C57ADB"/>
    <w:rsid w:val="00C57DCF"/>
    <w:rsid w:val="00C60565"/>
    <w:rsid w:val="00C607E7"/>
    <w:rsid w:val="00C60843"/>
    <w:rsid w:val="00C6098E"/>
    <w:rsid w:val="00C610B1"/>
    <w:rsid w:val="00C61411"/>
    <w:rsid w:val="00C616AA"/>
    <w:rsid w:val="00C62042"/>
    <w:rsid w:val="00C62217"/>
    <w:rsid w:val="00C62FB4"/>
    <w:rsid w:val="00C634B9"/>
    <w:rsid w:val="00C63AE3"/>
    <w:rsid w:val="00C63B01"/>
    <w:rsid w:val="00C63F98"/>
    <w:rsid w:val="00C64373"/>
    <w:rsid w:val="00C64439"/>
    <w:rsid w:val="00C64CBB"/>
    <w:rsid w:val="00C65B3E"/>
    <w:rsid w:val="00C679A5"/>
    <w:rsid w:val="00C679F3"/>
    <w:rsid w:val="00C67D98"/>
    <w:rsid w:val="00C70619"/>
    <w:rsid w:val="00C70FAD"/>
    <w:rsid w:val="00C7131E"/>
    <w:rsid w:val="00C71320"/>
    <w:rsid w:val="00C71823"/>
    <w:rsid w:val="00C71EF2"/>
    <w:rsid w:val="00C73313"/>
    <w:rsid w:val="00C740E8"/>
    <w:rsid w:val="00C74791"/>
    <w:rsid w:val="00C75685"/>
    <w:rsid w:val="00C75874"/>
    <w:rsid w:val="00C75DAC"/>
    <w:rsid w:val="00C7661C"/>
    <w:rsid w:val="00C76758"/>
    <w:rsid w:val="00C7749E"/>
    <w:rsid w:val="00C7754F"/>
    <w:rsid w:val="00C779E5"/>
    <w:rsid w:val="00C779E8"/>
    <w:rsid w:val="00C80047"/>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2D2"/>
    <w:rsid w:val="00C86504"/>
    <w:rsid w:val="00C8713F"/>
    <w:rsid w:val="00C87160"/>
    <w:rsid w:val="00C8740E"/>
    <w:rsid w:val="00C877A0"/>
    <w:rsid w:val="00C91634"/>
    <w:rsid w:val="00C91726"/>
    <w:rsid w:val="00C918DD"/>
    <w:rsid w:val="00C91DB5"/>
    <w:rsid w:val="00C91FEB"/>
    <w:rsid w:val="00C920B5"/>
    <w:rsid w:val="00C94266"/>
    <w:rsid w:val="00C947D4"/>
    <w:rsid w:val="00C94AE3"/>
    <w:rsid w:val="00C94BF2"/>
    <w:rsid w:val="00C94EB4"/>
    <w:rsid w:val="00C950EA"/>
    <w:rsid w:val="00C9533C"/>
    <w:rsid w:val="00C96491"/>
    <w:rsid w:val="00C9779D"/>
    <w:rsid w:val="00C97D30"/>
    <w:rsid w:val="00CA0510"/>
    <w:rsid w:val="00CA0684"/>
    <w:rsid w:val="00CA084F"/>
    <w:rsid w:val="00CA1A4B"/>
    <w:rsid w:val="00CA1BB5"/>
    <w:rsid w:val="00CA2C40"/>
    <w:rsid w:val="00CA2C91"/>
    <w:rsid w:val="00CA2CDD"/>
    <w:rsid w:val="00CA2D01"/>
    <w:rsid w:val="00CA2EC3"/>
    <w:rsid w:val="00CA37D2"/>
    <w:rsid w:val="00CA39C1"/>
    <w:rsid w:val="00CA3BE5"/>
    <w:rsid w:val="00CA3CF7"/>
    <w:rsid w:val="00CA40E4"/>
    <w:rsid w:val="00CA4173"/>
    <w:rsid w:val="00CA47B9"/>
    <w:rsid w:val="00CA482E"/>
    <w:rsid w:val="00CA4E98"/>
    <w:rsid w:val="00CA4ECB"/>
    <w:rsid w:val="00CA5044"/>
    <w:rsid w:val="00CA54B0"/>
    <w:rsid w:val="00CA58CD"/>
    <w:rsid w:val="00CA599D"/>
    <w:rsid w:val="00CA5F1E"/>
    <w:rsid w:val="00CA60BC"/>
    <w:rsid w:val="00CA6610"/>
    <w:rsid w:val="00CA6A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5115"/>
    <w:rsid w:val="00CB5137"/>
    <w:rsid w:val="00CB57D1"/>
    <w:rsid w:val="00CB702A"/>
    <w:rsid w:val="00CB7356"/>
    <w:rsid w:val="00CB7985"/>
    <w:rsid w:val="00CB7D59"/>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D77A8"/>
    <w:rsid w:val="00CE05F0"/>
    <w:rsid w:val="00CE0A06"/>
    <w:rsid w:val="00CE0FDE"/>
    <w:rsid w:val="00CE1B85"/>
    <w:rsid w:val="00CE1F0A"/>
    <w:rsid w:val="00CE2289"/>
    <w:rsid w:val="00CE253C"/>
    <w:rsid w:val="00CE263D"/>
    <w:rsid w:val="00CE2869"/>
    <w:rsid w:val="00CE2877"/>
    <w:rsid w:val="00CE321F"/>
    <w:rsid w:val="00CE3ADE"/>
    <w:rsid w:val="00CE3C6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C60"/>
    <w:rsid w:val="00CF6ED0"/>
    <w:rsid w:val="00CF769A"/>
    <w:rsid w:val="00CF7DD7"/>
    <w:rsid w:val="00D01453"/>
    <w:rsid w:val="00D017E5"/>
    <w:rsid w:val="00D019F4"/>
    <w:rsid w:val="00D01F28"/>
    <w:rsid w:val="00D027FD"/>
    <w:rsid w:val="00D02F19"/>
    <w:rsid w:val="00D03014"/>
    <w:rsid w:val="00D03201"/>
    <w:rsid w:val="00D03243"/>
    <w:rsid w:val="00D03BAE"/>
    <w:rsid w:val="00D03D50"/>
    <w:rsid w:val="00D03D69"/>
    <w:rsid w:val="00D04343"/>
    <w:rsid w:val="00D0477B"/>
    <w:rsid w:val="00D04A14"/>
    <w:rsid w:val="00D05509"/>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732"/>
    <w:rsid w:val="00D20A74"/>
    <w:rsid w:val="00D21587"/>
    <w:rsid w:val="00D2191B"/>
    <w:rsid w:val="00D21B7B"/>
    <w:rsid w:val="00D222F0"/>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2F42"/>
    <w:rsid w:val="00D53DED"/>
    <w:rsid w:val="00D5422E"/>
    <w:rsid w:val="00D54402"/>
    <w:rsid w:val="00D54503"/>
    <w:rsid w:val="00D55243"/>
    <w:rsid w:val="00D5549A"/>
    <w:rsid w:val="00D55A61"/>
    <w:rsid w:val="00D55BC6"/>
    <w:rsid w:val="00D55C6C"/>
    <w:rsid w:val="00D55EB8"/>
    <w:rsid w:val="00D564AC"/>
    <w:rsid w:val="00D56653"/>
    <w:rsid w:val="00D610C6"/>
    <w:rsid w:val="00D61673"/>
    <w:rsid w:val="00D628A0"/>
    <w:rsid w:val="00D63353"/>
    <w:rsid w:val="00D63556"/>
    <w:rsid w:val="00D63FD8"/>
    <w:rsid w:val="00D6487E"/>
    <w:rsid w:val="00D65443"/>
    <w:rsid w:val="00D657AD"/>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11BE"/>
    <w:rsid w:val="00D9165C"/>
    <w:rsid w:val="00D928B1"/>
    <w:rsid w:val="00D9296E"/>
    <w:rsid w:val="00D9370A"/>
    <w:rsid w:val="00D94526"/>
    <w:rsid w:val="00D94754"/>
    <w:rsid w:val="00D9496A"/>
    <w:rsid w:val="00D94A3F"/>
    <w:rsid w:val="00D94BAE"/>
    <w:rsid w:val="00D9513A"/>
    <w:rsid w:val="00D9595B"/>
    <w:rsid w:val="00D95A78"/>
    <w:rsid w:val="00D96701"/>
    <w:rsid w:val="00D9745F"/>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4FB8"/>
    <w:rsid w:val="00DA505B"/>
    <w:rsid w:val="00DA5A6D"/>
    <w:rsid w:val="00DA67AD"/>
    <w:rsid w:val="00DA67EE"/>
    <w:rsid w:val="00DA714F"/>
    <w:rsid w:val="00DA79DA"/>
    <w:rsid w:val="00DA7BDA"/>
    <w:rsid w:val="00DB03CE"/>
    <w:rsid w:val="00DB0C65"/>
    <w:rsid w:val="00DB1120"/>
    <w:rsid w:val="00DB1B67"/>
    <w:rsid w:val="00DB1E4C"/>
    <w:rsid w:val="00DB228B"/>
    <w:rsid w:val="00DB235B"/>
    <w:rsid w:val="00DB242E"/>
    <w:rsid w:val="00DB2533"/>
    <w:rsid w:val="00DB2F33"/>
    <w:rsid w:val="00DB3073"/>
    <w:rsid w:val="00DB3906"/>
    <w:rsid w:val="00DB3A9B"/>
    <w:rsid w:val="00DB524A"/>
    <w:rsid w:val="00DB5500"/>
    <w:rsid w:val="00DB5A53"/>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799"/>
    <w:rsid w:val="00DC0F29"/>
    <w:rsid w:val="00DC13AE"/>
    <w:rsid w:val="00DC18F2"/>
    <w:rsid w:val="00DC24D9"/>
    <w:rsid w:val="00DC2762"/>
    <w:rsid w:val="00DC35AC"/>
    <w:rsid w:val="00DC3B67"/>
    <w:rsid w:val="00DC3E10"/>
    <w:rsid w:val="00DC3E34"/>
    <w:rsid w:val="00DC4256"/>
    <w:rsid w:val="00DC4346"/>
    <w:rsid w:val="00DC55DD"/>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DC5"/>
    <w:rsid w:val="00DD5F55"/>
    <w:rsid w:val="00DD6A80"/>
    <w:rsid w:val="00DD6ADD"/>
    <w:rsid w:val="00DD6EBE"/>
    <w:rsid w:val="00DD7C2F"/>
    <w:rsid w:val="00DD7E22"/>
    <w:rsid w:val="00DE059E"/>
    <w:rsid w:val="00DE0741"/>
    <w:rsid w:val="00DE077B"/>
    <w:rsid w:val="00DE0A57"/>
    <w:rsid w:val="00DE0CBB"/>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1B56"/>
    <w:rsid w:val="00E12243"/>
    <w:rsid w:val="00E122B9"/>
    <w:rsid w:val="00E1246D"/>
    <w:rsid w:val="00E124DF"/>
    <w:rsid w:val="00E128A8"/>
    <w:rsid w:val="00E12AB4"/>
    <w:rsid w:val="00E13AB8"/>
    <w:rsid w:val="00E14092"/>
    <w:rsid w:val="00E1426A"/>
    <w:rsid w:val="00E147B3"/>
    <w:rsid w:val="00E14820"/>
    <w:rsid w:val="00E14907"/>
    <w:rsid w:val="00E165AB"/>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1F9"/>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2F5"/>
    <w:rsid w:val="00E36478"/>
    <w:rsid w:val="00E3668D"/>
    <w:rsid w:val="00E36AD0"/>
    <w:rsid w:val="00E373BD"/>
    <w:rsid w:val="00E402A1"/>
    <w:rsid w:val="00E40AA3"/>
    <w:rsid w:val="00E40FF7"/>
    <w:rsid w:val="00E4258C"/>
    <w:rsid w:val="00E4297E"/>
    <w:rsid w:val="00E42C21"/>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715"/>
    <w:rsid w:val="00E527AA"/>
    <w:rsid w:val="00E52CA2"/>
    <w:rsid w:val="00E532A6"/>
    <w:rsid w:val="00E53621"/>
    <w:rsid w:val="00E5381A"/>
    <w:rsid w:val="00E53D9A"/>
    <w:rsid w:val="00E5454B"/>
    <w:rsid w:val="00E54643"/>
    <w:rsid w:val="00E5467B"/>
    <w:rsid w:val="00E5550E"/>
    <w:rsid w:val="00E55B01"/>
    <w:rsid w:val="00E55B05"/>
    <w:rsid w:val="00E55C34"/>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4AD6"/>
    <w:rsid w:val="00E95127"/>
    <w:rsid w:val="00E958AA"/>
    <w:rsid w:val="00E96729"/>
    <w:rsid w:val="00E96E1B"/>
    <w:rsid w:val="00E9744E"/>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706"/>
    <w:rsid w:val="00EB2B02"/>
    <w:rsid w:val="00EB3663"/>
    <w:rsid w:val="00EB3835"/>
    <w:rsid w:val="00EB3DEC"/>
    <w:rsid w:val="00EB4F2B"/>
    <w:rsid w:val="00EB58C7"/>
    <w:rsid w:val="00EB59A8"/>
    <w:rsid w:val="00EB621B"/>
    <w:rsid w:val="00EB643B"/>
    <w:rsid w:val="00EB73DA"/>
    <w:rsid w:val="00EC036E"/>
    <w:rsid w:val="00EC07E1"/>
    <w:rsid w:val="00EC097B"/>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723"/>
    <w:rsid w:val="00ED5CC0"/>
    <w:rsid w:val="00ED6166"/>
    <w:rsid w:val="00ED61D4"/>
    <w:rsid w:val="00ED6A18"/>
    <w:rsid w:val="00ED7AC1"/>
    <w:rsid w:val="00ED7BED"/>
    <w:rsid w:val="00EE05A6"/>
    <w:rsid w:val="00EE08C0"/>
    <w:rsid w:val="00EE1269"/>
    <w:rsid w:val="00EE1D03"/>
    <w:rsid w:val="00EE2051"/>
    <w:rsid w:val="00EE2173"/>
    <w:rsid w:val="00EE38E0"/>
    <w:rsid w:val="00EE3A30"/>
    <w:rsid w:val="00EE3A90"/>
    <w:rsid w:val="00EE40F7"/>
    <w:rsid w:val="00EE449C"/>
    <w:rsid w:val="00EE476F"/>
    <w:rsid w:val="00EE493B"/>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593"/>
    <w:rsid w:val="00EF20F9"/>
    <w:rsid w:val="00EF2BBC"/>
    <w:rsid w:val="00EF33D3"/>
    <w:rsid w:val="00EF37A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208F"/>
    <w:rsid w:val="00F027FD"/>
    <w:rsid w:val="00F02B96"/>
    <w:rsid w:val="00F02C26"/>
    <w:rsid w:val="00F0372F"/>
    <w:rsid w:val="00F03B76"/>
    <w:rsid w:val="00F03CAF"/>
    <w:rsid w:val="00F03D26"/>
    <w:rsid w:val="00F040E7"/>
    <w:rsid w:val="00F047B9"/>
    <w:rsid w:val="00F05069"/>
    <w:rsid w:val="00F051EF"/>
    <w:rsid w:val="00F0520B"/>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D9E"/>
    <w:rsid w:val="00F33320"/>
    <w:rsid w:val="00F33A60"/>
    <w:rsid w:val="00F34156"/>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2A8"/>
    <w:rsid w:val="00F713A0"/>
    <w:rsid w:val="00F71B15"/>
    <w:rsid w:val="00F71FF6"/>
    <w:rsid w:val="00F72847"/>
    <w:rsid w:val="00F72ED2"/>
    <w:rsid w:val="00F72F06"/>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0AB3"/>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2B25"/>
    <w:rsid w:val="00F931FC"/>
    <w:rsid w:val="00F93342"/>
    <w:rsid w:val="00F9358D"/>
    <w:rsid w:val="00F94286"/>
    <w:rsid w:val="00F9452E"/>
    <w:rsid w:val="00F94662"/>
    <w:rsid w:val="00F947CA"/>
    <w:rsid w:val="00F95271"/>
    <w:rsid w:val="00F95382"/>
    <w:rsid w:val="00F95CA4"/>
    <w:rsid w:val="00F96380"/>
    <w:rsid w:val="00F963C9"/>
    <w:rsid w:val="00F9653D"/>
    <w:rsid w:val="00F96818"/>
    <w:rsid w:val="00F970BF"/>
    <w:rsid w:val="00F974FB"/>
    <w:rsid w:val="00F9781E"/>
    <w:rsid w:val="00F97837"/>
    <w:rsid w:val="00F97D87"/>
    <w:rsid w:val="00F97FB9"/>
    <w:rsid w:val="00FA0265"/>
    <w:rsid w:val="00FA059C"/>
    <w:rsid w:val="00FA0E9F"/>
    <w:rsid w:val="00FA1A10"/>
    <w:rsid w:val="00FA1BAC"/>
    <w:rsid w:val="00FA1C7F"/>
    <w:rsid w:val="00FA1D07"/>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2358"/>
    <w:rsid w:val="00FB24BF"/>
    <w:rsid w:val="00FB3A2B"/>
    <w:rsid w:val="00FB3EAF"/>
    <w:rsid w:val="00FB3EFE"/>
    <w:rsid w:val="00FB3F04"/>
    <w:rsid w:val="00FB58A7"/>
    <w:rsid w:val="00FB5B03"/>
    <w:rsid w:val="00FB5BD9"/>
    <w:rsid w:val="00FB6088"/>
    <w:rsid w:val="00FB60CA"/>
    <w:rsid w:val="00FB6185"/>
    <w:rsid w:val="00FB6A47"/>
    <w:rsid w:val="00FB710E"/>
    <w:rsid w:val="00FB78C0"/>
    <w:rsid w:val="00FB7C28"/>
    <w:rsid w:val="00FB7E55"/>
    <w:rsid w:val="00FB7F95"/>
    <w:rsid w:val="00FC0076"/>
    <w:rsid w:val="00FC0437"/>
    <w:rsid w:val="00FC0633"/>
    <w:rsid w:val="00FC0964"/>
    <w:rsid w:val="00FC10EB"/>
    <w:rsid w:val="00FC147A"/>
    <w:rsid w:val="00FC174F"/>
    <w:rsid w:val="00FC1B09"/>
    <w:rsid w:val="00FC20C4"/>
    <w:rsid w:val="00FC36E4"/>
    <w:rsid w:val="00FC3C34"/>
    <w:rsid w:val="00FC4132"/>
    <w:rsid w:val="00FC45CE"/>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4046"/>
    <w:rsid w:val="00FF50DD"/>
    <w:rsid w:val="00FF5524"/>
    <w:rsid w:val="00FF59AF"/>
    <w:rsid w:val="00FF59DB"/>
    <w:rsid w:val="00FF5B4A"/>
    <w:rsid w:val="00FF5FAE"/>
    <w:rsid w:val="00FF793C"/>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UNDERRUBRIK 1-2,DO NOT USE_h2,h21,Heading 2 Char,H2 Char,h2 Char"/>
    <w:next w:val="a1"/>
    <w:link w:val="2Char"/>
    <w:qFormat/>
    <w:rsid w:val="007A22CE"/>
    <w:pPr>
      <w:numPr>
        <w:ilvl w:val="1"/>
        <w:numId w:val="1"/>
      </w:numPr>
      <w:spacing w:before="100" w:beforeAutospacing="1" w:afterLines="10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basedOn w:val="a2"/>
    <w:link w:val="1"/>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basedOn w:val="1Char"/>
    <w:link w:val="2"/>
    <w:rsid w:val="007A22CE"/>
    <w:rPr>
      <w:rFonts w:ascii="Arial" w:eastAsia="Arial"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
    <w:rsid w:val="00876A06"/>
    <w:rPr>
      <w:rFonts w:ascii="Arial" w:eastAsia="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rsid w:val="00876A06"/>
    <w:rPr>
      <w:rFonts w:ascii="Arial" w:eastAsia="Arial" w:hAnsi="Arial"/>
      <w:sz w:val="24"/>
      <w:lang w:val="en-GB"/>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basedOn w:val="a2"/>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basedOn w:val="a2"/>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basedOn w:val="a2"/>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a2"/>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basedOn w:val="a2"/>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w:basedOn w:val="a1"/>
    <w:next w:val="a1"/>
    <w:link w:val="Char0"/>
    <w:qFormat/>
    <w:rsid w:val="004A4093"/>
    <w:pPr>
      <w:spacing w:before="120" w:after="120"/>
    </w:pPr>
    <w:rPr>
      <w:b/>
    </w:rPr>
  </w:style>
  <w:style w:type="character" w:styleId="ae">
    <w:name w:val="Hyperlink"/>
    <w:basedOn w:val="a2"/>
    <w:uiPriority w:val="99"/>
    <w:rsid w:val="004A4093"/>
    <w:rPr>
      <w:color w:val="0000FF"/>
      <w:u w:val="single"/>
    </w:rPr>
  </w:style>
  <w:style w:type="character" w:styleId="af">
    <w:name w:val="FollowedHyperlink"/>
    <w:basedOn w:val="a2"/>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sid w:val="004A4093"/>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2"/>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2"/>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basedOn w:val="a2"/>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basedOn w:val="a2"/>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a2"/>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basedOn w:val="a2"/>
    <w:link w:val="Heading4"/>
    <w:semiHidden/>
    <w:rsid w:val="00AA3724"/>
    <w:rPr>
      <w:rFonts w:ascii="Arial" w:eastAsia="Arial" w:hAnsi="Arial"/>
      <w:sz w:val="28"/>
      <w:lang w:val="en-GB"/>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C0008A"/>
    <w:rPr>
      <w:rFonts w:ascii="Arial" w:eastAsia="Times New Roman" w:hAnsi="Arial"/>
      <w:b/>
      <w:noProof/>
      <w:sz w:val="18"/>
      <w:lang w:val="en-GB" w:eastAsia="en-US" w:bidi="ar-SA"/>
    </w:rPr>
  </w:style>
  <w:style w:type="character" w:customStyle="1" w:styleId="Char4">
    <w:name w:val="样式 页眉 Char"/>
    <w:basedOn w:val="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basedOn w:val="a2"/>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SimSun"/>
    </w:rPr>
  </w:style>
  <w:style w:type="character" w:customStyle="1" w:styleId="B1Char">
    <w:name w:val="B1 Char"/>
    <w:basedOn w:val="a2"/>
    <w:link w:val="B1"/>
    <w:rsid w:val="00EF20F9"/>
    <w:rPr>
      <w:rFonts w:eastAsia="SimSun"/>
      <w:lang w:val="en-GB" w:eastAsia="en-US" w:bidi="ar-SA"/>
    </w:rPr>
  </w:style>
  <w:style w:type="paragraph" w:customStyle="1" w:styleId="EX">
    <w:name w:val="EX"/>
    <w:basedOn w:val="a1"/>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a2"/>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a2"/>
    <w:rsid w:val="005557DE"/>
    <w:rPr>
      <w:rFonts w:ascii="Arial" w:eastAsia="SimSun" w:hAnsi="Arial" w:cs="Arial"/>
      <w:color w:val="0000FF"/>
      <w:kern w:val="2"/>
      <w:lang w:val="en-GB" w:eastAsia="ko-KR" w:bidi="ar-SA"/>
    </w:rPr>
  </w:style>
  <w:style w:type="character" w:customStyle="1" w:styleId="B2Char">
    <w:name w:val="B2 Char"/>
    <w:basedOn w:val="a2"/>
    <w:link w:val="B2"/>
    <w:rsid w:val="005557DE"/>
    <w:rPr>
      <w:lang w:val="en-GB" w:eastAsia="en-US"/>
    </w:rPr>
  </w:style>
  <w:style w:type="paragraph" w:customStyle="1" w:styleId="B3">
    <w:name w:val="B3"/>
    <w:basedOn w:val="32"/>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a2"/>
    <w:link w:val="B3"/>
    <w:rsid w:val="005557DE"/>
    <w:rPr>
      <w:rFonts w:eastAsia="SimSun"/>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SimSun"/>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List Paragraph"/>
    <w:basedOn w:val="a1"/>
    <w:link w:val="Char5"/>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afd">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a1"/>
    <w:link w:val="Doc-text2Char"/>
    <w:qFormat/>
    <w:rsid w:val="000D510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a2"/>
    <w:rsid w:val="000D5108"/>
    <w:rPr>
      <w:vanish w:val="0"/>
      <w:webHidden w:val="0"/>
      <w:color w:val="333333"/>
      <w:specVanish w:val="0"/>
    </w:rPr>
  </w:style>
  <w:style w:type="character" w:customStyle="1" w:styleId="Char0">
    <w:name w:val="题注 Char"/>
    <w:aliases w:val="cap Char1,cap Char Char,Caption Char Char,Caption Char1 Char Char,cap Char Char1 Char,Caption Char Char1 Char Char,cap Char2 Char"/>
    <w:link w:val="ad"/>
    <w:rsid w:val="00FA0E9F"/>
    <w:rPr>
      <w:rFonts w:eastAsia="Times New Roman"/>
      <w:b/>
      <w:lang w:val="en-GB" w:eastAsia="en-US"/>
    </w:rPr>
  </w:style>
  <w:style w:type="character" w:customStyle="1" w:styleId="Char2">
    <w:name w:val="批注文字 Char"/>
    <w:link w:val="af5"/>
    <w:rsid w:val="00607D22"/>
    <w:rPr>
      <w:rFonts w:ascii="Arial" w:eastAsia="–¾’©" w:hAnsi="Arial"/>
      <w:sz w:val="18"/>
      <w:lang w:val="en-GB" w:eastAsia="en-US"/>
    </w:rPr>
  </w:style>
  <w:style w:type="paragraph" w:styleId="afe">
    <w:name w:val="Normal (Web)"/>
    <w:basedOn w:val="a1"/>
    <w:uiPriority w:val="99"/>
    <w:semiHidden/>
    <w:unhideWhenUsed/>
    <w:rsid w:val="006F761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Doc-title">
    <w:name w:val="Doc-title"/>
    <w:basedOn w:val="a1"/>
    <w:next w:val="Doc-text2"/>
    <w:link w:val="Doc-titleChar"/>
    <w:qFormat/>
    <w:rsid w:val="006E21B9"/>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a2"/>
    <w:link w:val="Doc-title"/>
    <w:rsid w:val="006E21B9"/>
    <w:rPr>
      <w:rFonts w:ascii="Arial" w:hAnsi="Arial"/>
      <w:szCs w:val="24"/>
      <w:lang w:val="en-GB" w:eastAsia="en-GB"/>
    </w:rPr>
  </w:style>
  <w:style w:type="character" w:customStyle="1" w:styleId="Char5">
    <w:name w:val="列出段落 Char"/>
    <w:link w:val="afc"/>
    <w:uiPriority w:val="34"/>
    <w:locked/>
    <w:rsid w:val="00B117C0"/>
    <w:rPr>
      <w:rFonts w:eastAsia="Times New Roman"/>
      <w:lang w:val="en-GB" w:eastAsia="en-US"/>
    </w:rPr>
  </w:style>
  <w:style w:type="paragraph" w:customStyle="1" w:styleId="DocInfo">
    <w:name w:val="DocInfo"/>
    <w:basedOn w:val="a1"/>
    <w:rsid w:val="008449B8"/>
    <w:pPr>
      <w:tabs>
        <w:tab w:val="left" w:pos="2160"/>
      </w:tabs>
      <w:overflowPunct/>
      <w:autoSpaceDE/>
      <w:autoSpaceDN/>
      <w:adjustRightInd/>
      <w:spacing w:before="120" w:after="120"/>
      <w:textAlignment w:val="auto"/>
    </w:pPr>
    <w:rPr>
      <w:rFonts w:eastAsia="SimSun"/>
      <w:sz w:val="28"/>
      <w:szCs w:val="28"/>
    </w:rPr>
  </w:style>
  <w:style w:type="paragraph" w:customStyle="1" w:styleId="Agreement">
    <w:name w:val="Agreement"/>
    <w:basedOn w:val="a1"/>
    <w:next w:val="Doc-text2"/>
    <w:rsid w:val="004865B0"/>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maintext">
    <w:name w:val="main text"/>
    <w:basedOn w:val="a1"/>
    <w:link w:val="maintextChar"/>
    <w:qFormat/>
    <w:rsid w:val="00767A6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67A6C"/>
    <w:rPr>
      <w:rFonts w:eastAsia="Malgun Gothic"/>
      <w:lang w:val="en-GB" w:eastAsia="ko-KR"/>
    </w:rPr>
  </w:style>
  <w:style w:type="paragraph" w:customStyle="1" w:styleId="2222">
    <w:name w:val="스타일 스타일 스타일 스타일 양쪽 첫 줄:  2 글자 + 첫 줄:  2 글자 + 첫 줄:  2 글자 + 첫 줄:  2..."/>
    <w:basedOn w:val="a1"/>
    <w:link w:val="2222Char"/>
    <w:rsid w:val="005014A7"/>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014A7"/>
    <w:rPr>
      <w:rFonts w:eastAsia="Malgun Gothic" w:cs="Batang"/>
      <w:lang w:val="en-GB"/>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3765027">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2FHT6SDPEKRM-4-36047</_dlc_DocId>
    <_dlc_DocIdUrl xmlns="2f0fb0e4-6f95-4f64-8efb-58e3d90405ce">
      <Url>https://projects.qualcomm.com/sites/SkyBer/_layouts/15/DocIdRedir.aspx?ID=2FHT6SDPEKRM-4-36047</Url>
      <Description>2FHT6SDPEKRM-4-36047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7A903-6366-4270-98EB-27560F80D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882515-ADC1-4D74-A55F-467CC961E9BF}">
  <ds:schemaRefs>
    <ds:schemaRef ds:uri="office.server.policy"/>
  </ds:schemaRefs>
</ds:datastoreItem>
</file>

<file path=customXml/itemProps3.xml><?xml version="1.0" encoding="utf-8"?>
<ds:datastoreItem xmlns:ds="http://schemas.openxmlformats.org/officeDocument/2006/customXml" ds:itemID="{3628BD7F-31A1-4026-9A71-ECFE9DF69BA1}">
  <ds:schemaRefs>
    <ds:schemaRef ds:uri="http://schemas.microsoft.com/sharepoint/events"/>
  </ds:schemaRefs>
</ds:datastoreItem>
</file>

<file path=customXml/itemProps4.xml><?xml version="1.0" encoding="utf-8"?>
<ds:datastoreItem xmlns:ds="http://schemas.openxmlformats.org/officeDocument/2006/customXml" ds:itemID="{1526C8BD-E995-49D8-8EBF-84DACE4AD827}">
  <ds:schemaRefs>
    <ds:schemaRef ds:uri="http://schemas.microsoft.com/sharepoint/v3/contenttype/forms"/>
  </ds:schemaRefs>
</ds:datastoreItem>
</file>

<file path=customXml/itemProps5.xml><?xml version="1.0" encoding="utf-8"?>
<ds:datastoreItem xmlns:ds="http://schemas.openxmlformats.org/officeDocument/2006/customXml" ds:itemID="{F917881F-333A-4858-9BB3-9245194A94F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6.xml><?xml version="1.0" encoding="utf-8"?>
<ds:datastoreItem xmlns:ds="http://schemas.openxmlformats.org/officeDocument/2006/customXml" ds:itemID="{C6C8B8EF-1CE6-4F8B-A5A9-F1C0B3A60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11533</TotalTime>
  <Pages>8</Pages>
  <Words>3548</Words>
  <Characters>20225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CATT</Company>
  <LinksUpToDate>false</LinksUpToDate>
  <CharactersWithSpaces>23726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IAB</dc:title>
  <dc:creator>FCC</dc:creator>
  <cp:lastModifiedBy>Fang-Chen cheng</cp:lastModifiedBy>
  <cp:revision>11</cp:revision>
  <cp:lastPrinted>2016-08-09T16:44:00Z</cp:lastPrinted>
  <dcterms:created xsi:type="dcterms:W3CDTF">2018-05-12T00:32:00Z</dcterms:created>
  <dcterms:modified xsi:type="dcterms:W3CDTF">2018-08-10T20:39:00Z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1"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2" name="_2015_ms_pID_7253432">
    <vt:lpwstr>pQq81QtQJVS6fOBNNf+cB1XaxLuArhMNEx3B
5nCHYdAkZxy2KvX4MEH2nMRaL2g91Yv6fvk9y1sU9tsKbQZclYY=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1486152400</vt:lpwstr>
  </property>
  <property fmtid="{D5CDD505-2E9C-101B-9397-08002B2CF9AE}" pid="20" name="_NewReviewCycle">
    <vt:lpwstr/>
  </property>
  <property fmtid="{D5CDD505-2E9C-101B-9397-08002B2CF9AE}" pid="21" name="ContentTypeId">
    <vt:lpwstr>0x010100B09692573C08054E936A1BBD3D3E084A</vt:lpwstr>
  </property>
  <property fmtid="{D5CDD505-2E9C-101B-9397-08002B2CF9AE}" pid="22" name="_dlc_DocIdItemGuid">
    <vt:lpwstr>91e35fa0-67a0-47b6-933e-9c5f103d01b2</vt:lpwstr>
  </property>
</Properties>
</file>