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81B31" w14:textId="4ACF85EA"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sidR="00605AA3">
        <w:rPr>
          <w:rFonts w:ascii="Arial" w:hAnsi="Arial" w:cs="Arial"/>
          <w:b/>
          <w:sz w:val="24"/>
          <w:szCs w:val="24"/>
        </w:rPr>
        <w:t>9</w:t>
      </w:r>
      <w:r w:rsidR="00172C7F">
        <w:rPr>
          <w:rFonts w:ascii="Arial" w:hAnsi="Arial" w:cs="Arial"/>
          <w:b/>
          <w:sz w:val="24"/>
          <w:szCs w:val="24"/>
        </w:rPr>
        <w:t>3</w:t>
      </w:r>
      <w:r w:rsidRPr="000A64D8">
        <w:rPr>
          <w:rFonts w:ascii="Arial" w:hAnsi="Arial" w:cs="Arial"/>
          <w:b/>
          <w:sz w:val="24"/>
          <w:szCs w:val="24"/>
        </w:rPr>
        <w:tab/>
      </w:r>
      <w:r w:rsidR="00556F3D" w:rsidRPr="00556F3D">
        <w:rPr>
          <w:rFonts w:ascii="Arial" w:hAnsi="Arial" w:cs="Arial"/>
          <w:b/>
          <w:sz w:val="24"/>
          <w:szCs w:val="24"/>
        </w:rPr>
        <w:t>R1-</w:t>
      </w:r>
      <w:r w:rsidR="005648A0" w:rsidRPr="005648A0">
        <w:rPr>
          <w:rFonts w:ascii="Arial" w:hAnsi="Arial" w:cs="Arial"/>
          <w:b/>
          <w:sz w:val="24"/>
          <w:szCs w:val="24"/>
        </w:rPr>
        <w:t>1</w:t>
      </w:r>
      <w:r w:rsidR="003B1B5C">
        <w:rPr>
          <w:rFonts w:ascii="Arial" w:hAnsi="Arial" w:cs="Arial"/>
          <w:b/>
          <w:sz w:val="24"/>
          <w:szCs w:val="24"/>
        </w:rPr>
        <w:t>80</w:t>
      </w:r>
      <w:r w:rsidR="00A54D0B">
        <w:rPr>
          <w:rFonts w:ascii="Arial" w:hAnsi="Arial" w:cs="Arial"/>
          <w:b/>
          <w:sz w:val="24"/>
          <w:szCs w:val="24"/>
        </w:rPr>
        <w:t>7115</w:t>
      </w:r>
    </w:p>
    <w:p w14:paraId="3DC8E25D" w14:textId="7A03C65F" w:rsidR="00E162EE" w:rsidRDefault="00172C7F" w:rsidP="00E162EE">
      <w:pPr>
        <w:tabs>
          <w:tab w:val="right" w:pos="9630"/>
        </w:tabs>
        <w:spacing w:after="0"/>
        <w:jc w:val="both"/>
        <w:rPr>
          <w:rFonts w:ascii="Arial" w:hAnsi="Arial" w:cs="Arial"/>
          <w:b/>
          <w:sz w:val="24"/>
          <w:szCs w:val="24"/>
        </w:rPr>
      </w:pPr>
      <w:r>
        <w:rPr>
          <w:rFonts w:ascii="Arial" w:hAnsi="Arial" w:cs="Arial"/>
          <w:b/>
          <w:sz w:val="24"/>
          <w:szCs w:val="24"/>
        </w:rPr>
        <w:t>May</w:t>
      </w:r>
      <w:r w:rsidR="00E162EE">
        <w:rPr>
          <w:rFonts w:ascii="Arial" w:hAnsi="Arial" w:cs="Arial"/>
          <w:b/>
          <w:sz w:val="24"/>
          <w:szCs w:val="24"/>
        </w:rPr>
        <w:t xml:space="preserve"> </w:t>
      </w:r>
      <w:r>
        <w:rPr>
          <w:rFonts w:ascii="Arial" w:hAnsi="Arial" w:cs="Arial"/>
          <w:b/>
          <w:sz w:val="24"/>
          <w:szCs w:val="24"/>
        </w:rPr>
        <w:t>21</w:t>
      </w:r>
      <w:r w:rsidRPr="00172C7F">
        <w:rPr>
          <w:rFonts w:ascii="Arial" w:hAnsi="Arial" w:cs="Arial"/>
          <w:b/>
          <w:sz w:val="24"/>
          <w:szCs w:val="24"/>
          <w:vertAlign w:val="superscript"/>
        </w:rPr>
        <w:t>st</w:t>
      </w:r>
      <w:r>
        <w:rPr>
          <w:rFonts w:ascii="Arial" w:hAnsi="Arial" w:cs="Arial"/>
          <w:b/>
          <w:sz w:val="24"/>
          <w:szCs w:val="24"/>
        </w:rPr>
        <w:t xml:space="preserve"> </w:t>
      </w:r>
      <w:r w:rsidR="00E162EE">
        <w:rPr>
          <w:rFonts w:ascii="Arial" w:hAnsi="Arial" w:cs="Arial"/>
          <w:b/>
          <w:sz w:val="24"/>
          <w:szCs w:val="24"/>
        </w:rPr>
        <w:t xml:space="preserve">– </w:t>
      </w:r>
      <w:r w:rsidR="00E162EE" w:rsidRPr="003732BA">
        <w:rPr>
          <w:rFonts w:ascii="Arial" w:hAnsi="Arial" w:cs="Arial"/>
          <w:b/>
          <w:sz w:val="24"/>
          <w:szCs w:val="24"/>
        </w:rPr>
        <w:t xml:space="preserve"> </w:t>
      </w:r>
      <w:r w:rsidR="00E162EE">
        <w:rPr>
          <w:rFonts w:ascii="Arial" w:hAnsi="Arial" w:cs="Arial"/>
          <w:b/>
          <w:sz w:val="24"/>
          <w:szCs w:val="24"/>
        </w:rPr>
        <w:t>2</w:t>
      </w:r>
      <w:r>
        <w:rPr>
          <w:rFonts w:ascii="Arial" w:hAnsi="Arial" w:cs="Arial"/>
          <w:b/>
          <w:sz w:val="24"/>
          <w:szCs w:val="24"/>
        </w:rPr>
        <w:t>5</w:t>
      </w:r>
      <w:r w:rsidR="00E162EE" w:rsidRPr="008D1133">
        <w:rPr>
          <w:rFonts w:ascii="Arial" w:hAnsi="Arial" w:cs="Arial"/>
          <w:b/>
          <w:sz w:val="24"/>
          <w:szCs w:val="24"/>
          <w:vertAlign w:val="superscript"/>
        </w:rPr>
        <w:t>th</w:t>
      </w:r>
      <w:r w:rsidR="00E162EE">
        <w:rPr>
          <w:rFonts w:ascii="Arial" w:hAnsi="Arial" w:cs="Arial"/>
          <w:b/>
          <w:sz w:val="24"/>
          <w:szCs w:val="24"/>
        </w:rPr>
        <w:t xml:space="preserve"> 2018</w:t>
      </w:r>
    </w:p>
    <w:p w14:paraId="1866D85A" w14:textId="418F85D9" w:rsidR="009611DA" w:rsidRPr="00FD021C" w:rsidRDefault="00172C7F" w:rsidP="00E162EE">
      <w:pPr>
        <w:tabs>
          <w:tab w:val="right" w:pos="9630"/>
        </w:tabs>
        <w:spacing w:after="0"/>
        <w:jc w:val="both"/>
        <w:rPr>
          <w:rFonts w:ascii="Arial" w:hAnsi="Arial" w:cs="Arial"/>
          <w:b/>
          <w:sz w:val="24"/>
          <w:szCs w:val="24"/>
        </w:rPr>
      </w:pPr>
      <w:r>
        <w:rPr>
          <w:rFonts w:ascii="Arial" w:hAnsi="Arial" w:cs="Arial"/>
          <w:b/>
          <w:sz w:val="24"/>
          <w:szCs w:val="24"/>
        </w:rPr>
        <w:t>Busan</w:t>
      </w:r>
      <w:r w:rsidR="00E162EE" w:rsidRPr="00CA6BDF">
        <w:rPr>
          <w:rFonts w:ascii="Arial" w:hAnsi="Arial" w:cs="Arial"/>
          <w:b/>
          <w:sz w:val="24"/>
          <w:szCs w:val="24"/>
        </w:rPr>
        <w:t xml:space="preserve">, </w:t>
      </w:r>
      <w:r>
        <w:rPr>
          <w:rFonts w:ascii="Arial" w:hAnsi="Arial" w:cs="Arial"/>
          <w:b/>
          <w:sz w:val="24"/>
          <w:szCs w:val="24"/>
        </w:rPr>
        <w:t>Korea</w:t>
      </w:r>
    </w:p>
    <w:p w14:paraId="26881B34" w14:textId="77777777" w:rsidR="0068226B" w:rsidRPr="000A64D8" w:rsidRDefault="0068226B" w:rsidP="00480B03">
      <w:pPr>
        <w:pStyle w:val="Footer"/>
        <w:jc w:val="both"/>
        <w:rPr>
          <w:noProof w:val="0"/>
        </w:rPr>
      </w:pPr>
    </w:p>
    <w:p w14:paraId="26881B35" w14:textId="6456160A"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F4E12">
        <w:rPr>
          <w:rFonts w:ascii="Arial" w:hAnsi="Arial"/>
          <w:sz w:val="24"/>
        </w:rPr>
        <w:t>6</w:t>
      </w:r>
      <w:r w:rsidR="009A1DC8" w:rsidRPr="009A1DC8">
        <w:rPr>
          <w:rFonts w:ascii="Arial" w:hAnsi="Arial"/>
          <w:sz w:val="24"/>
        </w:rPr>
        <w:t>.2.</w:t>
      </w:r>
      <w:r w:rsidR="00713EEA">
        <w:rPr>
          <w:rFonts w:ascii="Arial" w:hAnsi="Arial"/>
          <w:sz w:val="24"/>
        </w:rPr>
        <w:t>7</w:t>
      </w:r>
      <w:r w:rsidR="009A1DC8" w:rsidRPr="009A1DC8">
        <w:rPr>
          <w:rFonts w:ascii="Arial" w:hAnsi="Arial"/>
          <w:sz w:val="24"/>
        </w:rPr>
        <w:t>.</w:t>
      </w:r>
      <w:r w:rsidR="00172C7F">
        <w:rPr>
          <w:rFonts w:ascii="Arial" w:hAnsi="Arial"/>
          <w:sz w:val="24"/>
        </w:rPr>
        <w:t>3</w:t>
      </w:r>
      <w:r w:rsidR="00265BBD">
        <w:rPr>
          <w:rFonts w:ascii="Arial" w:hAnsi="Arial"/>
          <w:sz w:val="24"/>
        </w:rPr>
        <w:t>.</w:t>
      </w:r>
      <w:r w:rsidR="00622D53">
        <w:rPr>
          <w:rFonts w:ascii="Arial" w:hAnsi="Arial"/>
          <w:sz w:val="24"/>
        </w:rPr>
        <w:t>1</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78AD50B5"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72C7F">
        <w:rPr>
          <w:rFonts w:ascii="Arial" w:hAnsi="Arial"/>
          <w:sz w:val="22"/>
        </w:rPr>
        <w:t>Remaining issues on d</w:t>
      </w:r>
      <w:r w:rsidR="007F1924">
        <w:rPr>
          <w:rFonts w:ascii="Arial" w:hAnsi="Arial"/>
          <w:sz w:val="24"/>
        </w:rPr>
        <w:t>ownlink aspects o</w:t>
      </w:r>
      <w:r w:rsidR="00622D53">
        <w:rPr>
          <w:rFonts w:ascii="Arial" w:hAnsi="Arial"/>
          <w:sz w:val="24"/>
        </w:rPr>
        <w:t>f TDD</w:t>
      </w:r>
      <w:r w:rsidR="00172C7F">
        <w:rPr>
          <w:rFonts w:ascii="Arial" w:hAnsi="Arial"/>
          <w:sz w:val="24"/>
        </w:rPr>
        <w:t xml:space="preserve"> NB-IoT</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3F642E61" w14:textId="77777777" w:rsidR="00172C7F" w:rsidRDefault="002C1E49" w:rsidP="00C1213E">
      <w:pPr>
        <w:jc w:val="both"/>
      </w:pPr>
      <w:r>
        <w:t xml:space="preserve">In this contribution, we </w:t>
      </w:r>
      <w:r w:rsidR="00172C7F">
        <w:t xml:space="preserve">discussed the following </w:t>
      </w:r>
      <w:r w:rsidR="00CF17D4">
        <w:t xml:space="preserve">remaining </w:t>
      </w:r>
      <w:r w:rsidR="00172C7F">
        <w:t>issues</w:t>
      </w:r>
      <w:r w:rsidR="00CF17D4">
        <w:t xml:space="preserve"> </w:t>
      </w:r>
      <w:r w:rsidR="00172C7F">
        <w:t>on DL design for TDD NB-IoT:</w:t>
      </w:r>
    </w:p>
    <w:p w14:paraId="5BF3D996" w14:textId="792819B4" w:rsidR="00172C7F" w:rsidRDefault="00172C7F" w:rsidP="00172C7F">
      <w:pPr>
        <w:numPr>
          <w:ilvl w:val="0"/>
          <w:numId w:val="28"/>
        </w:numPr>
        <w:tabs>
          <w:tab w:val="clear" w:pos="360"/>
        </w:tabs>
        <w:spacing w:after="0"/>
        <w:ind w:left="357" w:hanging="357"/>
        <w:jc w:val="both"/>
        <w:rPr>
          <w:lang w:eastAsia="zh-CN"/>
        </w:rPr>
      </w:pPr>
      <w:r>
        <w:rPr>
          <w:lang w:eastAsia="zh-CN"/>
        </w:rPr>
        <w:t>SIB1-NB on the non-anchor carrier</w:t>
      </w:r>
    </w:p>
    <w:p w14:paraId="126F1411" w14:textId="1F60BF64" w:rsidR="00172C7F" w:rsidRDefault="00172C7F" w:rsidP="00172C7F">
      <w:pPr>
        <w:numPr>
          <w:ilvl w:val="0"/>
          <w:numId w:val="28"/>
        </w:numPr>
        <w:tabs>
          <w:tab w:val="clear" w:pos="360"/>
        </w:tabs>
        <w:spacing w:after="0"/>
        <w:ind w:left="357" w:hanging="357"/>
        <w:jc w:val="both"/>
        <w:rPr>
          <w:lang w:eastAsia="zh-CN"/>
        </w:rPr>
      </w:pPr>
      <w:r>
        <w:rPr>
          <w:lang w:eastAsia="zh-CN"/>
        </w:rPr>
        <w:t>NRS subframe location on the anchor and non-anchor carrier</w:t>
      </w:r>
    </w:p>
    <w:p w14:paraId="34EF33E6" w14:textId="4CDD48D8" w:rsidR="00172C7F" w:rsidRDefault="00172C7F" w:rsidP="00172C7F">
      <w:pPr>
        <w:numPr>
          <w:ilvl w:val="0"/>
          <w:numId w:val="28"/>
        </w:numPr>
        <w:tabs>
          <w:tab w:val="clear" w:pos="360"/>
        </w:tabs>
        <w:spacing w:after="0"/>
        <w:ind w:left="357" w:hanging="357"/>
        <w:jc w:val="both"/>
        <w:rPr>
          <w:lang w:eastAsia="zh-CN"/>
        </w:rPr>
      </w:pPr>
      <w:r>
        <w:rPr>
          <w:lang w:eastAsia="zh-CN"/>
        </w:rPr>
        <w:t>NPDCCH and NPDSCH transmission</w:t>
      </w:r>
      <w:r w:rsidR="005968F0">
        <w:rPr>
          <w:lang w:eastAsia="zh-CN"/>
        </w:rPr>
        <w:t xml:space="preserve"> and RE mapping</w:t>
      </w:r>
    </w:p>
    <w:p w14:paraId="3DF40625" w14:textId="77777777" w:rsidR="00172C7F" w:rsidRDefault="00172C7F" w:rsidP="00172C7F">
      <w:pPr>
        <w:numPr>
          <w:ilvl w:val="0"/>
          <w:numId w:val="28"/>
        </w:numPr>
        <w:tabs>
          <w:tab w:val="clear" w:pos="360"/>
        </w:tabs>
        <w:spacing w:after="0"/>
        <w:ind w:left="357" w:hanging="357"/>
        <w:jc w:val="both"/>
        <w:rPr>
          <w:lang w:eastAsia="zh-CN"/>
        </w:rPr>
      </w:pPr>
      <w:r>
        <w:rPr>
          <w:lang w:eastAsia="zh-CN"/>
        </w:rPr>
        <w:t>OTDOA for TDD NB-IoT</w:t>
      </w:r>
    </w:p>
    <w:p w14:paraId="6A808625" w14:textId="21D1070A" w:rsidR="007D7698" w:rsidRDefault="00172C7F" w:rsidP="00564597">
      <w:pPr>
        <w:pStyle w:val="Heading1"/>
      </w:pPr>
      <w:r>
        <w:t>SIB1-NB on the non-anchor carrier</w:t>
      </w:r>
      <w:r w:rsidR="00AC5978">
        <w:t xml:space="preserve"> </w:t>
      </w:r>
    </w:p>
    <w:p w14:paraId="5207C34A" w14:textId="06AE3CCF" w:rsidR="009551E8" w:rsidRDefault="009551E8" w:rsidP="00193D48">
      <w:pPr>
        <w:jc w:val="both"/>
        <w:rPr>
          <w:lang w:val="en-GB" w:eastAsia="zh-CN"/>
        </w:rPr>
      </w:pPr>
      <w:r>
        <w:rPr>
          <w:rFonts w:hint="eastAsia"/>
          <w:lang w:val="en-GB" w:eastAsia="zh-CN"/>
        </w:rPr>
        <w:t xml:space="preserve">In RAN1#92bis, </w:t>
      </w:r>
      <w:r w:rsidR="00851F2F">
        <w:rPr>
          <w:lang w:val="en-GB" w:eastAsia="zh-CN"/>
        </w:rPr>
        <w:t xml:space="preserve">the following agreement for SIB1-NB transmission on the non-anchor carrier was made. </w:t>
      </w:r>
    </w:p>
    <w:p w14:paraId="0750380C" w14:textId="39522E65" w:rsidR="00851F2F" w:rsidRPr="00851F2F" w:rsidRDefault="00851F2F" w:rsidP="00851F2F">
      <w:pPr>
        <w:overflowPunct/>
        <w:autoSpaceDE/>
        <w:autoSpaceDN/>
        <w:adjustRightInd/>
        <w:spacing w:after="0"/>
        <w:textAlignment w:val="auto"/>
        <w:rPr>
          <w:rFonts w:cs="Arial"/>
          <w:highlight w:val="green"/>
          <w:lang w:val="en-GB"/>
        </w:rPr>
      </w:pPr>
      <w:r w:rsidRPr="00851F2F">
        <w:rPr>
          <w:rFonts w:cs="Arial"/>
          <w:highlight w:val="green"/>
          <w:lang w:val="en-GB"/>
        </w:rPr>
        <w:t>Agreements:</w:t>
      </w:r>
    </w:p>
    <w:p w14:paraId="09BBB047" w14:textId="77777777" w:rsidR="00851F2F" w:rsidRDefault="00851F2F" w:rsidP="00851F2F">
      <w:pPr>
        <w:numPr>
          <w:ilvl w:val="0"/>
          <w:numId w:val="28"/>
        </w:numPr>
        <w:tabs>
          <w:tab w:val="clear" w:pos="360"/>
        </w:tabs>
        <w:spacing w:after="0"/>
        <w:ind w:left="357" w:hanging="357"/>
        <w:jc w:val="both"/>
        <w:rPr>
          <w:bCs/>
          <w:lang w:eastAsia="zh-CN"/>
        </w:rPr>
      </w:pPr>
      <w:r w:rsidRPr="00851F2F">
        <w:rPr>
          <w:lang w:eastAsia="zh-CN"/>
        </w:rPr>
        <w:t>For non-anchor carrier transmission of SIB1-NB</w:t>
      </w:r>
    </w:p>
    <w:p w14:paraId="00665BE1" w14:textId="77777777" w:rsidR="00851F2F" w:rsidRPr="00851F2F" w:rsidRDefault="00851F2F" w:rsidP="00851F2F">
      <w:pPr>
        <w:numPr>
          <w:ilvl w:val="1"/>
          <w:numId w:val="31"/>
        </w:numPr>
        <w:tabs>
          <w:tab w:val="clear" w:pos="1080"/>
        </w:tabs>
        <w:spacing w:after="0"/>
        <w:jc w:val="both"/>
        <w:rPr>
          <w:lang w:eastAsia="zh-CN"/>
        </w:rPr>
      </w:pPr>
      <w:r w:rsidRPr="00851F2F">
        <w:rPr>
          <w:lang w:eastAsia="zh-CN"/>
        </w:rPr>
        <w:t>MIB-NB has 3 bits to indicate the number of repetitions/TBS</w:t>
      </w:r>
    </w:p>
    <w:p w14:paraId="71DF702C" w14:textId="77777777" w:rsidR="00851F2F" w:rsidRPr="00851F2F" w:rsidRDefault="00851F2F" w:rsidP="00851F2F">
      <w:pPr>
        <w:numPr>
          <w:ilvl w:val="1"/>
          <w:numId w:val="31"/>
        </w:numPr>
        <w:tabs>
          <w:tab w:val="clear" w:pos="1080"/>
        </w:tabs>
        <w:spacing w:after="0"/>
        <w:jc w:val="both"/>
        <w:rPr>
          <w:lang w:eastAsia="zh-CN"/>
        </w:rPr>
      </w:pPr>
      <w:r w:rsidRPr="00851F2F">
        <w:rPr>
          <w:lang w:eastAsia="zh-CN"/>
        </w:rPr>
        <w:t>MIB-NB has 1 bit to indicate the frequency domain location of SIB1-NB non-anchor carrier</w:t>
      </w:r>
    </w:p>
    <w:p w14:paraId="23DF32FC" w14:textId="70D33C8F" w:rsidR="00851F2F" w:rsidRPr="00851F2F" w:rsidRDefault="00851F2F" w:rsidP="00851F2F">
      <w:pPr>
        <w:numPr>
          <w:ilvl w:val="2"/>
          <w:numId w:val="28"/>
        </w:numPr>
        <w:spacing w:after="0"/>
        <w:jc w:val="both"/>
        <w:rPr>
          <w:lang w:eastAsia="zh-CN"/>
        </w:rPr>
      </w:pPr>
      <w:r w:rsidRPr="00851F2F">
        <w:rPr>
          <w:lang w:eastAsia="zh-CN"/>
        </w:rPr>
        <w:t xml:space="preserve">For </w:t>
      </w:r>
      <w:r>
        <w:rPr>
          <w:lang w:eastAsia="zh-CN"/>
        </w:rPr>
        <w:t>i</w:t>
      </w:r>
      <w:r w:rsidRPr="00851F2F">
        <w:rPr>
          <w:lang w:eastAsia="zh-CN"/>
        </w:rPr>
        <w:t>n-band anchor + in-band non-anchor, either the adjacent lower PRB relative to anchor PRB, or the adjacent higher PRB relative to anchor PRB</w:t>
      </w:r>
    </w:p>
    <w:p w14:paraId="44B3BE18" w14:textId="77777777" w:rsidR="00851F2F" w:rsidRPr="00851F2F" w:rsidRDefault="00851F2F" w:rsidP="00851F2F">
      <w:pPr>
        <w:numPr>
          <w:ilvl w:val="2"/>
          <w:numId w:val="28"/>
        </w:numPr>
        <w:spacing w:after="0"/>
        <w:jc w:val="both"/>
        <w:rPr>
          <w:lang w:eastAsia="zh-CN"/>
        </w:rPr>
      </w:pPr>
      <w:r w:rsidRPr="00851F2F">
        <w:rPr>
          <w:lang w:eastAsia="zh-CN"/>
        </w:rPr>
        <w:t>FFS guard-band combinations</w:t>
      </w:r>
    </w:p>
    <w:p w14:paraId="3E9082AC" w14:textId="1AC547E1" w:rsidR="00851F2F" w:rsidRPr="00851F2F" w:rsidRDefault="00851F2F" w:rsidP="00851F2F">
      <w:pPr>
        <w:numPr>
          <w:ilvl w:val="2"/>
          <w:numId w:val="28"/>
        </w:numPr>
        <w:ind w:left="1797" w:hanging="357"/>
        <w:jc w:val="both"/>
        <w:rPr>
          <w:lang w:eastAsia="zh-CN"/>
        </w:rPr>
      </w:pPr>
      <w:r w:rsidRPr="00851F2F">
        <w:rPr>
          <w:lang w:eastAsia="zh-CN"/>
        </w:rPr>
        <w:t>For standalone</w:t>
      </w:r>
      <w:r>
        <w:rPr>
          <w:lang w:eastAsia="zh-CN"/>
        </w:rPr>
        <w:t xml:space="preserve"> </w:t>
      </w:r>
      <w:r w:rsidRPr="00851F2F">
        <w:rPr>
          <w:lang w:eastAsia="zh-CN"/>
        </w:rPr>
        <w:t>+</w:t>
      </w:r>
      <w:r>
        <w:rPr>
          <w:lang w:eastAsia="zh-CN"/>
        </w:rPr>
        <w:t xml:space="preserve"> </w:t>
      </w:r>
      <w:r w:rsidRPr="00851F2F">
        <w:rPr>
          <w:lang w:eastAsia="zh-CN"/>
        </w:rPr>
        <w:t>standalone, to indicate one of the 2 adjacent carriers relative to anchor carrier. FFS signaling of frequency offset of the carrier.</w:t>
      </w:r>
    </w:p>
    <w:p w14:paraId="126FE28D" w14:textId="5F032B5A" w:rsidR="00851F2F" w:rsidRDefault="00851F2F" w:rsidP="00851F2F">
      <w:pPr>
        <w:spacing w:before="180"/>
        <w:jc w:val="both"/>
        <w:rPr>
          <w:lang w:val="en-GB" w:eastAsia="zh-CN"/>
        </w:rPr>
      </w:pPr>
      <w:r>
        <w:rPr>
          <w:lang w:val="en-GB" w:eastAsia="zh-CN"/>
        </w:rPr>
        <w:t xml:space="preserve">According to the agreement, there is 1 bit in MIB-NB for indicating the frequency location of the non-anchor carrier for </w:t>
      </w:r>
      <w:proofErr w:type="spellStart"/>
      <w:r>
        <w:rPr>
          <w:lang w:val="en-GB" w:eastAsia="zh-CN"/>
        </w:rPr>
        <w:t>inband</w:t>
      </w:r>
      <w:proofErr w:type="spellEnd"/>
      <w:r>
        <w:rPr>
          <w:lang w:val="en-GB" w:eastAsia="zh-CN"/>
        </w:rPr>
        <w:t xml:space="preserve"> and standalone deployment mode. However, the frequency location of the non-anchor carrier for </w:t>
      </w:r>
      <w:proofErr w:type="spellStart"/>
      <w:r>
        <w:rPr>
          <w:lang w:val="en-GB" w:eastAsia="zh-CN"/>
        </w:rPr>
        <w:t>guardband</w:t>
      </w:r>
      <w:proofErr w:type="spellEnd"/>
      <w:r>
        <w:rPr>
          <w:lang w:val="en-GB" w:eastAsia="zh-CN"/>
        </w:rPr>
        <w:t xml:space="preserve"> mode has not been agreed. In our view, the same approach can be reused for </w:t>
      </w:r>
      <w:proofErr w:type="spellStart"/>
      <w:r>
        <w:rPr>
          <w:lang w:val="en-GB" w:eastAsia="zh-CN"/>
        </w:rPr>
        <w:t>guardband</w:t>
      </w:r>
      <w:proofErr w:type="spellEnd"/>
      <w:r>
        <w:rPr>
          <w:lang w:val="en-GB" w:eastAsia="zh-CN"/>
        </w:rPr>
        <w:t xml:space="preserve"> mode, i.e., one bit to indicate the adjacent lower or higher carrier to the anchor PRB. Depending on the location of the anchor PRB, the </w:t>
      </w:r>
      <w:r w:rsidR="00B1185B">
        <w:rPr>
          <w:lang w:val="en-GB" w:eastAsia="zh-CN"/>
        </w:rPr>
        <w:t xml:space="preserve">interpretation of the adjacent lower and higher carrier can be different. For example, if the anchor carrier is in the upper bandwidth part, i.e., with a negative raster offset, the adjacent lower carrier is an </w:t>
      </w:r>
      <w:proofErr w:type="spellStart"/>
      <w:r w:rsidR="00B1185B">
        <w:rPr>
          <w:lang w:val="en-GB" w:eastAsia="zh-CN"/>
        </w:rPr>
        <w:t>inband</w:t>
      </w:r>
      <w:proofErr w:type="spellEnd"/>
      <w:r w:rsidR="00B1185B">
        <w:rPr>
          <w:lang w:val="en-GB" w:eastAsia="zh-CN"/>
        </w:rPr>
        <w:t xml:space="preserve"> non-anchor carrier and the adjacent higher carrier is a </w:t>
      </w:r>
      <w:proofErr w:type="spellStart"/>
      <w:r w:rsidR="00B1185B">
        <w:rPr>
          <w:lang w:val="en-GB" w:eastAsia="zh-CN"/>
        </w:rPr>
        <w:t>guardband</w:t>
      </w:r>
      <w:proofErr w:type="spellEnd"/>
      <w:r w:rsidR="00B1185B">
        <w:rPr>
          <w:lang w:val="en-GB" w:eastAsia="zh-CN"/>
        </w:rPr>
        <w:t xml:space="preserve"> non-anchor carrier. Similarly, if the anchor carrier is the lower bandwidth part, i.e., with a positive raster offset, the adjacent lower carrier is a </w:t>
      </w:r>
      <w:proofErr w:type="spellStart"/>
      <w:r w:rsidR="00B1185B">
        <w:rPr>
          <w:lang w:val="en-GB" w:eastAsia="zh-CN"/>
        </w:rPr>
        <w:t>guardband</w:t>
      </w:r>
      <w:proofErr w:type="spellEnd"/>
      <w:r w:rsidR="00B1185B">
        <w:rPr>
          <w:lang w:val="en-GB" w:eastAsia="zh-CN"/>
        </w:rPr>
        <w:t xml:space="preserve"> non-anchor carrier and the adjacent higher carrier is an </w:t>
      </w:r>
      <w:proofErr w:type="spellStart"/>
      <w:r w:rsidR="00B1185B">
        <w:rPr>
          <w:lang w:val="en-GB" w:eastAsia="zh-CN"/>
        </w:rPr>
        <w:t>inband</w:t>
      </w:r>
      <w:proofErr w:type="spellEnd"/>
      <w:r w:rsidR="00B1185B">
        <w:rPr>
          <w:lang w:val="en-GB" w:eastAsia="zh-CN"/>
        </w:rPr>
        <w:t xml:space="preserve"> non-anchor carrier. One example for 10MHz LTE system bandwidth is shown in Figure 1 below.</w:t>
      </w:r>
    </w:p>
    <w:p w14:paraId="03A5999A" w14:textId="7B604A8B" w:rsidR="00B1185B" w:rsidRDefault="00B1185B" w:rsidP="00B1185B">
      <w:pPr>
        <w:jc w:val="right"/>
        <w:rPr>
          <w:lang w:val="en-GB"/>
        </w:rPr>
      </w:pPr>
      <w:r w:rsidRPr="00B1185B">
        <w:rPr>
          <w:noProof/>
        </w:rPr>
        <w:drawing>
          <wp:inline distT="0" distB="0" distL="0" distR="0" wp14:anchorId="09B5E951" wp14:editId="5D655D7B">
            <wp:extent cx="6332220" cy="147086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470862"/>
                    </a:xfrm>
                    <a:prstGeom prst="rect">
                      <a:avLst/>
                    </a:prstGeom>
                    <a:noFill/>
                    <a:ln>
                      <a:noFill/>
                    </a:ln>
                  </pic:spPr>
                </pic:pic>
              </a:graphicData>
            </a:graphic>
          </wp:inline>
        </w:drawing>
      </w:r>
    </w:p>
    <w:p w14:paraId="03025947" w14:textId="37B30644" w:rsidR="00B1185B" w:rsidRDefault="00B1185B" w:rsidP="00B1185B">
      <w:pPr>
        <w:jc w:val="center"/>
        <w:rPr>
          <w:b/>
          <w:lang w:val="en-GB" w:eastAsia="zh-CN"/>
        </w:rPr>
      </w:pPr>
      <w:r w:rsidRPr="006959E0">
        <w:rPr>
          <w:rFonts w:hint="eastAsia"/>
          <w:b/>
          <w:lang w:val="en-GB" w:eastAsia="zh-CN"/>
        </w:rPr>
        <w:lastRenderedPageBreak/>
        <w:t xml:space="preserve">Figure </w:t>
      </w:r>
      <w:r>
        <w:rPr>
          <w:b/>
          <w:lang w:val="en-GB" w:eastAsia="zh-CN"/>
        </w:rPr>
        <w:t>1</w:t>
      </w:r>
      <w:r w:rsidRPr="006959E0">
        <w:rPr>
          <w:rFonts w:hint="eastAsia"/>
          <w:b/>
          <w:lang w:val="en-GB" w:eastAsia="zh-CN"/>
        </w:rPr>
        <w:t xml:space="preserve">: </w:t>
      </w:r>
      <w:r>
        <w:rPr>
          <w:b/>
          <w:lang w:val="en-GB" w:eastAsia="zh-CN"/>
        </w:rPr>
        <w:t>Relationship between the anchor/non-anchor carrier based on the raster offset</w:t>
      </w:r>
    </w:p>
    <w:p w14:paraId="727EEDDE" w14:textId="5D5ACD31" w:rsidR="00851F2F" w:rsidRDefault="00B1185B" w:rsidP="00193D48">
      <w:pPr>
        <w:jc w:val="both"/>
        <w:rPr>
          <w:lang w:val="en-GB" w:eastAsia="zh-CN"/>
        </w:rPr>
      </w:pPr>
      <w:r>
        <w:rPr>
          <w:rFonts w:hint="eastAsia"/>
          <w:lang w:val="en-GB" w:eastAsia="zh-CN"/>
        </w:rPr>
        <w:t xml:space="preserve">It is also noted that the </w:t>
      </w:r>
      <w:r>
        <w:rPr>
          <w:lang w:val="en-GB" w:eastAsia="zh-CN"/>
        </w:rPr>
        <w:t xml:space="preserve">frequency </w:t>
      </w:r>
      <w:r>
        <w:rPr>
          <w:rFonts w:hint="eastAsia"/>
          <w:lang w:val="en-GB" w:eastAsia="zh-CN"/>
        </w:rPr>
        <w:t xml:space="preserve">offset of the </w:t>
      </w:r>
      <w:proofErr w:type="spellStart"/>
      <w:r>
        <w:rPr>
          <w:rFonts w:hint="eastAsia"/>
          <w:lang w:val="en-GB" w:eastAsia="zh-CN"/>
        </w:rPr>
        <w:t>guardband</w:t>
      </w:r>
      <w:proofErr w:type="spellEnd"/>
      <w:r>
        <w:rPr>
          <w:rFonts w:hint="eastAsia"/>
          <w:lang w:val="en-GB" w:eastAsia="zh-CN"/>
        </w:rPr>
        <w:t xml:space="preserve"> anchor carrier to the </w:t>
      </w:r>
      <w:proofErr w:type="spellStart"/>
      <w:r>
        <w:rPr>
          <w:rFonts w:hint="eastAsia"/>
          <w:lang w:val="en-GB" w:eastAsia="zh-CN"/>
        </w:rPr>
        <w:t>inband</w:t>
      </w:r>
      <w:proofErr w:type="spellEnd"/>
      <w:r>
        <w:rPr>
          <w:rFonts w:hint="eastAsia"/>
          <w:lang w:val="en-GB" w:eastAsia="zh-CN"/>
        </w:rPr>
        <w:t xml:space="preserve"> LTE PRB </w:t>
      </w:r>
      <w:r>
        <w:rPr>
          <w:lang w:val="en-GB" w:eastAsia="zh-CN"/>
        </w:rPr>
        <w:t xml:space="preserve">is not always 180 kHz. For 5 and 15MHz system bandwidth, there are 45kHz offset. Therefore, in order to derive the </w:t>
      </w:r>
      <w:proofErr w:type="spellStart"/>
      <w:r>
        <w:rPr>
          <w:lang w:val="en-GB" w:eastAsia="zh-CN"/>
        </w:rPr>
        <w:t>center</w:t>
      </w:r>
      <w:proofErr w:type="spellEnd"/>
      <w:r>
        <w:rPr>
          <w:lang w:val="en-GB" w:eastAsia="zh-CN"/>
        </w:rPr>
        <w:t xml:space="preserve"> frequency of the </w:t>
      </w:r>
      <w:proofErr w:type="spellStart"/>
      <w:r>
        <w:rPr>
          <w:lang w:val="en-GB" w:eastAsia="zh-CN"/>
        </w:rPr>
        <w:t>inband</w:t>
      </w:r>
      <w:proofErr w:type="spellEnd"/>
      <w:r>
        <w:rPr>
          <w:lang w:val="en-GB" w:eastAsia="zh-CN"/>
        </w:rPr>
        <w:t xml:space="preserve"> non-anchor, it seems the </w:t>
      </w:r>
      <w:proofErr w:type="spellStart"/>
      <w:r>
        <w:rPr>
          <w:lang w:val="en-GB" w:eastAsia="zh-CN"/>
        </w:rPr>
        <w:t>inband</w:t>
      </w:r>
      <w:proofErr w:type="spellEnd"/>
      <w:r>
        <w:rPr>
          <w:lang w:val="en-GB" w:eastAsia="zh-CN"/>
        </w:rPr>
        <w:t xml:space="preserve"> LTE system bandwidth shall be signalled to UE. </w:t>
      </w:r>
      <w:r w:rsidR="00831D2B">
        <w:rPr>
          <w:lang w:val="en-GB" w:eastAsia="zh-CN"/>
        </w:rPr>
        <w:t xml:space="preserve">Fortunately, this signalling is not needed since UE can determine whether there is 45kHz offset between the </w:t>
      </w:r>
      <w:proofErr w:type="spellStart"/>
      <w:r w:rsidR="00831D2B">
        <w:rPr>
          <w:lang w:val="en-GB" w:eastAsia="zh-CN"/>
        </w:rPr>
        <w:t>guardband</w:t>
      </w:r>
      <w:proofErr w:type="spellEnd"/>
      <w:r w:rsidR="00831D2B">
        <w:rPr>
          <w:lang w:val="en-GB" w:eastAsia="zh-CN"/>
        </w:rPr>
        <w:t xml:space="preserve"> anchor carrier and the </w:t>
      </w:r>
      <w:proofErr w:type="spellStart"/>
      <w:r w:rsidR="00831D2B">
        <w:rPr>
          <w:lang w:val="en-GB" w:eastAsia="zh-CN"/>
        </w:rPr>
        <w:t>inband</w:t>
      </w:r>
      <w:proofErr w:type="spellEnd"/>
      <w:r w:rsidR="00831D2B">
        <w:rPr>
          <w:lang w:val="en-GB" w:eastAsia="zh-CN"/>
        </w:rPr>
        <w:t xml:space="preserve"> non-anchor carrier based on the value of the raster offset. For the raster offset of +7.5kHz or -7.5kHz, the </w:t>
      </w:r>
      <w:proofErr w:type="spellStart"/>
      <w:r w:rsidR="00831D2B">
        <w:rPr>
          <w:lang w:val="en-GB" w:eastAsia="zh-CN"/>
        </w:rPr>
        <w:t>inband</w:t>
      </w:r>
      <w:proofErr w:type="spellEnd"/>
      <w:r w:rsidR="00831D2B">
        <w:rPr>
          <w:lang w:val="en-GB" w:eastAsia="zh-CN"/>
        </w:rPr>
        <w:t xml:space="preserve"> LTE system bandwidth is either 5MHz or 15KMHz and thus 45kHz offset is considered. And for the raster offset of +2.5kHz or -2.5kHz the LTE system bandwidth is either 10MHz or 20MHz and the 45kHz offset is not considered. </w:t>
      </w:r>
    </w:p>
    <w:p w14:paraId="19B96296" w14:textId="2512B3F4" w:rsidR="00831D2B" w:rsidRDefault="00831D2B" w:rsidP="00831D2B">
      <w:pPr>
        <w:rPr>
          <w:b/>
          <w:lang w:val="en-GB"/>
        </w:rPr>
      </w:pPr>
      <w:r>
        <w:rPr>
          <w:b/>
          <w:u w:val="single"/>
          <w:lang w:val="en-GB"/>
        </w:rPr>
        <w:t xml:space="preserve">Proposal </w:t>
      </w:r>
      <w:r w:rsidR="00E726DF">
        <w:rPr>
          <w:b/>
          <w:u w:val="single"/>
          <w:lang w:val="en-GB"/>
        </w:rPr>
        <w:t>1</w:t>
      </w:r>
      <w:r w:rsidRPr="005648A0">
        <w:rPr>
          <w:b/>
          <w:lang w:val="en-GB"/>
        </w:rPr>
        <w:t xml:space="preserve">: </w:t>
      </w:r>
      <w:r>
        <w:rPr>
          <w:b/>
          <w:lang w:val="en-GB"/>
        </w:rPr>
        <w:t xml:space="preserve">For </w:t>
      </w:r>
      <w:proofErr w:type="spellStart"/>
      <w:r>
        <w:rPr>
          <w:b/>
          <w:lang w:val="en-GB"/>
        </w:rPr>
        <w:t>guardband</w:t>
      </w:r>
      <w:proofErr w:type="spellEnd"/>
      <w:r>
        <w:rPr>
          <w:b/>
          <w:lang w:val="en-GB"/>
        </w:rPr>
        <w:t xml:space="preserve">, the 1-bit freqInfoSIB1 in MIB-NB is used to indicate the </w:t>
      </w:r>
      <w:r w:rsidRPr="00831D2B">
        <w:rPr>
          <w:b/>
          <w:lang w:val="en-GB"/>
        </w:rPr>
        <w:t xml:space="preserve">SIB1-NB non-anchor </w:t>
      </w:r>
      <w:r>
        <w:rPr>
          <w:b/>
          <w:lang w:val="en-GB"/>
        </w:rPr>
        <w:t xml:space="preserve">on either </w:t>
      </w:r>
      <w:r w:rsidR="00C544DD">
        <w:rPr>
          <w:b/>
          <w:lang w:val="en-GB"/>
        </w:rPr>
        <w:t xml:space="preserve">the </w:t>
      </w:r>
      <w:r>
        <w:rPr>
          <w:b/>
          <w:lang w:val="en-GB"/>
        </w:rPr>
        <w:t xml:space="preserve">adjacent lower carrier or </w:t>
      </w:r>
      <w:r w:rsidR="005C5F65">
        <w:rPr>
          <w:b/>
          <w:lang w:val="en-GB"/>
        </w:rPr>
        <w:t xml:space="preserve">the </w:t>
      </w:r>
      <w:r>
        <w:rPr>
          <w:b/>
          <w:lang w:val="en-GB"/>
        </w:rPr>
        <w:t xml:space="preserve">adjacent higher carrier </w:t>
      </w:r>
      <w:r w:rsidR="00C544DD">
        <w:rPr>
          <w:b/>
          <w:lang w:val="en-GB"/>
        </w:rPr>
        <w:t xml:space="preserve">relative </w:t>
      </w:r>
      <w:r>
        <w:rPr>
          <w:b/>
          <w:lang w:val="en-GB"/>
        </w:rPr>
        <w:t xml:space="preserve">to </w:t>
      </w:r>
      <w:r w:rsidR="00E726DF">
        <w:rPr>
          <w:b/>
          <w:lang w:val="en-GB"/>
        </w:rPr>
        <w:t xml:space="preserve">the anchor carrier </w:t>
      </w:r>
      <w:r w:rsidR="00445EB5">
        <w:rPr>
          <w:b/>
          <w:lang w:val="en-GB"/>
        </w:rPr>
        <w:t>and</w:t>
      </w:r>
      <w:r w:rsidR="005C5F65">
        <w:rPr>
          <w:b/>
          <w:lang w:val="en-GB"/>
        </w:rPr>
        <w:t xml:space="preserve"> the frequency location is further determined </w:t>
      </w:r>
      <w:r w:rsidR="00445EB5">
        <w:rPr>
          <w:b/>
          <w:lang w:val="en-GB"/>
        </w:rPr>
        <w:t>by</w:t>
      </w:r>
      <w:r w:rsidR="00E726DF">
        <w:rPr>
          <w:b/>
          <w:lang w:val="en-GB"/>
        </w:rPr>
        <w:t xml:space="preserve"> the signalled raster offset</w:t>
      </w:r>
    </w:p>
    <w:p w14:paraId="361E69F6" w14:textId="25D3A55C" w:rsidR="00151BC7" w:rsidRDefault="00151BC7" w:rsidP="00E726DF">
      <w:pPr>
        <w:pStyle w:val="Heading1"/>
      </w:pPr>
      <w:r>
        <w:t>NRS</w:t>
      </w:r>
      <w:r w:rsidR="00E726DF">
        <w:t xml:space="preserve"> subframe location</w:t>
      </w:r>
    </w:p>
    <w:p w14:paraId="2A39A959" w14:textId="01787C6B" w:rsidR="00E726DF" w:rsidRDefault="00F77C2F" w:rsidP="00151BC7">
      <w:pPr>
        <w:jc w:val="both"/>
        <w:rPr>
          <w:lang w:val="en-GB" w:eastAsia="zh-CN"/>
        </w:rPr>
      </w:pPr>
      <w:r>
        <w:rPr>
          <w:rFonts w:hint="eastAsia"/>
          <w:lang w:val="en-GB" w:eastAsia="zh-CN"/>
        </w:rPr>
        <w:t>In Rel-14 FDD, the UE</w:t>
      </w:r>
      <w:r>
        <w:rPr>
          <w:lang w:val="en-GB" w:eastAsia="zh-CN"/>
        </w:rPr>
        <w:t xml:space="preserve">’s assumption on NRS subframe location can be different for the anchor and non-anchor carrier. For the anchor carrier, NRS may be transmitted on subframe 0, 4 and 9 not containing NSSS, and for the non-anchor carrier NRS can be transmitted in two additional subframes, i.e., subframe 1 and 3. </w:t>
      </w:r>
    </w:p>
    <w:p w14:paraId="3201F5CC" w14:textId="63C4B3AC" w:rsidR="00F77C2F" w:rsidRDefault="00F77C2F" w:rsidP="00151BC7">
      <w:pPr>
        <w:jc w:val="both"/>
        <w:rPr>
          <w:lang w:val="en-GB" w:eastAsia="zh-CN"/>
        </w:rPr>
      </w:pPr>
      <w:r>
        <w:rPr>
          <w:lang w:val="en-GB" w:eastAsia="zh-CN"/>
        </w:rPr>
        <w:t xml:space="preserve">For TDD NB-IoT, before a UE obtains the MIB-NB, the UE may assume NRS is transmitted in subframe 0 of every odd-numbered frame and subframe #9. After the acquisition of the MIB-NB, if subframe #4 is used for </w:t>
      </w:r>
      <w:r w:rsidR="00445EB5">
        <w:rPr>
          <w:lang w:val="en-GB" w:eastAsia="zh-CN"/>
        </w:rPr>
        <w:t xml:space="preserve">SIB1-NB transmission on the anchor carrier, then </w:t>
      </w:r>
      <w:r>
        <w:rPr>
          <w:lang w:val="en-GB" w:eastAsia="zh-CN"/>
        </w:rPr>
        <w:t xml:space="preserve">UE </w:t>
      </w:r>
      <w:r w:rsidR="00445EB5">
        <w:rPr>
          <w:lang w:val="en-GB" w:eastAsia="zh-CN"/>
        </w:rPr>
        <w:t>will assume NRS is also transmitted in subframe #4. UE can further assume that NRS is transmitted in any other valid NB-IoT DL and special subframes based on the valid subframe bitmap configuration in SIB1-NB.</w:t>
      </w:r>
    </w:p>
    <w:p w14:paraId="2AD6BD2C" w14:textId="77777777" w:rsidR="00445EB5" w:rsidRDefault="00445EB5" w:rsidP="00151BC7">
      <w:pPr>
        <w:jc w:val="both"/>
        <w:rPr>
          <w:lang w:val="en-GB" w:eastAsia="zh-CN"/>
        </w:rPr>
      </w:pPr>
      <w:r>
        <w:rPr>
          <w:lang w:val="en-GB" w:eastAsia="zh-CN"/>
        </w:rPr>
        <w:t>For the non-anchor carrier where the SIB1-NB is transmitted, UE can assume that NRS is transmitted in subframe 0, 5 and 9. In addition, UE can assume NRS is transmitted in any other valid NB-IoT DL and special subframes if the valid subframe configuration bitmap for the non-anchor carrier is indicated by SIB1-NB.</w:t>
      </w:r>
    </w:p>
    <w:p w14:paraId="03FA36BD" w14:textId="450487D6" w:rsidR="005968F0" w:rsidRDefault="00445EB5" w:rsidP="005968F0">
      <w:pPr>
        <w:rPr>
          <w:b/>
          <w:lang w:val="en-GB"/>
        </w:rPr>
      </w:pPr>
      <w:r>
        <w:rPr>
          <w:b/>
          <w:u w:val="single"/>
          <w:lang w:val="en-GB"/>
        </w:rPr>
        <w:t xml:space="preserve">Proposal </w:t>
      </w:r>
      <w:r w:rsidR="005968F0">
        <w:rPr>
          <w:b/>
          <w:u w:val="single"/>
          <w:lang w:val="en-GB"/>
        </w:rPr>
        <w:t>2</w:t>
      </w:r>
      <w:r w:rsidRPr="005648A0">
        <w:rPr>
          <w:b/>
          <w:lang w:val="en-GB"/>
        </w:rPr>
        <w:t xml:space="preserve">: </w:t>
      </w:r>
      <w:r>
        <w:rPr>
          <w:b/>
          <w:lang w:val="en-GB"/>
        </w:rPr>
        <w:t xml:space="preserve">For the anchor carrier, UE assumes that NRS is transmitted in </w:t>
      </w:r>
      <w:r w:rsidR="005968F0">
        <w:rPr>
          <w:b/>
          <w:lang w:val="en-GB"/>
        </w:rPr>
        <w:t>subframe #0 not containing NSSS, #9, #</w:t>
      </w:r>
      <w:r>
        <w:rPr>
          <w:b/>
          <w:lang w:val="en-GB"/>
        </w:rPr>
        <w:t xml:space="preserve">4 if used for SIB1-NB, and any other valid DL subframes </w:t>
      </w:r>
      <w:r w:rsidR="005968F0">
        <w:rPr>
          <w:b/>
          <w:lang w:val="en-GB"/>
        </w:rPr>
        <w:t>based on the valid subframe configuration in SIB1-NB</w:t>
      </w:r>
    </w:p>
    <w:p w14:paraId="29F5625D" w14:textId="63429566" w:rsidR="005968F0" w:rsidRDefault="005968F0" w:rsidP="005968F0">
      <w:pPr>
        <w:rPr>
          <w:b/>
          <w:lang w:val="en-GB"/>
        </w:rPr>
      </w:pPr>
      <w:r>
        <w:rPr>
          <w:b/>
          <w:u w:val="single"/>
          <w:lang w:val="en-GB"/>
        </w:rPr>
        <w:t>Proposal 3</w:t>
      </w:r>
      <w:r w:rsidRPr="005648A0">
        <w:rPr>
          <w:b/>
          <w:lang w:val="en-GB"/>
        </w:rPr>
        <w:t xml:space="preserve">: </w:t>
      </w:r>
      <w:r>
        <w:rPr>
          <w:b/>
          <w:lang w:val="en-GB"/>
        </w:rPr>
        <w:t>For the non-anchor carrier where the SIB1-NB is transmitted, UE may assume that NRS is transmitted in subframe #0, #5, #9 and any other valid DL subframes based on the valid subframe configuration in SIB1-NB</w:t>
      </w:r>
    </w:p>
    <w:p w14:paraId="3867B21D" w14:textId="3948848B" w:rsidR="00151BC7" w:rsidRPr="002342D1" w:rsidRDefault="00151BC7" w:rsidP="00151BC7">
      <w:pPr>
        <w:rPr>
          <w:lang w:val="en-GB"/>
        </w:rPr>
      </w:pPr>
    </w:p>
    <w:p w14:paraId="654B749D" w14:textId="26C0A4D4" w:rsidR="00B0279F" w:rsidRDefault="00B0279F" w:rsidP="00E726DF">
      <w:pPr>
        <w:pStyle w:val="Heading1"/>
      </w:pPr>
      <w:r>
        <w:t>NPDCCH/NPDSCH</w:t>
      </w:r>
      <w:r w:rsidR="005968F0">
        <w:t xml:space="preserve"> transmission</w:t>
      </w:r>
    </w:p>
    <w:p w14:paraId="71053376" w14:textId="21F66E19" w:rsidR="000611C7" w:rsidRDefault="000611C7" w:rsidP="00C471F2">
      <w:pPr>
        <w:jc w:val="both"/>
        <w:rPr>
          <w:lang w:val="en-GB" w:eastAsia="zh-CN"/>
        </w:rPr>
      </w:pPr>
      <w:r>
        <w:rPr>
          <w:rFonts w:hint="eastAsia"/>
          <w:lang w:val="en-GB" w:eastAsia="zh-CN"/>
        </w:rPr>
        <w:t>In RAN1#92 meeting, the following were agreed for NPDCCH and NPDSCH transmission for TDD NB-IoT</w:t>
      </w:r>
      <w:r>
        <w:rPr>
          <w:lang w:val="en-GB" w:eastAsia="zh-CN"/>
        </w:rPr>
        <w:t>.</w:t>
      </w:r>
    </w:p>
    <w:p w14:paraId="675197FC" w14:textId="77777777" w:rsidR="000611C7" w:rsidRPr="00851F2F" w:rsidRDefault="000611C7" w:rsidP="000611C7">
      <w:pPr>
        <w:overflowPunct/>
        <w:autoSpaceDE/>
        <w:autoSpaceDN/>
        <w:adjustRightInd/>
        <w:textAlignment w:val="auto"/>
        <w:rPr>
          <w:rFonts w:cs="Arial"/>
          <w:highlight w:val="green"/>
          <w:lang w:val="en-GB"/>
        </w:rPr>
      </w:pPr>
      <w:r w:rsidRPr="00851F2F">
        <w:rPr>
          <w:rFonts w:cs="Arial"/>
          <w:highlight w:val="green"/>
          <w:lang w:val="en-GB"/>
        </w:rPr>
        <w:t>Agreements:</w:t>
      </w:r>
    </w:p>
    <w:p w14:paraId="15A2AD89" w14:textId="04612C6A" w:rsidR="000611C7" w:rsidRPr="000611C7" w:rsidRDefault="000611C7" w:rsidP="000611C7">
      <w:pPr>
        <w:numPr>
          <w:ilvl w:val="0"/>
          <w:numId w:val="28"/>
        </w:numPr>
        <w:tabs>
          <w:tab w:val="clear" w:pos="360"/>
        </w:tabs>
        <w:spacing w:after="0"/>
        <w:ind w:left="357" w:hanging="357"/>
        <w:jc w:val="both"/>
        <w:rPr>
          <w:lang w:eastAsia="zh-CN"/>
        </w:rPr>
      </w:pPr>
      <w:r w:rsidRPr="000611C7">
        <w:rPr>
          <w:lang w:eastAsia="zh-CN"/>
        </w:rPr>
        <w:t>For NPDSCH</w:t>
      </w:r>
      <w:r>
        <w:rPr>
          <w:lang w:eastAsia="zh-CN"/>
        </w:rPr>
        <w:t>,</w:t>
      </w:r>
      <w:r w:rsidRPr="000611C7">
        <w:rPr>
          <w:rFonts w:eastAsia="Batang" w:cs="Arial"/>
          <w:szCs w:val="24"/>
          <w:highlight w:val="darkYellow"/>
        </w:rPr>
        <w:t xml:space="preserve"> and working assumption for NPDCCH</w:t>
      </w:r>
    </w:p>
    <w:p w14:paraId="3BF18AD6" w14:textId="77777777" w:rsidR="000611C7" w:rsidRPr="00B4097B" w:rsidRDefault="000611C7" w:rsidP="000611C7">
      <w:pPr>
        <w:numPr>
          <w:ilvl w:val="0"/>
          <w:numId w:val="18"/>
        </w:numPr>
        <w:overflowPunct/>
        <w:autoSpaceDE/>
        <w:autoSpaceDN/>
        <w:adjustRightInd/>
        <w:spacing w:after="0"/>
        <w:textAlignment w:val="auto"/>
        <w:rPr>
          <w:iCs/>
        </w:rPr>
      </w:pPr>
      <w:r w:rsidRPr="00B4097B">
        <w:rPr>
          <w:iCs/>
        </w:rPr>
        <w:t xml:space="preserve">Transmission in </w:t>
      </w:r>
      <w:proofErr w:type="spellStart"/>
      <w:r w:rsidRPr="00B4097B">
        <w:rPr>
          <w:iCs/>
        </w:rPr>
        <w:t>DwPTS</w:t>
      </w:r>
      <w:proofErr w:type="spellEnd"/>
      <w:r w:rsidRPr="00B4097B">
        <w:rPr>
          <w:iCs/>
        </w:rPr>
        <w:t xml:space="preserve"> is supported for in-band when the number of OFDM symbols in </w:t>
      </w:r>
      <w:proofErr w:type="spellStart"/>
      <w:r w:rsidRPr="00B4097B">
        <w:rPr>
          <w:iCs/>
        </w:rPr>
        <w:t>DwPTS</w:t>
      </w:r>
      <w:proofErr w:type="spellEnd"/>
      <w:r w:rsidRPr="00B4097B">
        <w:rPr>
          <w:iCs/>
        </w:rPr>
        <w:t xml:space="preserve"> is greater than 3. </w:t>
      </w:r>
    </w:p>
    <w:p w14:paraId="3C67FD53" w14:textId="77777777" w:rsidR="000611C7" w:rsidRPr="00B4097B" w:rsidRDefault="000611C7" w:rsidP="000611C7">
      <w:pPr>
        <w:numPr>
          <w:ilvl w:val="1"/>
          <w:numId w:val="22"/>
        </w:numPr>
        <w:overflowPunct/>
        <w:autoSpaceDE/>
        <w:autoSpaceDN/>
        <w:adjustRightInd/>
        <w:spacing w:after="0"/>
        <w:textAlignment w:val="auto"/>
        <w:rPr>
          <w:rFonts w:eastAsia="Yu Mincho"/>
          <w:lang w:eastAsia="ja-JP"/>
        </w:rPr>
      </w:pPr>
      <w:r w:rsidRPr="00B4097B">
        <w:rPr>
          <w:rFonts w:eastAsia="Yu Mincho"/>
          <w:lang w:eastAsia="ja-JP"/>
        </w:rPr>
        <w:t xml:space="preserve">FFS if all </w:t>
      </w:r>
      <w:proofErr w:type="spellStart"/>
      <w:r w:rsidRPr="00B4097B">
        <w:rPr>
          <w:rFonts w:eastAsia="Yu Mincho"/>
          <w:lang w:eastAsia="ja-JP"/>
        </w:rPr>
        <w:t>DwPTS</w:t>
      </w:r>
      <w:proofErr w:type="spellEnd"/>
      <w:r w:rsidRPr="00B4097B">
        <w:rPr>
          <w:rFonts w:eastAsia="Yu Mincho"/>
          <w:lang w:eastAsia="ja-JP"/>
        </w:rPr>
        <w:t xml:space="preserve"> configurations are supported for NPDCCH</w:t>
      </w:r>
    </w:p>
    <w:p w14:paraId="7C6E1ADC" w14:textId="77777777" w:rsidR="000611C7" w:rsidRPr="00B4097B" w:rsidRDefault="000611C7" w:rsidP="000611C7">
      <w:pPr>
        <w:numPr>
          <w:ilvl w:val="0"/>
          <w:numId w:val="18"/>
        </w:numPr>
        <w:overflowPunct/>
        <w:autoSpaceDE/>
        <w:autoSpaceDN/>
        <w:adjustRightInd/>
        <w:spacing w:after="0"/>
        <w:textAlignment w:val="auto"/>
        <w:rPr>
          <w:iCs/>
        </w:rPr>
      </w:pPr>
      <w:r w:rsidRPr="00B4097B">
        <w:rPr>
          <w:iCs/>
        </w:rPr>
        <w:t xml:space="preserve">Transmission in </w:t>
      </w:r>
      <w:proofErr w:type="spellStart"/>
      <w:r w:rsidRPr="00B4097B">
        <w:rPr>
          <w:iCs/>
        </w:rPr>
        <w:t>DwPTS</w:t>
      </w:r>
      <w:proofErr w:type="spellEnd"/>
      <w:r w:rsidRPr="00B4097B">
        <w:rPr>
          <w:iCs/>
        </w:rPr>
        <w:t xml:space="preserve"> is supported for guard-band and standalone for all </w:t>
      </w:r>
      <w:proofErr w:type="spellStart"/>
      <w:r w:rsidRPr="00B4097B">
        <w:rPr>
          <w:iCs/>
        </w:rPr>
        <w:t>DwPTS</w:t>
      </w:r>
      <w:proofErr w:type="spellEnd"/>
      <w:r w:rsidRPr="00B4097B">
        <w:rPr>
          <w:iCs/>
        </w:rPr>
        <w:t xml:space="preserve"> configurations. </w:t>
      </w:r>
    </w:p>
    <w:p w14:paraId="27097597" w14:textId="77777777" w:rsidR="000611C7" w:rsidRPr="00B4097B" w:rsidRDefault="000611C7" w:rsidP="000611C7">
      <w:pPr>
        <w:numPr>
          <w:ilvl w:val="0"/>
          <w:numId w:val="18"/>
        </w:numPr>
        <w:overflowPunct/>
        <w:autoSpaceDE/>
        <w:autoSpaceDN/>
        <w:adjustRightInd/>
        <w:spacing w:after="0"/>
        <w:textAlignment w:val="auto"/>
        <w:rPr>
          <w:iCs/>
        </w:rPr>
      </w:pPr>
      <w:r w:rsidRPr="00B4097B">
        <w:rPr>
          <w:iCs/>
        </w:rPr>
        <w:t>FFS if all numbers of repetitions of NPDCCH are supported</w:t>
      </w:r>
    </w:p>
    <w:p w14:paraId="30F0EB83" w14:textId="77777777" w:rsidR="000611C7" w:rsidRPr="00B4097B" w:rsidRDefault="000611C7" w:rsidP="000611C7">
      <w:pPr>
        <w:numPr>
          <w:ilvl w:val="0"/>
          <w:numId w:val="18"/>
        </w:numPr>
        <w:overflowPunct/>
        <w:autoSpaceDE/>
        <w:autoSpaceDN/>
        <w:adjustRightInd/>
        <w:spacing w:after="0"/>
        <w:textAlignment w:val="auto"/>
        <w:rPr>
          <w:iCs/>
        </w:rPr>
      </w:pPr>
      <w:r w:rsidRPr="00B4097B">
        <w:rPr>
          <w:iCs/>
        </w:rPr>
        <w:t>FFS if all aggregation levels of NPDCCH are supported</w:t>
      </w:r>
    </w:p>
    <w:p w14:paraId="2587C946" w14:textId="77777777" w:rsidR="000611C7" w:rsidRPr="00B4097B" w:rsidRDefault="000611C7" w:rsidP="000611C7">
      <w:pPr>
        <w:numPr>
          <w:ilvl w:val="0"/>
          <w:numId w:val="18"/>
        </w:numPr>
        <w:overflowPunct/>
        <w:autoSpaceDE/>
        <w:autoSpaceDN/>
        <w:adjustRightInd/>
        <w:spacing w:after="0"/>
        <w:textAlignment w:val="auto"/>
        <w:rPr>
          <w:iCs/>
        </w:rPr>
      </w:pPr>
      <w:r w:rsidRPr="00B4097B">
        <w:rPr>
          <w:iCs/>
        </w:rPr>
        <w:t>FFS on NRS mapping</w:t>
      </w:r>
    </w:p>
    <w:p w14:paraId="03D59E5F" w14:textId="0C3E6D81" w:rsidR="000611C7" w:rsidRDefault="000611C7" w:rsidP="00C471F2">
      <w:pPr>
        <w:jc w:val="both"/>
        <w:rPr>
          <w:lang w:eastAsia="zh-CN"/>
        </w:rPr>
      </w:pPr>
    </w:p>
    <w:p w14:paraId="25314695" w14:textId="77777777" w:rsidR="003A2447" w:rsidRDefault="003A2447" w:rsidP="00C471F2">
      <w:pPr>
        <w:jc w:val="both"/>
        <w:rPr>
          <w:lang w:eastAsia="zh-CN"/>
        </w:rPr>
      </w:pPr>
      <w:r>
        <w:rPr>
          <w:rFonts w:hint="eastAsia"/>
          <w:lang w:eastAsia="zh-CN"/>
        </w:rPr>
        <w:t xml:space="preserve">Regarding the support of NPDCCH for all </w:t>
      </w:r>
      <w:proofErr w:type="spellStart"/>
      <w:r>
        <w:rPr>
          <w:rFonts w:hint="eastAsia"/>
          <w:lang w:eastAsia="zh-CN"/>
        </w:rPr>
        <w:t>DwPTS</w:t>
      </w:r>
      <w:proofErr w:type="spellEnd"/>
      <w:r>
        <w:rPr>
          <w:rFonts w:hint="eastAsia"/>
          <w:lang w:eastAsia="zh-CN"/>
        </w:rPr>
        <w:t xml:space="preserve"> configuration, our view is </w:t>
      </w:r>
      <w:r>
        <w:rPr>
          <w:lang w:eastAsia="zh-CN"/>
        </w:rPr>
        <w:t xml:space="preserve">not to support NPDCCH on special subframe with 3 </w:t>
      </w:r>
      <w:proofErr w:type="spellStart"/>
      <w:r>
        <w:rPr>
          <w:lang w:eastAsia="zh-CN"/>
        </w:rPr>
        <w:t>DwPTS</w:t>
      </w:r>
      <w:proofErr w:type="spellEnd"/>
      <w:r>
        <w:rPr>
          <w:lang w:eastAsia="zh-CN"/>
        </w:rPr>
        <w:t xml:space="preserve"> symbols for in-band mode. This is aligned with the agreement for NPDSCH. </w:t>
      </w:r>
    </w:p>
    <w:p w14:paraId="51FBB27F" w14:textId="00757451" w:rsidR="000611C7" w:rsidRDefault="003A2447" w:rsidP="00C471F2">
      <w:pPr>
        <w:jc w:val="both"/>
        <w:rPr>
          <w:lang w:eastAsia="zh-CN"/>
        </w:rPr>
      </w:pPr>
      <w:r>
        <w:rPr>
          <w:lang w:eastAsia="zh-CN"/>
        </w:rPr>
        <w:t xml:space="preserve">Secondly, for </w:t>
      </w:r>
      <w:proofErr w:type="spellStart"/>
      <w:r>
        <w:rPr>
          <w:lang w:eastAsia="zh-CN"/>
        </w:rPr>
        <w:t>guardband</w:t>
      </w:r>
      <w:proofErr w:type="spellEnd"/>
      <w:r>
        <w:rPr>
          <w:lang w:eastAsia="zh-CN"/>
        </w:rPr>
        <w:t xml:space="preserve"> and standalone, the transmission of NPDCCH on special subframe with 3 </w:t>
      </w:r>
      <w:proofErr w:type="spellStart"/>
      <w:r>
        <w:rPr>
          <w:lang w:eastAsia="zh-CN"/>
        </w:rPr>
        <w:t>DwPTS</w:t>
      </w:r>
      <w:proofErr w:type="spellEnd"/>
      <w:r>
        <w:rPr>
          <w:lang w:eastAsia="zh-CN"/>
        </w:rPr>
        <w:t xml:space="preserve"> symbols may result in a coding rate larger than 1 </w:t>
      </w:r>
      <w:r w:rsidR="00BE31B2">
        <w:rPr>
          <w:lang w:eastAsia="zh-CN"/>
        </w:rPr>
        <w:t>when</w:t>
      </w:r>
      <w:r>
        <w:rPr>
          <w:lang w:eastAsia="zh-CN"/>
        </w:rPr>
        <w:t xml:space="preserve"> </w:t>
      </w:r>
      <w:r w:rsidR="00BE31B2">
        <w:rPr>
          <w:lang w:eastAsia="zh-CN"/>
        </w:rPr>
        <w:t xml:space="preserve">the </w:t>
      </w:r>
      <w:r>
        <w:rPr>
          <w:lang w:eastAsia="zh-CN"/>
        </w:rPr>
        <w:t xml:space="preserve">aggregation level </w:t>
      </w:r>
      <w:r w:rsidR="00BE31B2">
        <w:rPr>
          <w:lang w:eastAsia="zh-CN"/>
        </w:rPr>
        <w:t>of NPDCCH is equ</w:t>
      </w:r>
      <w:r>
        <w:rPr>
          <w:lang w:eastAsia="zh-CN"/>
        </w:rPr>
        <w:t xml:space="preserve">al to 1. </w:t>
      </w:r>
      <w:r w:rsidR="00BE31B2">
        <w:rPr>
          <w:lang w:eastAsia="zh-CN"/>
        </w:rPr>
        <w:t xml:space="preserve">Therefore, it is recommended not to support it. </w:t>
      </w:r>
    </w:p>
    <w:p w14:paraId="0A679EFF" w14:textId="5CCD1611" w:rsidR="00BE31B2" w:rsidRDefault="00BE31B2" w:rsidP="00BE31B2">
      <w:pPr>
        <w:rPr>
          <w:b/>
          <w:lang w:val="en-GB"/>
        </w:rPr>
      </w:pPr>
      <w:r>
        <w:rPr>
          <w:b/>
          <w:u w:val="single"/>
          <w:lang w:val="en-GB"/>
        </w:rPr>
        <w:lastRenderedPageBreak/>
        <w:t>Proposal 4</w:t>
      </w:r>
      <w:r w:rsidRPr="005648A0">
        <w:rPr>
          <w:b/>
          <w:lang w:val="en-GB"/>
        </w:rPr>
        <w:t xml:space="preserve">: </w:t>
      </w:r>
      <w:r>
        <w:rPr>
          <w:b/>
          <w:lang w:val="en-GB"/>
        </w:rPr>
        <w:t xml:space="preserve">For in-band mode, NPDCCH transmission in </w:t>
      </w:r>
      <w:proofErr w:type="spellStart"/>
      <w:r>
        <w:rPr>
          <w:b/>
          <w:lang w:val="en-GB"/>
        </w:rPr>
        <w:t>DwPTS</w:t>
      </w:r>
      <w:proofErr w:type="spellEnd"/>
      <w:r>
        <w:rPr>
          <w:b/>
          <w:lang w:val="en-GB"/>
        </w:rPr>
        <w:t xml:space="preserve"> is not supported when the number of OFDM symbols in </w:t>
      </w:r>
      <w:proofErr w:type="spellStart"/>
      <w:r>
        <w:rPr>
          <w:b/>
          <w:lang w:val="en-GB"/>
        </w:rPr>
        <w:t>DwPTS</w:t>
      </w:r>
      <w:proofErr w:type="spellEnd"/>
      <w:r>
        <w:rPr>
          <w:b/>
          <w:lang w:val="en-GB"/>
        </w:rPr>
        <w:t xml:space="preserve"> is equal to 3.</w:t>
      </w:r>
    </w:p>
    <w:p w14:paraId="41C9F57A" w14:textId="616C58B7" w:rsidR="00BE31B2" w:rsidRDefault="00BE31B2" w:rsidP="00BE31B2">
      <w:pPr>
        <w:rPr>
          <w:b/>
          <w:lang w:val="en-GB"/>
        </w:rPr>
      </w:pPr>
      <w:r>
        <w:rPr>
          <w:b/>
          <w:u w:val="single"/>
          <w:lang w:val="en-GB"/>
        </w:rPr>
        <w:t>Proposal 5</w:t>
      </w:r>
      <w:r w:rsidRPr="005648A0">
        <w:rPr>
          <w:b/>
          <w:lang w:val="en-GB"/>
        </w:rPr>
        <w:t xml:space="preserve">: </w:t>
      </w:r>
      <w:r>
        <w:rPr>
          <w:b/>
          <w:lang w:val="en-GB"/>
        </w:rPr>
        <w:t xml:space="preserve">For </w:t>
      </w:r>
      <w:proofErr w:type="spellStart"/>
      <w:r>
        <w:rPr>
          <w:b/>
          <w:lang w:val="en-GB"/>
        </w:rPr>
        <w:t>guardband</w:t>
      </w:r>
      <w:proofErr w:type="spellEnd"/>
      <w:r>
        <w:rPr>
          <w:b/>
          <w:lang w:val="en-GB"/>
        </w:rPr>
        <w:t xml:space="preserve"> and standalone, the aggregation level 1 is not supported for NPDCCH transmission in </w:t>
      </w:r>
      <w:proofErr w:type="spellStart"/>
      <w:r>
        <w:rPr>
          <w:b/>
          <w:lang w:val="en-GB"/>
        </w:rPr>
        <w:t>DwPTS</w:t>
      </w:r>
      <w:proofErr w:type="spellEnd"/>
      <w:r>
        <w:rPr>
          <w:b/>
          <w:lang w:val="en-GB"/>
        </w:rPr>
        <w:t xml:space="preserve"> when the number of OFDM symbols in </w:t>
      </w:r>
      <w:proofErr w:type="spellStart"/>
      <w:r>
        <w:rPr>
          <w:b/>
          <w:lang w:val="en-GB"/>
        </w:rPr>
        <w:t>DwPTS</w:t>
      </w:r>
      <w:proofErr w:type="spellEnd"/>
      <w:r>
        <w:rPr>
          <w:b/>
          <w:lang w:val="en-GB"/>
        </w:rPr>
        <w:t xml:space="preserve"> is equal to 3.</w:t>
      </w:r>
    </w:p>
    <w:p w14:paraId="70BCBCBC" w14:textId="3183650E" w:rsidR="008A0D91" w:rsidRPr="008A0D91" w:rsidRDefault="000724FC" w:rsidP="000724FC">
      <w:pPr>
        <w:jc w:val="both"/>
        <w:rPr>
          <w:lang w:eastAsia="zh-CN"/>
        </w:rPr>
      </w:pPr>
      <w:r>
        <w:rPr>
          <w:lang w:val="en-GB" w:eastAsia="zh-CN"/>
        </w:rPr>
        <w:t xml:space="preserve">When NPDCCH and NPDSCH are transmitted in the special subframe, the RE mapping shall be discussed. For NPDSCH transmission without the repetition, the rate matching shall be done </w:t>
      </w:r>
      <w:r w:rsidR="002C1EC4">
        <w:rPr>
          <w:lang w:val="en-GB" w:eastAsia="zh-CN"/>
        </w:rPr>
        <w:t>according to</w:t>
      </w:r>
      <w:r>
        <w:rPr>
          <w:lang w:val="en-GB" w:eastAsia="zh-CN"/>
        </w:rPr>
        <w:t xml:space="preserve"> the available REs in </w:t>
      </w:r>
      <w:proofErr w:type="spellStart"/>
      <w:r>
        <w:rPr>
          <w:lang w:val="en-GB" w:eastAsia="zh-CN"/>
        </w:rPr>
        <w:t>DwPTS</w:t>
      </w:r>
      <w:proofErr w:type="spellEnd"/>
      <w:r>
        <w:rPr>
          <w:lang w:val="en-GB" w:eastAsia="zh-CN"/>
        </w:rPr>
        <w:t xml:space="preserve">.  </w:t>
      </w:r>
      <w:r w:rsidR="00026AB3">
        <w:rPr>
          <w:lang w:val="en-GB" w:eastAsia="zh-CN"/>
        </w:rPr>
        <w:t>For the case of NPDSCH with repetition, there are two cases that need to be discussed, i.e. simple repetition or cyclic repetition. I</w:t>
      </w:r>
      <w:r w:rsidR="00A435A9">
        <w:rPr>
          <w:lang w:val="en-GB" w:eastAsia="zh-CN"/>
        </w:rPr>
        <w:t xml:space="preserve">n case of simple repetition, the rate matching can be adopted </w:t>
      </w:r>
      <w:r w:rsidR="001B5744">
        <w:rPr>
          <w:lang w:val="en-GB" w:eastAsia="zh-CN"/>
        </w:rPr>
        <w:t xml:space="preserve">same as NPDSCH without repetition. However, the rate matching cannot be adopted for cyclic repetition since the number of available REs </w:t>
      </w:r>
      <w:r w:rsidR="00263855">
        <w:rPr>
          <w:lang w:val="en-GB" w:eastAsia="zh-CN"/>
        </w:rPr>
        <w:t>may be</w:t>
      </w:r>
      <w:r w:rsidR="001B5744">
        <w:rPr>
          <w:lang w:val="en-GB" w:eastAsia="zh-CN"/>
        </w:rPr>
        <w:t xml:space="preserve"> different for </w:t>
      </w:r>
      <w:r w:rsidR="00263855">
        <w:rPr>
          <w:lang w:val="en-GB" w:eastAsia="zh-CN"/>
        </w:rPr>
        <w:t>a</w:t>
      </w:r>
      <w:r w:rsidR="001B5744">
        <w:rPr>
          <w:lang w:val="en-GB" w:eastAsia="zh-CN"/>
        </w:rPr>
        <w:t xml:space="preserve"> block of subframes for cyclic repetition. It is noted that puncturing the OFDM symbols used for GP and </w:t>
      </w:r>
      <w:proofErr w:type="spellStart"/>
      <w:r w:rsidR="001B5744">
        <w:rPr>
          <w:lang w:val="en-GB" w:eastAsia="zh-CN"/>
        </w:rPr>
        <w:t>UpPTS</w:t>
      </w:r>
      <w:proofErr w:type="spellEnd"/>
      <w:r w:rsidR="001B5744">
        <w:rPr>
          <w:lang w:val="en-GB" w:eastAsia="zh-CN"/>
        </w:rPr>
        <w:t xml:space="preserve"> may not support coherent combining </w:t>
      </w:r>
      <w:r w:rsidR="008A0D91">
        <w:rPr>
          <w:lang w:val="en-GB" w:eastAsia="zh-CN"/>
        </w:rPr>
        <w:t>either</w:t>
      </w:r>
      <w:r w:rsidR="001B5744">
        <w:rPr>
          <w:lang w:val="en-GB" w:eastAsia="zh-CN"/>
        </w:rPr>
        <w:t xml:space="preserve"> since NRS pattern and symbol location are </w:t>
      </w:r>
      <w:r w:rsidR="008A0D91">
        <w:rPr>
          <w:lang w:val="en-GB" w:eastAsia="zh-CN"/>
        </w:rPr>
        <w:t xml:space="preserve">different </w:t>
      </w:r>
      <w:r w:rsidR="001B5744">
        <w:rPr>
          <w:lang w:val="en-GB" w:eastAsia="zh-CN"/>
        </w:rPr>
        <w:t xml:space="preserve">in normal DL </w:t>
      </w:r>
      <w:r w:rsidR="008A0D91">
        <w:rPr>
          <w:lang w:val="en-GB" w:eastAsia="zh-CN"/>
        </w:rPr>
        <w:t xml:space="preserve">and special </w:t>
      </w:r>
      <w:r w:rsidR="001B5744">
        <w:rPr>
          <w:lang w:val="en-GB" w:eastAsia="zh-CN"/>
        </w:rPr>
        <w:t>subframe. Therefore, to support c</w:t>
      </w:r>
      <w:r w:rsidR="00263855">
        <w:rPr>
          <w:lang w:val="en-GB" w:eastAsia="zh-CN"/>
        </w:rPr>
        <w:t>oherent combining</w:t>
      </w:r>
      <w:r w:rsidR="001B5744">
        <w:rPr>
          <w:lang w:val="en-GB" w:eastAsia="zh-CN"/>
        </w:rPr>
        <w:t xml:space="preserve">, </w:t>
      </w:r>
      <w:r w:rsidR="008A0D91">
        <w:rPr>
          <w:lang w:val="en-GB" w:eastAsia="zh-CN"/>
        </w:rPr>
        <w:t xml:space="preserve">NPDSCH would not be allocated on special subframe and the allocation would be postponed to the next available normal DL </w:t>
      </w:r>
      <w:proofErr w:type="spellStart"/>
      <w:r w:rsidR="008A0D91">
        <w:rPr>
          <w:lang w:val="en-GB" w:eastAsia="zh-CN"/>
        </w:rPr>
        <w:t>subfame</w:t>
      </w:r>
      <w:proofErr w:type="spellEnd"/>
      <w:r w:rsidR="008A0D91">
        <w:rPr>
          <w:lang w:val="en-GB" w:eastAsia="zh-CN"/>
        </w:rPr>
        <w:t>. Alternatively, depend</w:t>
      </w:r>
      <w:r w:rsidR="00263855">
        <w:rPr>
          <w:lang w:val="en-GB" w:eastAsia="zh-CN"/>
        </w:rPr>
        <w:t>ing</w:t>
      </w:r>
      <w:r w:rsidR="008A0D91">
        <w:rPr>
          <w:lang w:val="en-GB" w:eastAsia="zh-CN"/>
        </w:rPr>
        <w:t xml:space="preserve"> on special subframe configuration we can </w:t>
      </w:r>
      <w:r w:rsidR="00263855">
        <w:rPr>
          <w:lang w:val="en-GB" w:eastAsia="zh-CN"/>
        </w:rPr>
        <w:t>have</w:t>
      </w:r>
      <w:r w:rsidR="00630DFD">
        <w:rPr>
          <w:lang w:val="en-GB" w:eastAsia="zh-CN"/>
        </w:rPr>
        <w:t xml:space="preserve"> different approaches. For example, for special subframe configuration </w:t>
      </w:r>
      <w:r w:rsidR="008A0D91" w:rsidRPr="008A0D91">
        <w:rPr>
          <w:lang w:val="en-GB" w:eastAsia="zh-CN"/>
        </w:rPr>
        <w:t>#1, #2, #6 and #7</w:t>
      </w:r>
      <w:r w:rsidR="008A0D91">
        <w:rPr>
          <w:lang w:eastAsia="zh-CN"/>
        </w:rPr>
        <w:t xml:space="preserve"> NRS is only mapped to the 6</w:t>
      </w:r>
      <w:r w:rsidR="008A0D91" w:rsidRPr="008A0D91">
        <w:rPr>
          <w:vertAlign w:val="superscript"/>
          <w:lang w:eastAsia="zh-CN"/>
        </w:rPr>
        <w:t>th</w:t>
      </w:r>
      <w:r w:rsidR="008A0D91">
        <w:rPr>
          <w:lang w:eastAsia="zh-CN"/>
        </w:rPr>
        <w:t xml:space="preserve"> and 7</w:t>
      </w:r>
      <w:r w:rsidR="008A0D91" w:rsidRPr="008A0D91">
        <w:rPr>
          <w:vertAlign w:val="superscript"/>
          <w:lang w:eastAsia="zh-CN"/>
        </w:rPr>
        <w:t>th</w:t>
      </w:r>
      <w:r w:rsidR="008A0D91">
        <w:rPr>
          <w:lang w:eastAsia="zh-CN"/>
        </w:rPr>
        <w:t xml:space="preserve"> symbols of the first slot</w:t>
      </w:r>
      <w:r w:rsidR="00630DFD">
        <w:rPr>
          <w:lang w:eastAsia="zh-CN"/>
        </w:rPr>
        <w:t xml:space="preserve">, </w:t>
      </w:r>
      <w:r w:rsidR="00263855">
        <w:rPr>
          <w:lang w:eastAsia="zh-CN"/>
        </w:rPr>
        <w:t xml:space="preserve">and </w:t>
      </w:r>
      <w:r w:rsidR="00630DFD">
        <w:rPr>
          <w:lang w:eastAsia="zh-CN"/>
        </w:rPr>
        <w:t>the rate matching can be done same as the regu</w:t>
      </w:r>
      <w:r w:rsidR="00232C02">
        <w:rPr>
          <w:lang w:eastAsia="zh-CN"/>
        </w:rPr>
        <w:t>lar DL subframe but the mapping o</w:t>
      </w:r>
      <w:r w:rsidR="00630DFD">
        <w:rPr>
          <w:lang w:eastAsia="zh-CN"/>
        </w:rPr>
        <w:t xml:space="preserve">n the GP and </w:t>
      </w:r>
      <w:proofErr w:type="spellStart"/>
      <w:r w:rsidR="00630DFD">
        <w:rPr>
          <w:lang w:eastAsia="zh-CN"/>
        </w:rPr>
        <w:t>UpPTS</w:t>
      </w:r>
      <w:proofErr w:type="spellEnd"/>
      <w:r w:rsidR="00630DFD">
        <w:rPr>
          <w:lang w:eastAsia="zh-CN"/>
        </w:rPr>
        <w:t xml:space="preserve"> symbols is punctured. But for other special subframe configurations where a shifted NRS pattern is used, </w:t>
      </w:r>
      <w:r w:rsidR="00232C02">
        <w:rPr>
          <w:lang w:eastAsia="zh-CN"/>
        </w:rPr>
        <w:t xml:space="preserve">coherent combining cannot be assumed for NPDSCH transmission in the special subframe. Therefore, it is good not to allocate </w:t>
      </w:r>
      <w:r w:rsidR="00630DFD">
        <w:rPr>
          <w:lang w:eastAsia="zh-CN"/>
        </w:rPr>
        <w:t xml:space="preserve">NPDSCH </w:t>
      </w:r>
      <w:r w:rsidR="00232C02">
        <w:rPr>
          <w:lang w:eastAsia="zh-CN"/>
        </w:rPr>
        <w:t>i</w:t>
      </w:r>
      <w:r w:rsidR="00630DFD">
        <w:rPr>
          <w:lang w:eastAsia="zh-CN"/>
        </w:rPr>
        <w:t>n the special subframe when cyclic repetition is configured.</w:t>
      </w:r>
    </w:p>
    <w:p w14:paraId="08E01685" w14:textId="0253C617" w:rsidR="008A0D91" w:rsidRDefault="008A0D91" w:rsidP="008A0D91">
      <w:pPr>
        <w:rPr>
          <w:b/>
          <w:lang w:val="en-GB"/>
        </w:rPr>
      </w:pPr>
      <w:r>
        <w:rPr>
          <w:b/>
          <w:u w:val="single"/>
          <w:lang w:val="en-GB"/>
        </w:rPr>
        <w:t xml:space="preserve">Proposal </w:t>
      </w:r>
      <w:r w:rsidR="002C1EC4">
        <w:rPr>
          <w:b/>
          <w:u w:val="single"/>
          <w:lang w:val="en-GB"/>
        </w:rPr>
        <w:t>6</w:t>
      </w:r>
      <w:r w:rsidRPr="005648A0">
        <w:rPr>
          <w:b/>
          <w:lang w:val="en-GB"/>
        </w:rPr>
        <w:t xml:space="preserve">: </w:t>
      </w:r>
      <w:r>
        <w:rPr>
          <w:b/>
          <w:lang w:val="en-GB"/>
        </w:rPr>
        <w:t xml:space="preserve">For NPDSCH without repetition or with </w:t>
      </w:r>
      <w:r w:rsidR="00A54D0B">
        <w:rPr>
          <w:b/>
          <w:lang w:val="en-GB"/>
        </w:rPr>
        <w:t xml:space="preserve">a non-cyclic </w:t>
      </w:r>
      <w:r>
        <w:rPr>
          <w:b/>
          <w:lang w:val="en-GB"/>
        </w:rPr>
        <w:t xml:space="preserve">repetition, the rate matching shall be used for RE mapping in the special subframe. </w:t>
      </w:r>
    </w:p>
    <w:p w14:paraId="69EBF47D" w14:textId="2CA894CB" w:rsidR="008A0D91" w:rsidRDefault="008A0D91" w:rsidP="008A0D91">
      <w:pPr>
        <w:rPr>
          <w:b/>
          <w:lang w:val="en-GB"/>
        </w:rPr>
      </w:pPr>
      <w:r>
        <w:rPr>
          <w:b/>
          <w:u w:val="single"/>
          <w:lang w:val="en-GB"/>
        </w:rPr>
        <w:t xml:space="preserve">Proposal </w:t>
      </w:r>
      <w:r w:rsidR="002C1EC4">
        <w:rPr>
          <w:b/>
          <w:u w:val="single"/>
          <w:lang w:val="en-GB"/>
        </w:rPr>
        <w:t>7</w:t>
      </w:r>
      <w:r w:rsidRPr="005648A0">
        <w:rPr>
          <w:b/>
          <w:lang w:val="en-GB"/>
        </w:rPr>
        <w:t xml:space="preserve">: </w:t>
      </w:r>
      <w:r>
        <w:rPr>
          <w:b/>
          <w:lang w:val="en-GB"/>
        </w:rPr>
        <w:t xml:space="preserve">For NPDSCH with cyclic repetition, </w:t>
      </w:r>
      <w:r w:rsidR="00630DFD">
        <w:rPr>
          <w:b/>
          <w:lang w:val="en-GB"/>
        </w:rPr>
        <w:t xml:space="preserve">the special subframe is </w:t>
      </w:r>
      <w:r w:rsidR="00263855">
        <w:rPr>
          <w:b/>
          <w:lang w:val="en-GB"/>
        </w:rPr>
        <w:t>counted</w:t>
      </w:r>
      <w:r w:rsidR="00630DFD">
        <w:rPr>
          <w:b/>
          <w:lang w:val="en-GB"/>
        </w:rPr>
        <w:t xml:space="preserve"> for NPDSCH </w:t>
      </w:r>
      <w:r w:rsidR="00263855">
        <w:rPr>
          <w:b/>
          <w:lang w:val="en-GB"/>
        </w:rPr>
        <w:t xml:space="preserve">RE </w:t>
      </w:r>
      <w:r w:rsidR="00630DFD">
        <w:rPr>
          <w:b/>
          <w:lang w:val="en-GB"/>
        </w:rPr>
        <w:t xml:space="preserve">mapping </w:t>
      </w:r>
      <w:r w:rsidR="00263855">
        <w:rPr>
          <w:b/>
          <w:lang w:val="en-GB"/>
        </w:rPr>
        <w:t xml:space="preserve">only for special subframe configuration #1, #2, #6 and #7 with the mapping on the </w:t>
      </w:r>
      <w:r w:rsidR="00630DFD">
        <w:rPr>
          <w:b/>
          <w:lang w:val="en-GB"/>
        </w:rPr>
        <w:t xml:space="preserve">GP and </w:t>
      </w:r>
      <w:proofErr w:type="spellStart"/>
      <w:r w:rsidR="00630DFD">
        <w:rPr>
          <w:b/>
          <w:lang w:val="en-GB"/>
        </w:rPr>
        <w:t>UpPTS</w:t>
      </w:r>
      <w:proofErr w:type="spellEnd"/>
      <w:r w:rsidR="00630DFD">
        <w:rPr>
          <w:b/>
          <w:lang w:val="en-GB"/>
        </w:rPr>
        <w:t xml:space="preserve"> </w:t>
      </w:r>
      <w:r w:rsidR="00263855">
        <w:rPr>
          <w:b/>
          <w:lang w:val="en-GB"/>
        </w:rPr>
        <w:t xml:space="preserve">symbols </w:t>
      </w:r>
      <w:r w:rsidR="00630DFD">
        <w:rPr>
          <w:b/>
          <w:lang w:val="en-GB"/>
        </w:rPr>
        <w:t xml:space="preserve">punctured </w:t>
      </w:r>
    </w:p>
    <w:p w14:paraId="2A9A1C0E" w14:textId="0FBF9FFD" w:rsidR="00232C02" w:rsidRDefault="00232C02" w:rsidP="00232C02">
      <w:pPr>
        <w:jc w:val="both"/>
        <w:rPr>
          <w:lang w:val="en-GB" w:eastAsia="zh-CN"/>
        </w:rPr>
      </w:pPr>
      <w:r>
        <w:rPr>
          <w:lang w:val="en-GB" w:eastAsia="zh-CN"/>
        </w:rPr>
        <w:t xml:space="preserve">For NPDCCH, it is different from NPDSCH that the transport block is mapped to one subframe and repeated in multiple subframes for coverage enhancements. Therefore, the rate matching can be done </w:t>
      </w:r>
      <w:r w:rsidR="002C1EC4">
        <w:rPr>
          <w:lang w:val="en-GB" w:eastAsia="zh-CN"/>
        </w:rPr>
        <w:t>according to</w:t>
      </w:r>
      <w:r>
        <w:rPr>
          <w:lang w:val="en-GB" w:eastAsia="zh-CN"/>
        </w:rPr>
        <w:t xml:space="preserve"> the available REs in each transmission subframe. If the special subframe is used for NPDCCH, the coherent combining may not be assumed due to different NRS pattern and symbol locations </w:t>
      </w:r>
      <w:r w:rsidR="002C1EC4">
        <w:rPr>
          <w:lang w:val="en-GB" w:eastAsia="zh-CN"/>
        </w:rPr>
        <w:t xml:space="preserve">used </w:t>
      </w:r>
      <w:r>
        <w:rPr>
          <w:lang w:val="en-GB" w:eastAsia="zh-CN"/>
        </w:rPr>
        <w:t>in the special subframe. But this may not be a big issue.</w:t>
      </w:r>
    </w:p>
    <w:p w14:paraId="6A896C35" w14:textId="6FFDB7B9" w:rsidR="002C1EC4" w:rsidRDefault="00232C02" w:rsidP="00232C02">
      <w:pPr>
        <w:rPr>
          <w:b/>
          <w:lang w:val="en-GB"/>
        </w:rPr>
      </w:pPr>
      <w:r>
        <w:rPr>
          <w:b/>
          <w:u w:val="single"/>
          <w:lang w:val="en-GB"/>
        </w:rPr>
        <w:t xml:space="preserve">Proposal </w:t>
      </w:r>
      <w:r w:rsidR="002C1EC4">
        <w:rPr>
          <w:b/>
          <w:u w:val="single"/>
          <w:lang w:val="en-GB"/>
        </w:rPr>
        <w:t>8</w:t>
      </w:r>
      <w:r w:rsidRPr="005648A0">
        <w:rPr>
          <w:b/>
          <w:lang w:val="en-GB"/>
        </w:rPr>
        <w:t xml:space="preserve">: </w:t>
      </w:r>
      <w:r>
        <w:rPr>
          <w:b/>
          <w:lang w:val="en-GB"/>
        </w:rPr>
        <w:t xml:space="preserve">For NPDCCH, the </w:t>
      </w:r>
      <w:r w:rsidR="002C1EC4">
        <w:rPr>
          <w:b/>
          <w:lang w:val="en-GB"/>
        </w:rPr>
        <w:t xml:space="preserve">rate matching is done according to the available REs in each transmission subframe  </w:t>
      </w:r>
    </w:p>
    <w:p w14:paraId="737E2C8A" w14:textId="77777777" w:rsidR="002C1EC4" w:rsidRDefault="002C1EC4" w:rsidP="00232C02">
      <w:pPr>
        <w:rPr>
          <w:b/>
          <w:lang w:val="en-GB"/>
        </w:rPr>
      </w:pPr>
    </w:p>
    <w:p w14:paraId="3997F89D" w14:textId="2F6EE4B3" w:rsidR="002C1EC4" w:rsidRDefault="002C1EC4" w:rsidP="002C1EC4">
      <w:pPr>
        <w:pStyle w:val="Heading1"/>
      </w:pPr>
      <w:r>
        <w:t>OTDOA for TDD NB-IoT</w:t>
      </w:r>
    </w:p>
    <w:p w14:paraId="55540A9D" w14:textId="1B5BA39B" w:rsidR="008B2E6C" w:rsidRDefault="002C1EC4" w:rsidP="008B2E6C">
      <w:pPr>
        <w:jc w:val="both"/>
      </w:pPr>
      <w:r w:rsidRPr="002C1EC4">
        <w:rPr>
          <w:lang w:val="en-GB" w:eastAsia="zh-CN"/>
        </w:rPr>
        <w:t>In the updated WI</w:t>
      </w:r>
      <w:r w:rsidR="00A54D0B">
        <w:rPr>
          <w:lang w:val="en-GB" w:eastAsia="zh-CN"/>
        </w:rPr>
        <w:t>D</w:t>
      </w:r>
      <w:r w:rsidRPr="002C1EC4">
        <w:rPr>
          <w:lang w:val="en-GB" w:eastAsia="zh-CN"/>
        </w:rPr>
        <w:t xml:space="preserve">, </w:t>
      </w:r>
      <w:r>
        <w:rPr>
          <w:lang w:val="en-GB" w:eastAsia="zh-CN"/>
        </w:rPr>
        <w:t xml:space="preserve">it is specified that </w:t>
      </w:r>
      <w:r w:rsidRPr="002C1EC4">
        <w:rPr>
          <w:lang w:val="en-GB" w:eastAsia="zh-CN"/>
        </w:rPr>
        <w:t xml:space="preserve">the support of OTDOA </w:t>
      </w:r>
      <w:r>
        <w:rPr>
          <w:lang w:val="en-GB" w:eastAsia="zh-CN"/>
        </w:rPr>
        <w:t xml:space="preserve">shall be </w:t>
      </w:r>
      <w:r w:rsidRPr="002C1EC4">
        <w:rPr>
          <w:lang w:val="en-GB" w:eastAsia="zh-CN"/>
        </w:rPr>
        <w:t xml:space="preserve">introduced in </w:t>
      </w:r>
      <w:r>
        <w:rPr>
          <w:lang w:val="en-GB" w:eastAsia="zh-CN"/>
        </w:rPr>
        <w:t>TDD NB-IoT</w:t>
      </w:r>
      <w:r w:rsidRPr="002C1EC4">
        <w:rPr>
          <w:lang w:val="en-GB" w:eastAsia="zh-CN"/>
        </w:rPr>
        <w:t xml:space="preserve">. </w:t>
      </w:r>
      <w:r>
        <w:rPr>
          <w:lang w:val="en-GB" w:eastAsia="zh-CN"/>
        </w:rPr>
        <w:t xml:space="preserve">Given the limited time remained for the specification work, it is recommended to reuse the FDD design </w:t>
      </w:r>
      <w:r w:rsidR="008B2E6C">
        <w:rPr>
          <w:lang w:val="en-GB" w:eastAsia="zh-CN"/>
        </w:rPr>
        <w:t xml:space="preserve">such as NPRS sequence and subframe configuration </w:t>
      </w:r>
      <w:r>
        <w:rPr>
          <w:lang w:val="en-GB" w:eastAsia="zh-CN"/>
        </w:rPr>
        <w:t xml:space="preserve">as much as possible. Compared to FDD, the </w:t>
      </w:r>
      <w:r w:rsidR="008B2E6C">
        <w:rPr>
          <w:lang w:val="en-GB" w:eastAsia="zh-CN"/>
        </w:rPr>
        <w:t>main issue</w:t>
      </w:r>
      <w:r>
        <w:rPr>
          <w:lang w:val="en-GB" w:eastAsia="zh-CN"/>
        </w:rPr>
        <w:t xml:space="preserve"> for TDD is whether to support NPRS transmission in the special subframe. </w:t>
      </w:r>
      <w:r w:rsidR="008B2E6C">
        <w:t>S</w:t>
      </w:r>
      <w:r w:rsidR="008B2E6C" w:rsidRPr="00784D1B">
        <w:t xml:space="preserve">ince the number of </w:t>
      </w:r>
      <w:r w:rsidR="008B2E6C">
        <w:t>OFDM symbols in the special subframe is reduced</w:t>
      </w:r>
      <w:r w:rsidR="008B2E6C" w:rsidRPr="00784D1B">
        <w:t xml:space="preserve">, it </w:t>
      </w:r>
      <w:r w:rsidR="008B2E6C">
        <w:t xml:space="preserve">is not </w:t>
      </w:r>
      <w:r w:rsidR="008B2E6C" w:rsidRPr="00784D1B">
        <w:t>benef</w:t>
      </w:r>
      <w:r w:rsidR="008B2E6C">
        <w:t>icial to have NPRS transmission</w:t>
      </w:r>
      <w:r w:rsidR="008B2E6C" w:rsidRPr="0048563C">
        <w:t xml:space="preserve">. </w:t>
      </w:r>
      <w:r w:rsidR="008B2E6C">
        <w:t>Therefore, we propose</w:t>
      </w:r>
    </w:p>
    <w:p w14:paraId="3FA4E04C" w14:textId="56C0D5C2" w:rsidR="002C1EC4" w:rsidRDefault="008B2E6C" w:rsidP="008B2E6C">
      <w:pPr>
        <w:rPr>
          <w:b/>
          <w:lang w:val="en-GB"/>
        </w:rPr>
      </w:pPr>
      <w:r>
        <w:rPr>
          <w:b/>
          <w:u w:val="single"/>
          <w:lang w:val="en-GB"/>
        </w:rPr>
        <w:t>Proposal 9</w:t>
      </w:r>
      <w:r w:rsidRPr="005648A0">
        <w:rPr>
          <w:b/>
          <w:lang w:val="en-GB"/>
        </w:rPr>
        <w:t xml:space="preserve">: </w:t>
      </w:r>
      <w:r>
        <w:rPr>
          <w:b/>
          <w:lang w:val="en-GB"/>
        </w:rPr>
        <w:t>For TDD NB-IoT, NPRS is not supported in the special subframe.</w:t>
      </w:r>
    </w:p>
    <w:p w14:paraId="3CCF60CC" w14:textId="1BB1B33D" w:rsidR="008B2E6C" w:rsidRDefault="008B2E6C" w:rsidP="008B2E6C">
      <w:pPr>
        <w:rPr>
          <w:b/>
          <w:lang w:val="en-GB"/>
        </w:rPr>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rPr>
          <w:b/>
          <w:u w:val="single"/>
          <w:lang w:val="en-GB"/>
        </w:rPr>
        <w:t>Proposal 10</w:t>
      </w:r>
      <w:r w:rsidRPr="005648A0">
        <w:rPr>
          <w:b/>
          <w:lang w:val="en-GB"/>
        </w:rPr>
        <w:t xml:space="preserve">: </w:t>
      </w:r>
      <w:r>
        <w:rPr>
          <w:b/>
          <w:lang w:val="en-GB"/>
        </w:rPr>
        <w:t xml:space="preserve">The NPRS sequence and configuration can be reused </w:t>
      </w:r>
      <w:r w:rsidR="00A54D0B">
        <w:rPr>
          <w:b/>
          <w:lang w:val="en-GB"/>
        </w:rPr>
        <w:t xml:space="preserve">in FDD </w:t>
      </w:r>
      <w:r>
        <w:rPr>
          <w:b/>
          <w:lang w:val="en-GB"/>
        </w:rPr>
        <w:t>for TDD NB-IoT.</w:t>
      </w:r>
    </w:p>
    <w:p w14:paraId="130A289D" w14:textId="5776BE87" w:rsidR="00E168E5" w:rsidRDefault="006341FE" w:rsidP="00E168E5">
      <w:pPr>
        <w:pStyle w:val="Heading1"/>
      </w:pPr>
      <w:r>
        <w:t>Conclusions</w:t>
      </w:r>
    </w:p>
    <w:bookmarkEnd w:id="3"/>
    <w:bookmarkEnd w:id="4"/>
    <w:bookmarkEnd w:id="5"/>
    <w:bookmarkEnd w:id="6"/>
    <w:bookmarkEnd w:id="7"/>
    <w:bookmarkEnd w:id="8"/>
    <w:bookmarkEnd w:id="9"/>
    <w:p w14:paraId="72B95BD9" w14:textId="043E89F3" w:rsidR="00975ABF" w:rsidRDefault="0019655E" w:rsidP="00BC2397">
      <w:pPr>
        <w:jc w:val="both"/>
        <w:rPr>
          <w:lang w:val="en-GB" w:eastAsia="zh-CN"/>
        </w:rPr>
      </w:pPr>
      <w:r>
        <w:rPr>
          <w:lang w:val="en-GB" w:eastAsia="zh-CN"/>
        </w:rPr>
        <w:t>In this contribution</w:t>
      </w:r>
      <w:r w:rsidR="00975ABF">
        <w:rPr>
          <w:lang w:val="en-GB" w:eastAsia="zh-CN"/>
        </w:rPr>
        <w:t xml:space="preserve">, we </w:t>
      </w:r>
      <w:r>
        <w:rPr>
          <w:lang w:val="en-GB" w:eastAsia="zh-CN"/>
        </w:rPr>
        <w:t xml:space="preserve">discussed the </w:t>
      </w:r>
      <w:r w:rsidR="008B2E6C">
        <w:rPr>
          <w:lang w:val="en-GB" w:eastAsia="zh-CN"/>
        </w:rPr>
        <w:t xml:space="preserve">remaining issues for </w:t>
      </w:r>
      <w:r>
        <w:rPr>
          <w:lang w:val="en-GB" w:eastAsia="zh-CN"/>
        </w:rPr>
        <w:t>DL design of NB-IoT</w:t>
      </w:r>
      <w:r w:rsidR="00F610C3">
        <w:rPr>
          <w:lang w:val="en-GB" w:eastAsia="zh-CN"/>
        </w:rPr>
        <w:t xml:space="preserve"> TDD</w:t>
      </w:r>
      <w:r>
        <w:rPr>
          <w:lang w:val="en-GB" w:eastAsia="zh-CN"/>
        </w:rPr>
        <w:t xml:space="preserve">. </w:t>
      </w:r>
      <w:r w:rsidR="00077400">
        <w:rPr>
          <w:lang w:val="en-GB" w:eastAsia="zh-CN"/>
        </w:rPr>
        <w:t>We ma</w:t>
      </w:r>
      <w:r>
        <w:rPr>
          <w:lang w:val="en-GB" w:eastAsia="zh-CN"/>
        </w:rPr>
        <w:t>d</w:t>
      </w:r>
      <w:r w:rsidR="00077400">
        <w:rPr>
          <w:lang w:val="en-GB" w:eastAsia="zh-CN"/>
        </w:rPr>
        <w:t xml:space="preserve">e the following </w:t>
      </w:r>
      <w:r w:rsidR="002342D1">
        <w:rPr>
          <w:lang w:val="en-GB" w:eastAsia="zh-CN"/>
        </w:rPr>
        <w:t>p</w:t>
      </w:r>
      <w:r w:rsidR="00077400">
        <w:rPr>
          <w:lang w:val="en-GB" w:eastAsia="zh-CN"/>
        </w:rPr>
        <w:t>roposal</w:t>
      </w:r>
      <w:r w:rsidR="009026EF">
        <w:rPr>
          <w:lang w:val="en-GB" w:eastAsia="zh-CN"/>
        </w:rPr>
        <w:t>s</w:t>
      </w:r>
      <w:r w:rsidR="003B10DA">
        <w:rPr>
          <w:lang w:val="en-GB" w:eastAsia="zh-CN"/>
        </w:rPr>
        <w:t>:</w:t>
      </w:r>
    </w:p>
    <w:p w14:paraId="4BEAD1B1" w14:textId="146150F2" w:rsidR="008B2E6C" w:rsidRDefault="008B2E6C" w:rsidP="008B2E6C">
      <w:pPr>
        <w:rPr>
          <w:b/>
          <w:lang w:val="en-GB"/>
        </w:rPr>
      </w:pPr>
      <w:r>
        <w:rPr>
          <w:b/>
          <w:u w:val="single"/>
          <w:lang w:val="en-GB"/>
        </w:rPr>
        <w:t>Proposal 1</w:t>
      </w:r>
      <w:r w:rsidRPr="005648A0">
        <w:rPr>
          <w:b/>
          <w:lang w:val="en-GB"/>
        </w:rPr>
        <w:t xml:space="preserve">: </w:t>
      </w:r>
      <w:r>
        <w:rPr>
          <w:b/>
          <w:lang w:val="en-GB"/>
        </w:rPr>
        <w:t xml:space="preserve">For </w:t>
      </w:r>
      <w:proofErr w:type="spellStart"/>
      <w:r>
        <w:rPr>
          <w:b/>
          <w:lang w:val="en-GB"/>
        </w:rPr>
        <w:t>guardband</w:t>
      </w:r>
      <w:proofErr w:type="spellEnd"/>
      <w:r>
        <w:rPr>
          <w:b/>
          <w:lang w:val="en-GB"/>
        </w:rPr>
        <w:t xml:space="preserve">, the 1-bit freqInfoSIB1 in MIB-NB is used to indicate the </w:t>
      </w:r>
      <w:r w:rsidRPr="00831D2B">
        <w:rPr>
          <w:b/>
          <w:lang w:val="en-GB"/>
        </w:rPr>
        <w:t xml:space="preserve">SIB1-NB non-anchor </w:t>
      </w:r>
      <w:r>
        <w:rPr>
          <w:b/>
          <w:lang w:val="en-GB"/>
        </w:rPr>
        <w:t>on either the adjacent lower carrier or the adjacent higher carrier relative to the anchor carrier and the frequency location is further determined by the signalled raster offset</w:t>
      </w:r>
    </w:p>
    <w:p w14:paraId="7D8C3CFD" w14:textId="77777777" w:rsidR="008B2E6C" w:rsidRDefault="008B2E6C" w:rsidP="008B2E6C">
      <w:pPr>
        <w:rPr>
          <w:b/>
          <w:lang w:val="en-GB"/>
        </w:rPr>
      </w:pPr>
      <w:r>
        <w:rPr>
          <w:b/>
          <w:u w:val="single"/>
          <w:lang w:val="en-GB"/>
        </w:rPr>
        <w:t>Proposal 2</w:t>
      </w:r>
      <w:r w:rsidRPr="005648A0">
        <w:rPr>
          <w:b/>
          <w:lang w:val="en-GB"/>
        </w:rPr>
        <w:t xml:space="preserve">: </w:t>
      </w:r>
      <w:r>
        <w:rPr>
          <w:b/>
          <w:lang w:val="en-GB"/>
        </w:rPr>
        <w:t>For the anchor carrier, UE assumes that NRS is transmitted in subframe #0 not containing NSSS, #9, #4 if used for SIB1-NB, and any other valid DL subframes based on the valid subframe configuration in SIB1-NB</w:t>
      </w:r>
    </w:p>
    <w:p w14:paraId="080CB897" w14:textId="77777777" w:rsidR="008B2E6C" w:rsidRDefault="008B2E6C" w:rsidP="008B2E6C">
      <w:pPr>
        <w:rPr>
          <w:b/>
          <w:lang w:val="en-GB"/>
        </w:rPr>
      </w:pPr>
      <w:r>
        <w:rPr>
          <w:b/>
          <w:u w:val="single"/>
          <w:lang w:val="en-GB"/>
        </w:rPr>
        <w:lastRenderedPageBreak/>
        <w:t>Proposal 3</w:t>
      </w:r>
      <w:r w:rsidRPr="005648A0">
        <w:rPr>
          <w:b/>
          <w:lang w:val="en-GB"/>
        </w:rPr>
        <w:t xml:space="preserve">: </w:t>
      </w:r>
      <w:r>
        <w:rPr>
          <w:b/>
          <w:lang w:val="en-GB"/>
        </w:rPr>
        <w:t>For the non-anchor carrier where the SIB1-NB is transmitted, UE may assume that NRS is transmitted in subframe #0, #5, #9 and any other valid DL subframes based on the valid subframe configuration in SIB1-NB</w:t>
      </w:r>
    </w:p>
    <w:p w14:paraId="66DC7139" w14:textId="77777777" w:rsidR="008B2E6C" w:rsidRDefault="008B2E6C" w:rsidP="008B2E6C">
      <w:pPr>
        <w:rPr>
          <w:b/>
          <w:lang w:val="en-GB"/>
        </w:rPr>
      </w:pPr>
      <w:r>
        <w:rPr>
          <w:b/>
          <w:u w:val="single"/>
          <w:lang w:val="en-GB"/>
        </w:rPr>
        <w:t>Proposal 4</w:t>
      </w:r>
      <w:r w:rsidRPr="005648A0">
        <w:rPr>
          <w:b/>
          <w:lang w:val="en-GB"/>
        </w:rPr>
        <w:t xml:space="preserve">: </w:t>
      </w:r>
      <w:r>
        <w:rPr>
          <w:b/>
          <w:lang w:val="en-GB"/>
        </w:rPr>
        <w:t xml:space="preserve">For in-band mode, NPDCCH transmission in </w:t>
      </w:r>
      <w:proofErr w:type="spellStart"/>
      <w:r>
        <w:rPr>
          <w:b/>
          <w:lang w:val="en-GB"/>
        </w:rPr>
        <w:t>DwPTS</w:t>
      </w:r>
      <w:proofErr w:type="spellEnd"/>
      <w:r>
        <w:rPr>
          <w:b/>
          <w:lang w:val="en-GB"/>
        </w:rPr>
        <w:t xml:space="preserve"> is not supported when the number of OFDM symbols in </w:t>
      </w:r>
      <w:proofErr w:type="spellStart"/>
      <w:r>
        <w:rPr>
          <w:b/>
          <w:lang w:val="en-GB"/>
        </w:rPr>
        <w:t>DwPTS</w:t>
      </w:r>
      <w:proofErr w:type="spellEnd"/>
      <w:r>
        <w:rPr>
          <w:b/>
          <w:lang w:val="en-GB"/>
        </w:rPr>
        <w:t xml:space="preserve"> is equal to 3.</w:t>
      </w:r>
    </w:p>
    <w:p w14:paraId="31F077B1" w14:textId="77777777" w:rsidR="008B2E6C" w:rsidRDefault="008B2E6C" w:rsidP="008B2E6C">
      <w:pPr>
        <w:rPr>
          <w:b/>
          <w:lang w:val="en-GB"/>
        </w:rPr>
      </w:pPr>
      <w:r>
        <w:rPr>
          <w:b/>
          <w:u w:val="single"/>
          <w:lang w:val="en-GB"/>
        </w:rPr>
        <w:t>Proposal 5</w:t>
      </w:r>
      <w:r w:rsidRPr="005648A0">
        <w:rPr>
          <w:b/>
          <w:lang w:val="en-GB"/>
        </w:rPr>
        <w:t xml:space="preserve">: </w:t>
      </w:r>
      <w:r>
        <w:rPr>
          <w:b/>
          <w:lang w:val="en-GB"/>
        </w:rPr>
        <w:t xml:space="preserve">For </w:t>
      </w:r>
      <w:proofErr w:type="spellStart"/>
      <w:r>
        <w:rPr>
          <w:b/>
          <w:lang w:val="en-GB"/>
        </w:rPr>
        <w:t>guardband</w:t>
      </w:r>
      <w:proofErr w:type="spellEnd"/>
      <w:r>
        <w:rPr>
          <w:b/>
          <w:lang w:val="en-GB"/>
        </w:rPr>
        <w:t xml:space="preserve"> and standalone, the aggregation level 1 is not supported for NPDCCH transmission in </w:t>
      </w:r>
      <w:proofErr w:type="spellStart"/>
      <w:r>
        <w:rPr>
          <w:b/>
          <w:lang w:val="en-GB"/>
        </w:rPr>
        <w:t>DwPTS</w:t>
      </w:r>
      <w:proofErr w:type="spellEnd"/>
      <w:r>
        <w:rPr>
          <w:b/>
          <w:lang w:val="en-GB"/>
        </w:rPr>
        <w:t xml:space="preserve"> when the number of OFDM symbols in </w:t>
      </w:r>
      <w:proofErr w:type="spellStart"/>
      <w:r>
        <w:rPr>
          <w:b/>
          <w:lang w:val="en-GB"/>
        </w:rPr>
        <w:t>DwPTS</w:t>
      </w:r>
      <w:proofErr w:type="spellEnd"/>
      <w:r>
        <w:rPr>
          <w:b/>
          <w:lang w:val="en-GB"/>
        </w:rPr>
        <w:t xml:space="preserve"> is equal to 3.</w:t>
      </w:r>
    </w:p>
    <w:p w14:paraId="4FA196F0" w14:textId="77777777" w:rsidR="00A54D0B" w:rsidRDefault="00A54D0B" w:rsidP="00A54D0B">
      <w:pPr>
        <w:rPr>
          <w:b/>
          <w:lang w:val="en-GB"/>
        </w:rPr>
      </w:pPr>
      <w:r>
        <w:rPr>
          <w:b/>
          <w:u w:val="single"/>
          <w:lang w:val="en-GB"/>
        </w:rPr>
        <w:t>Proposal 6</w:t>
      </w:r>
      <w:r w:rsidRPr="005648A0">
        <w:rPr>
          <w:b/>
          <w:lang w:val="en-GB"/>
        </w:rPr>
        <w:t xml:space="preserve">: </w:t>
      </w:r>
      <w:r>
        <w:rPr>
          <w:b/>
          <w:lang w:val="en-GB"/>
        </w:rPr>
        <w:t xml:space="preserve">For NPDSCH without repetition or with a non-cyclic repetition, the rate matching shall be used for RE mapping in the special subframe. </w:t>
      </w:r>
    </w:p>
    <w:p w14:paraId="6C168512" w14:textId="77777777" w:rsidR="008B2E6C" w:rsidRDefault="008B2E6C" w:rsidP="008B2E6C">
      <w:pPr>
        <w:rPr>
          <w:b/>
          <w:lang w:val="en-GB"/>
        </w:rPr>
      </w:pPr>
      <w:r>
        <w:rPr>
          <w:b/>
          <w:u w:val="single"/>
          <w:lang w:val="en-GB"/>
        </w:rPr>
        <w:t>Proposal 7</w:t>
      </w:r>
      <w:r w:rsidRPr="005648A0">
        <w:rPr>
          <w:b/>
          <w:lang w:val="en-GB"/>
        </w:rPr>
        <w:t xml:space="preserve">: </w:t>
      </w:r>
      <w:r>
        <w:rPr>
          <w:b/>
          <w:lang w:val="en-GB"/>
        </w:rPr>
        <w:t xml:space="preserve">For NPDSCH with cyclic repetition, the special subframe is counted for NPDSCH RE mapping only for special subframe configuration #1, #2, #6 and #7 with the mapping on the GP and </w:t>
      </w:r>
      <w:proofErr w:type="spellStart"/>
      <w:r>
        <w:rPr>
          <w:b/>
          <w:lang w:val="en-GB"/>
        </w:rPr>
        <w:t>UpPTS</w:t>
      </w:r>
      <w:proofErr w:type="spellEnd"/>
      <w:r>
        <w:rPr>
          <w:b/>
          <w:lang w:val="en-GB"/>
        </w:rPr>
        <w:t xml:space="preserve"> symbols punctured </w:t>
      </w:r>
    </w:p>
    <w:p w14:paraId="38A97F5F" w14:textId="77777777" w:rsidR="008B2E6C" w:rsidRDefault="008B2E6C" w:rsidP="008B2E6C">
      <w:pPr>
        <w:rPr>
          <w:b/>
          <w:lang w:val="en-GB"/>
        </w:rPr>
      </w:pPr>
      <w:r>
        <w:rPr>
          <w:b/>
          <w:u w:val="single"/>
          <w:lang w:val="en-GB"/>
        </w:rPr>
        <w:t>Proposal 8</w:t>
      </w:r>
      <w:r w:rsidRPr="005648A0">
        <w:rPr>
          <w:b/>
          <w:lang w:val="en-GB"/>
        </w:rPr>
        <w:t xml:space="preserve">: </w:t>
      </w:r>
      <w:r>
        <w:rPr>
          <w:b/>
          <w:lang w:val="en-GB"/>
        </w:rPr>
        <w:t xml:space="preserve">For NPDCCH, the rate matching is done according to the available REs in each transmission subframe  </w:t>
      </w:r>
    </w:p>
    <w:p w14:paraId="2B36D59E" w14:textId="77777777" w:rsidR="008B2E6C" w:rsidRDefault="008B2E6C" w:rsidP="008B2E6C">
      <w:pPr>
        <w:rPr>
          <w:b/>
          <w:lang w:val="en-GB"/>
        </w:rPr>
      </w:pPr>
      <w:r>
        <w:rPr>
          <w:b/>
          <w:u w:val="single"/>
          <w:lang w:val="en-GB"/>
        </w:rPr>
        <w:t>Proposal 9</w:t>
      </w:r>
      <w:r w:rsidRPr="005648A0">
        <w:rPr>
          <w:b/>
          <w:lang w:val="en-GB"/>
        </w:rPr>
        <w:t xml:space="preserve">: </w:t>
      </w:r>
      <w:r>
        <w:rPr>
          <w:b/>
          <w:lang w:val="en-GB"/>
        </w:rPr>
        <w:t>For TDD NB-IoT, NPRS is not supported in the special subframe.</w:t>
      </w:r>
    </w:p>
    <w:p w14:paraId="7A89CE63" w14:textId="77777777" w:rsidR="00A54D0B" w:rsidRDefault="00A54D0B" w:rsidP="00A54D0B">
      <w:pPr>
        <w:rPr>
          <w:b/>
          <w:lang w:val="en-GB"/>
        </w:rPr>
      </w:pPr>
      <w:r>
        <w:rPr>
          <w:b/>
          <w:u w:val="single"/>
          <w:lang w:val="en-GB"/>
        </w:rPr>
        <w:t>Proposal 10</w:t>
      </w:r>
      <w:r w:rsidRPr="005648A0">
        <w:rPr>
          <w:b/>
          <w:lang w:val="en-GB"/>
        </w:rPr>
        <w:t xml:space="preserve">: </w:t>
      </w:r>
      <w:r>
        <w:rPr>
          <w:b/>
          <w:lang w:val="en-GB"/>
        </w:rPr>
        <w:t>The NPRS sequence and configuration can be reused in FDD for TDD NB-IoT.</w:t>
      </w:r>
    </w:p>
    <w:p w14:paraId="7B451C47" w14:textId="63B56FF9" w:rsidR="003B10DA" w:rsidRPr="00A54D0B" w:rsidRDefault="003B10DA" w:rsidP="00A62666">
      <w:pPr>
        <w:overflowPunct/>
        <w:autoSpaceDE/>
        <w:autoSpaceDN/>
        <w:adjustRightInd/>
        <w:spacing w:after="60"/>
        <w:textAlignment w:val="auto"/>
        <w:rPr>
          <w:lang w:val="en-GB"/>
        </w:rPr>
      </w:pPr>
    </w:p>
    <w:p w14:paraId="26881B4C" w14:textId="77777777" w:rsidR="00E523F3" w:rsidRDefault="00E523F3" w:rsidP="00E523F3">
      <w:pPr>
        <w:pStyle w:val="Heading1"/>
        <w:rPr>
          <w:lang w:val="en-US"/>
        </w:rPr>
      </w:pPr>
      <w:r w:rsidRPr="000A64D8">
        <w:rPr>
          <w:lang w:val="en-US"/>
        </w:rPr>
        <w:t>References</w:t>
      </w:r>
    </w:p>
    <w:p w14:paraId="6861985C" w14:textId="73C1063C" w:rsidR="002342D1" w:rsidRDefault="00BF4E12" w:rsidP="00CF17D4">
      <w:pPr>
        <w:rPr>
          <w:rStyle w:val="SubtleReference"/>
        </w:rPr>
      </w:pPr>
      <w:r>
        <w:rPr>
          <w:rStyle w:val="SubtleReference"/>
        </w:rPr>
        <w:t>[</w:t>
      </w:r>
      <w:r w:rsidR="00D5371D">
        <w:rPr>
          <w:rStyle w:val="SubtleReference"/>
        </w:rPr>
        <w:t>1</w:t>
      </w:r>
      <w:r>
        <w:rPr>
          <w:rStyle w:val="SubtleReference"/>
        </w:rPr>
        <w:t>] 3GPP RAN1#9</w:t>
      </w:r>
      <w:r w:rsidR="00B4097B">
        <w:rPr>
          <w:rStyle w:val="SubtleReference"/>
        </w:rPr>
        <w:t>2</w:t>
      </w:r>
      <w:r>
        <w:rPr>
          <w:rStyle w:val="SubtleReference"/>
        </w:rPr>
        <w:t>, Chairman’s notes</w:t>
      </w:r>
    </w:p>
    <w:sectPr w:rsidR="002342D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3DC12" w14:textId="77777777" w:rsidR="00FD6AF9" w:rsidRDefault="00FD6AF9">
      <w:r>
        <w:separator/>
      </w:r>
    </w:p>
  </w:endnote>
  <w:endnote w:type="continuationSeparator" w:id="0">
    <w:p w14:paraId="4A07E9C9" w14:textId="77777777" w:rsidR="00FD6AF9" w:rsidRDefault="00FD6AF9">
      <w:r>
        <w:continuationSeparator/>
      </w:r>
    </w:p>
  </w:endnote>
  <w:endnote w:type="continuationNotice" w:id="1">
    <w:p w14:paraId="2AF41A27" w14:textId="77777777" w:rsidR="00FD6AF9" w:rsidRDefault="00FD6A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A0E59" w:rsidRDefault="00DA0E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A0E59" w:rsidRDefault="00DA0E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1ADE6C1" w:rsidR="00DA0E59" w:rsidRDefault="00DA0E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54D0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54D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3E92C" w14:textId="77777777" w:rsidR="00FD6AF9" w:rsidRDefault="00FD6AF9">
      <w:r>
        <w:separator/>
      </w:r>
    </w:p>
  </w:footnote>
  <w:footnote w:type="continuationSeparator" w:id="0">
    <w:p w14:paraId="309E7BC6" w14:textId="77777777" w:rsidR="00FD6AF9" w:rsidRDefault="00FD6AF9">
      <w:r>
        <w:continuationSeparator/>
      </w:r>
    </w:p>
  </w:footnote>
  <w:footnote w:type="continuationNotice" w:id="1">
    <w:p w14:paraId="3C83F0A2" w14:textId="77777777" w:rsidR="00FD6AF9" w:rsidRDefault="00FD6A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A0E59" w:rsidRDefault="00DA0E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F452ED"/>
    <w:multiLevelType w:val="hybridMultilevel"/>
    <w:tmpl w:val="33665C12"/>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011646"/>
    <w:multiLevelType w:val="hybridMultilevel"/>
    <w:tmpl w:val="7610C11C"/>
    <w:lvl w:ilvl="0" w:tplc="E0385B06">
      <w:start w:val="1"/>
      <w:numFmt w:val="bullet"/>
      <w:lvlText w:val="−"/>
      <w:lvlJc w:val="left"/>
      <w:pPr>
        <w:tabs>
          <w:tab w:val="num" w:pos="720"/>
        </w:tabs>
        <w:ind w:left="720" w:hanging="360"/>
      </w:pPr>
      <w:rPr>
        <w:rFonts w:ascii="Calibre Regular" w:hAnsi="Calibre Regular" w:hint="default"/>
      </w:rPr>
    </w:lvl>
    <w:lvl w:ilvl="1" w:tplc="8B76AC7E">
      <w:start w:val="1"/>
      <w:numFmt w:val="bullet"/>
      <w:lvlText w:val="−"/>
      <w:lvlJc w:val="left"/>
      <w:pPr>
        <w:tabs>
          <w:tab w:val="num" w:pos="1440"/>
        </w:tabs>
        <w:ind w:left="1440" w:hanging="360"/>
      </w:pPr>
      <w:rPr>
        <w:rFonts w:ascii="Calibre Regular" w:hAnsi="Calibre Regular" w:hint="default"/>
      </w:rPr>
    </w:lvl>
    <w:lvl w:ilvl="2" w:tplc="E0D04F04" w:tentative="1">
      <w:start w:val="1"/>
      <w:numFmt w:val="bullet"/>
      <w:lvlText w:val="−"/>
      <w:lvlJc w:val="left"/>
      <w:pPr>
        <w:tabs>
          <w:tab w:val="num" w:pos="2160"/>
        </w:tabs>
        <w:ind w:left="2160" w:hanging="360"/>
      </w:pPr>
      <w:rPr>
        <w:rFonts w:ascii="Calibre Regular" w:hAnsi="Calibre Regular" w:hint="default"/>
      </w:rPr>
    </w:lvl>
    <w:lvl w:ilvl="3" w:tplc="9BF69ABE" w:tentative="1">
      <w:start w:val="1"/>
      <w:numFmt w:val="bullet"/>
      <w:lvlText w:val="−"/>
      <w:lvlJc w:val="left"/>
      <w:pPr>
        <w:tabs>
          <w:tab w:val="num" w:pos="2880"/>
        </w:tabs>
        <w:ind w:left="2880" w:hanging="360"/>
      </w:pPr>
      <w:rPr>
        <w:rFonts w:ascii="Calibre Regular" w:hAnsi="Calibre Regular" w:hint="default"/>
      </w:rPr>
    </w:lvl>
    <w:lvl w:ilvl="4" w:tplc="0D4EC2B8" w:tentative="1">
      <w:start w:val="1"/>
      <w:numFmt w:val="bullet"/>
      <w:lvlText w:val="−"/>
      <w:lvlJc w:val="left"/>
      <w:pPr>
        <w:tabs>
          <w:tab w:val="num" w:pos="3600"/>
        </w:tabs>
        <w:ind w:left="3600" w:hanging="360"/>
      </w:pPr>
      <w:rPr>
        <w:rFonts w:ascii="Calibre Regular" w:hAnsi="Calibre Regular" w:hint="default"/>
      </w:rPr>
    </w:lvl>
    <w:lvl w:ilvl="5" w:tplc="C6460FE6" w:tentative="1">
      <w:start w:val="1"/>
      <w:numFmt w:val="bullet"/>
      <w:lvlText w:val="−"/>
      <w:lvlJc w:val="left"/>
      <w:pPr>
        <w:tabs>
          <w:tab w:val="num" w:pos="4320"/>
        </w:tabs>
        <w:ind w:left="4320" w:hanging="360"/>
      </w:pPr>
      <w:rPr>
        <w:rFonts w:ascii="Calibre Regular" w:hAnsi="Calibre Regular" w:hint="default"/>
      </w:rPr>
    </w:lvl>
    <w:lvl w:ilvl="6" w:tplc="526EA110" w:tentative="1">
      <w:start w:val="1"/>
      <w:numFmt w:val="bullet"/>
      <w:lvlText w:val="−"/>
      <w:lvlJc w:val="left"/>
      <w:pPr>
        <w:tabs>
          <w:tab w:val="num" w:pos="5040"/>
        </w:tabs>
        <w:ind w:left="5040" w:hanging="360"/>
      </w:pPr>
      <w:rPr>
        <w:rFonts w:ascii="Calibre Regular" w:hAnsi="Calibre Regular" w:hint="default"/>
      </w:rPr>
    </w:lvl>
    <w:lvl w:ilvl="7" w:tplc="4FB6776E" w:tentative="1">
      <w:start w:val="1"/>
      <w:numFmt w:val="bullet"/>
      <w:lvlText w:val="−"/>
      <w:lvlJc w:val="left"/>
      <w:pPr>
        <w:tabs>
          <w:tab w:val="num" w:pos="5760"/>
        </w:tabs>
        <w:ind w:left="5760" w:hanging="360"/>
      </w:pPr>
      <w:rPr>
        <w:rFonts w:ascii="Calibre Regular" w:hAnsi="Calibre Regular" w:hint="default"/>
      </w:rPr>
    </w:lvl>
    <w:lvl w:ilvl="8" w:tplc="2ED4CE8C" w:tentative="1">
      <w:start w:val="1"/>
      <w:numFmt w:val="bullet"/>
      <w:lvlText w:val="−"/>
      <w:lvlJc w:val="left"/>
      <w:pPr>
        <w:tabs>
          <w:tab w:val="num" w:pos="6480"/>
        </w:tabs>
        <w:ind w:left="6480" w:hanging="360"/>
      </w:pPr>
      <w:rPr>
        <w:rFonts w:ascii="Calibre Regular" w:hAnsi="Calibre Regular" w:hint="default"/>
      </w:rPr>
    </w:lvl>
  </w:abstractNum>
  <w:abstractNum w:abstractNumId="1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774E7C"/>
    <w:multiLevelType w:val="hybridMultilevel"/>
    <w:tmpl w:val="68CCCA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6A1BC7"/>
    <w:multiLevelType w:val="multilevel"/>
    <w:tmpl w:val="D6E4A4CA"/>
    <w:lvl w:ilvl="0">
      <w:start w:val="1"/>
      <w:numFmt w:val="bullet"/>
      <w:lvlText w:val=""/>
      <w:lvlJc w:val="left"/>
      <w:pPr>
        <w:tabs>
          <w:tab w:val="num" w:pos="432"/>
        </w:tabs>
        <w:ind w:left="432" w:hanging="432"/>
      </w:pPr>
      <w:rPr>
        <w:rFonts w:ascii="Symbol" w:hAnsi="Symbol" w:hint="default"/>
        <w:lang w:val="en-GB"/>
      </w:rPr>
    </w:lvl>
    <w:lvl w:ilvl="1">
      <w:start w:val="1"/>
      <w:numFmt w:val="bullet"/>
      <w:lvlText w:val="o"/>
      <w:lvlJc w:val="left"/>
      <w:pPr>
        <w:tabs>
          <w:tab w:val="num" w:pos="576"/>
        </w:tabs>
        <w:ind w:left="576" w:hanging="576"/>
      </w:pPr>
      <w:rPr>
        <w:rFonts w:ascii="Courier New" w:hAnsi="Courier New" w:cs="Courier New" w:hint="default"/>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AC0CC8"/>
    <w:multiLevelType w:val="multilevel"/>
    <w:tmpl w:val="50AC0CC8"/>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18" w15:restartNumberingAfterBreak="0">
    <w:nsid w:val="50F103AE"/>
    <w:multiLevelType w:val="hybridMultilevel"/>
    <w:tmpl w:val="A52633DE"/>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2D208EE"/>
    <w:multiLevelType w:val="hybridMultilevel"/>
    <w:tmpl w:val="99D62EC8"/>
    <w:lvl w:ilvl="0" w:tplc="16087B60">
      <w:start w:val="1"/>
      <w:numFmt w:val="bullet"/>
      <w:lvlText w:val="•"/>
      <w:lvlJc w:val="left"/>
      <w:pPr>
        <w:tabs>
          <w:tab w:val="num" w:pos="360"/>
        </w:tabs>
        <w:ind w:left="360" w:hanging="360"/>
      </w:pPr>
      <w:rPr>
        <w:rFonts w:ascii="Arial" w:hAnsi="Arial" w:cs="Times New Roman" w:hint="default"/>
      </w:rPr>
    </w:lvl>
    <w:lvl w:ilvl="1" w:tplc="8F1A6266">
      <w:start w:val="1"/>
      <w:numFmt w:val="bullet"/>
      <w:lvlText w:val="•"/>
      <w:lvlJc w:val="left"/>
      <w:pPr>
        <w:tabs>
          <w:tab w:val="num" w:pos="1080"/>
        </w:tabs>
        <w:ind w:left="1080" w:hanging="360"/>
      </w:pPr>
      <w:rPr>
        <w:rFonts w:ascii="Arial" w:hAnsi="Arial" w:cs="Times New Roman" w:hint="default"/>
      </w:rPr>
    </w:lvl>
    <w:lvl w:ilvl="2" w:tplc="4A448DE0">
      <w:start w:val="1"/>
      <w:numFmt w:val="bullet"/>
      <w:lvlText w:val="•"/>
      <w:lvlJc w:val="left"/>
      <w:pPr>
        <w:tabs>
          <w:tab w:val="num" w:pos="1800"/>
        </w:tabs>
        <w:ind w:left="1800" w:hanging="360"/>
      </w:pPr>
      <w:rPr>
        <w:rFonts w:ascii="Arial" w:hAnsi="Arial" w:cs="Times New Roman" w:hint="default"/>
      </w:rPr>
    </w:lvl>
    <w:lvl w:ilvl="3" w:tplc="2CC844F6">
      <w:start w:val="1"/>
      <w:numFmt w:val="bullet"/>
      <w:lvlText w:val="•"/>
      <w:lvlJc w:val="left"/>
      <w:pPr>
        <w:tabs>
          <w:tab w:val="num" w:pos="2520"/>
        </w:tabs>
        <w:ind w:left="2520" w:hanging="360"/>
      </w:pPr>
      <w:rPr>
        <w:rFonts w:ascii="Arial" w:hAnsi="Arial" w:cs="Times New Roman" w:hint="default"/>
      </w:rPr>
    </w:lvl>
    <w:lvl w:ilvl="4" w:tplc="033A13AC">
      <w:start w:val="1"/>
      <w:numFmt w:val="bullet"/>
      <w:lvlText w:val="•"/>
      <w:lvlJc w:val="left"/>
      <w:pPr>
        <w:tabs>
          <w:tab w:val="num" w:pos="3240"/>
        </w:tabs>
        <w:ind w:left="3240" w:hanging="360"/>
      </w:pPr>
      <w:rPr>
        <w:rFonts w:ascii="Arial" w:hAnsi="Arial" w:cs="Times New Roman" w:hint="default"/>
      </w:rPr>
    </w:lvl>
    <w:lvl w:ilvl="5" w:tplc="12D83A3C">
      <w:start w:val="1"/>
      <w:numFmt w:val="bullet"/>
      <w:lvlText w:val="•"/>
      <w:lvlJc w:val="left"/>
      <w:pPr>
        <w:tabs>
          <w:tab w:val="num" w:pos="3960"/>
        </w:tabs>
        <w:ind w:left="3960" w:hanging="360"/>
      </w:pPr>
      <w:rPr>
        <w:rFonts w:ascii="Arial" w:hAnsi="Arial" w:cs="Times New Roman" w:hint="default"/>
      </w:rPr>
    </w:lvl>
    <w:lvl w:ilvl="6" w:tplc="883CF6B2">
      <w:start w:val="1"/>
      <w:numFmt w:val="bullet"/>
      <w:lvlText w:val="•"/>
      <w:lvlJc w:val="left"/>
      <w:pPr>
        <w:tabs>
          <w:tab w:val="num" w:pos="4680"/>
        </w:tabs>
        <w:ind w:left="4680" w:hanging="360"/>
      </w:pPr>
      <w:rPr>
        <w:rFonts w:ascii="Arial" w:hAnsi="Arial" w:cs="Times New Roman" w:hint="default"/>
      </w:rPr>
    </w:lvl>
    <w:lvl w:ilvl="7" w:tplc="A6EAD714">
      <w:start w:val="1"/>
      <w:numFmt w:val="bullet"/>
      <w:lvlText w:val="•"/>
      <w:lvlJc w:val="left"/>
      <w:pPr>
        <w:tabs>
          <w:tab w:val="num" w:pos="5400"/>
        </w:tabs>
        <w:ind w:left="5400" w:hanging="360"/>
      </w:pPr>
      <w:rPr>
        <w:rFonts w:ascii="Arial" w:hAnsi="Arial" w:cs="Times New Roman" w:hint="default"/>
      </w:rPr>
    </w:lvl>
    <w:lvl w:ilvl="8" w:tplc="CC42AACA">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5C4046E2"/>
    <w:multiLevelType w:val="hybridMultilevel"/>
    <w:tmpl w:val="1584C2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1" w15:restartNumberingAfterBreak="0">
    <w:nsid w:val="5FF50C33"/>
    <w:multiLevelType w:val="hybridMultilevel"/>
    <w:tmpl w:val="6EAC1B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8B615C"/>
    <w:multiLevelType w:val="hybridMultilevel"/>
    <w:tmpl w:val="8D28C2EA"/>
    <w:lvl w:ilvl="0" w:tplc="04090001">
      <w:start w:val="1"/>
      <w:numFmt w:val="bullet"/>
      <w:lvlText w:val=""/>
      <w:lvlJc w:val="left"/>
      <w:pPr>
        <w:tabs>
          <w:tab w:val="num" w:pos="360"/>
        </w:tabs>
        <w:ind w:left="360" w:hanging="360"/>
      </w:pPr>
      <w:rPr>
        <w:rFonts w:ascii="Symbol" w:hAnsi="Symbol" w:hint="default"/>
      </w:rPr>
    </w:lvl>
    <w:lvl w:ilvl="1" w:tplc="F008FDD0">
      <w:start w:val="1"/>
      <w:numFmt w:val="bullet"/>
      <w:lvlText w:val="•"/>
      <w:lvlJc w:val="left"/>
      <w:pPr>
        <w:tabs>
          <w:tab w:val="num" w:pos="1080"/>
        </w:tabs>
        <w:ind w:left="1080" w:hanging="360"/>
      </w:pPr>
      <w:rPr>
        <w:rFonts w:ascii="Arial" w:hAnsi="Arial" w:hint="default"/>
      </w:rPr>
    </w:lvl>
    <w:lvl w:ilvl="2" w:tplc="8466CD90">
      <w:numFmt w:val="bullet"/>
      <w:lvlText w:val="−"/>
      <w:lvlJc w:val="left"/>
      <w:pPr>
        <w:tabs>
          <w:tab w:val="num" w:pos="1800"/>
        </w:tabs>
        <w:ind w:left="1800" w:hanging="360"/>
      </w:pPr>
      <w:rPr>
        <w:rFonts w:ascii="Calibre Regular" w:hAnsi="Calibre Regular" w:hint="default"/>
      </w:rPr>
    </w:lvl>
    <w:lvl w:ilvl="3" w:tplc="C9B4BAAC" w:tentative="1">
      <w:start w:val="1"/>
      <w:numFmt w:val="bullet"/>
      <w:lvlText w:val="−"/>
      <w:lvlJc w:val="left"/>
      <w:pPr>
        <w:tabs>
          <w:tab w:val="num" w:pos="2520"/>
        </w:tabs>
        <w:ind w:left="2520" w:hanging="360"/>
      </w:pPr>
      <w:rPr>
        <w:rFonts w:ascii="Calibre Regular" w:hAnsi="Calibre Regular" w:hint="default"/>
      </w:rPr>
    </w:lvl>
    <w:lvl w:ilvl="4" w:tplc="D84C66DE" w:tentative="1">
      <w:start w:val="1"/>
      <w:numFmt w:val="bullet"/>
      <w:lvlText w:val="−"/>
      <w:lvlJc w:val="left"/>
      <w:pPr>
        <w:tabs>
          <w:tab w:val="num" w:pos="3240"/>
        </w:tabs>
        <w:ind w:left="3240" w:hanging="360"/>
      </w:pPr>
      <w:rPr>
        <w:rFonts w:ascii="Calibre Regular" w:hAnsi="Calibre Regular" w:hint="default"/>
      </w:rPr>
    </w:lvl>
    <w:lvl w:ilvl="5" w:tplc="E3606460" w:tentative="1">
      <w:start w:val="1"/>
      <w:numFmt w:val="bullet"/>
      <w:lvlText w:val="−"/>
      <w:lvlJc w:val="left"/>
      <w:pPr>
        <w:tabs>
          <w:tab w:val="num" w:pos="3960"/>
        </w:tabs>
        <w:ind w:left="3960" w:hanging="360"/>
      </w:pPr>
      <w:rPr>
        <w:rFonts w:ascii="Calibre Regular" w:hAnsi="Calibre Regular" w:hint="default"/>
      </w:rPr>
    </w:lvl>
    <w:lvl w:ilvl="6" w:tplc="46A0B4CE" w:tentative="1">
      <w:start w:val="1"/>
      <w:numFmt w:val="bullet"/>
      <w:lvlText w:val="−"/>
      <w:lvlJc w:val="left"/>
      <w:pPr>
        <w:tabs>
          <w:tab w:val="num" w:pos="4680"/>
        </w:tabs>
        <w:ind w:left="4680" w:hanging="360"/>
      </w:pPr>
      <w:rPr>
        <w:rFonts w:ascii="Calibre Regular" w:hAnsi="Calibre Regular" w:hint="default"/>
      </w:rPr>
    </w:lvl>
    <w:lvl w:ilvl="7" w:tplc="B6F8DB78" w:tentative="1">
      <w:start w:val="1"/>
      <w:numFmt w:val="bullet"/>
      <w:lvlText w:val="−"/>
      <w:lvlJc w:val="left"/>
      <w:pPr>
        <w:tabs>
          <w:tab w:val="num" w:pos="5400"/>
        </w:tabs>
        <w:ind w:left="5400" w:hanging="360"/>
      </w:pPr>
      <w:rPr>
        <w:rFonts w:ascii="Calibre Regular" w:hAnsi="Calibre Regular" w:hint="default"/>
      </w:rPr>
    </w:lvl>
    <w:lvl w:ilvl="8" w:tplc="292A8B28" w:tentative="1">
      <w:start w:val="1"/>
      <w:numFmt w:val="bullet"/>
      <w:lvlText w:val="−"/>
      <w:lvlJc w:val="left"/>
      <w:pPr>
        <w:tabs>
          <w:tab w:val="num" w:pos="6120"/>
        </w:tabs>
        <w:ind w:left="6120" w:hanging="360"/>
      </w:pPr>
      <w:rPr>
        <w:rFonts w:ascii="Calibre Regular" w:hAnsi="Calibre Regular" w:hint="default"/>
      </w:rPr>
    </w:lvl>
  </w:abstractNum>
  <w:abstractNum w:abstractNumId="23" w15:restartNumberingAfterBreak="0">
    <w:nsid w:val="672963CD"/>
    <w:multiLevelType w:val="hybridMultilevel"/>
    <w:tmpl w:val="11788160"/>
    <w:lvl w:ilvl="0" w:tplc="04090001">
      <w:start w:val="1"/>
      <w:numFmt w:val="bullet"/>
      <w:lvlText w:val=""/>
      <w:lvlJc w:val="left"/>
      <w:pPr>
        <w:tabs>
          <w:tab w:val="num" w:pos="360"/>
        </w:tabs>
        <w:ind w:left="360" w:hanging="360"/>
      </w:pPr>
      <w:rPr>
        <w:rFonts w:ascii="Symbol" w:hAnsi="Symbol" w:hint="default"/>
      </w:rPr>
    </w:lvl>
    <w:lvl w:ilvl="1" w:tplc="9C3C1770">
      <w:start w:val="1"/>
      <w:numFmt w:val="bullet"/>
      <w:lvlText w:val="−"/>
      <w:lvlJc w:val="left"/>
      <w:pPr>
        <w:tabs>
          <w:tab w:val="num" w:pos="1080"/>
        </w:tabs>
        <w:ind w:left="1080" w:hanging="360"/>
      </w:pPr>
      <w:rPr>
        <w:rFonts w:ascii="Calibre Regular" w:hAnsi="Calibre Regular" w:hint="default"/>
      </w:rPr>
    </w:lvl>
    <w:lvl w:ilvl="2" w:tplc="8466CD90">
      <w:numFmt w:val="bullet"/>
      <w:lvlText w:val="−"/>
      <w:lvlJc w:val="left"/>
      <w:pPr>
        <w:tabs>
          <w:tab w:val="num" w:pos="1800"/>
        </w:tabs>
        <w:ind w:left="1800" w:hanging="360"/>
      </w:pPr>
      <w:rPr>
        <w:rFonts w:ascii="Calibre Regular" w:hAnsi="Calibre Regular" w:hint="default"/>
      </w:rPr>
    </w:lvl>
    <w:lvl w:ilvl="3" w:tplc="C9B4BAAC" w:tentative="1">
      <w:start w:val="1"/>
      <w:numFmt w:val="bullet"/>
      <w:lvlText w:val="−"/>
      <w:lvlJc w:val="left"/>
      <w:pPr>
        <w:tabs>
          <w:tab w:val="num" w:pos="2520"/>
        </w:tabs>
        <w:ind w:left="2520" w:hanging="360"/>
      </w:pPr>
      <w:rPr>
        <w:rFonts w:ascii="Calibre Regular" w:hAnsi="Calibre Regular" w:hint="default"/>
      </w:rPr>
    </w:lvl>
    <w:lvl w:ilvl="4" w:tplc="D84C66DE" w:tentative="1">
      <w:start w:val="1"/>
      <w:numFmt w:val="bullet"/>
      <w:lvlText w:val="−"/>
      <w:lvlJc w:val="left"/>
      <w:pPr>
        <w:tabs>
          <w:tab w:val="num" w:pos="3240"/>
        </w:tabs>
        <w:ind w:left="3240" w:hanging="360"/>
      </w:pPr>
      <w:rPr>
        <w:rFonts w:ascii="Calibre Regular" w:hAnsi="Calibre Regular" w:hint="default"/>
      </w:rPr>
    </w:lvl>
    <w:lvl w:ilvl="5" w:tplc="E3606460" w:tentative="1">
      <w:start w:val="1"/>
      <w:numFmt w:val="bullet"/>
      <w:lvlText w:val="−"/>
      <w:lvlJc w:val="left"/>
      <w:pPr>
        <w:tabs>
          <w:tab w:val="num" w:pos="3960"/>
        </w:tabs>
        <w:ind w:left="3960" w:hanging="360"/>
      </w:pPr>
      <w:rPr>
        <w:rFonts w:ascii="Calibre Regular" w:hAnsi="Calibre Regular" w:hint="default"/>
      </w:rPr>
    </w:lvl>
    <w:lvl w:ilvl="6" w:tplc="46A0B4CE" w:tentative="1">
      <w:start w:val="1"/>
      <w:numFmt w:val="bullet"/>
      <w:lvlText w:val="−"/>
      <w:lvlJc w:val="left"/>
      <w:pPr>
        <w:tabs>
          <w:tab w:val="num" w:pos="4680"/>
        </w:tabs>
        <w:ind w:left="4680" w:hanging="360"/>
      </w:pPr>
      <w:rPr>
        <w:rFonts w:ascii="Calibre Regular" w:hAnsi="Calibre Regular" w:hint="default"/>
      </w:rPr>
    </w:lvl>
    <w:lvl w:ilvl="7" w:tplc="B6F8DB78" w:tentative="1">
      <w:start w:val="1"/>
      <w:numFmt w:val="bullet"/>
      <w:lvlText w:val="−"/>
      <w:lvlJc w:val="left"/>
      <w:pPr>
        <w:tabs>
          <w:tab w:val="num" w:pos="5400"/>
        </w:tabs>
        <w:ind w:left="5400" w:hanging="360"/>
      </w:pPr>
      <w:rPr>
        <w:rFonts w:ascii="Calibre Regular" w:hAnsi="Calibre Regular" w:hint="default"/>
      </w:rPr>
    </w:lvl>
    <w:lvl w:ilvl="8" w:tplc="292A8B28" w:tentative="1">
      <w:start w:val="1"/>
      <w:numFmt w:val="bullet"/>
      <w:lvlText w:val="−"/>
      <w:lvlJc w:val="left"/>
      <w:pPr>
        <w:tabs>
          <w:tab w:val="num" w:pos="6120"/>
        </w:tabs>
        <w:ind w:left="6120" w:hanging="360"/>
      </w:pPr>
      <w:rPr>
        <w:rFonts w:ascii="Calibre Regular" w:hAnsi="Calibre Regular" w:hint="default"/>
      </w:rPr>
    </w:lvl>
  </w:abstractNum>
  <w:abstractNum w:abstractNumId="24" w15:restartNumberingAfterBreak="0">
    <w:nsid w:val="6A4F253D"/>
    <w:multiLevelType w:val="hybridMultilevel"/>
    <w:tmpl w:val="A128ECD8"/>
    <w:lvl w:ilvl="0" w:tplc="C822718E">
      <w:start w:val="1"/>
      <w:numFmt w:val="bullet"/>
      <w:lvlText w:val=""/>
      <w:lvlJc w:val="left"/>
      <w:pPr>
        <w:tabs>
          <w:tab w:val="num" w:pos="720"/>
        </w:tabs>
        <w:ind w:left="720" w:hanging="360"/>
      </w:pPr>
      <w:rPr>
        <w:rFonts w:ascii="Symbol" w:hAnsi="Symbol" w:hint="default"/>
      </w:rPr>
    </w:lvl>
    <w:lvl w:ilvl="1" w:tplc="CAE2CF3A" w:tentative="1">
      <w:start w:val="1"/>
      <w:numFmt w:val="bullet"/>
      <w:lvlText w:val=""/>
      <w:lvlJc w:val="left"/>
      <w:pPr>
        <w:tabs>
          <w:tab w:val="num" w:pos="1440"/>
        </w:tabs>
        <w:ind w:left="1440" w:hanging="360"/>
      </w:pPr>
      <w:rPr>
        <w:rFonts w:ascii="Symbol" w:hAnsi="Symbol" w:hint="default"/>
      </w:rPr>
    </w:lvl>
    <w:lvl w:ilvl="2" w:tplc="78A84970" w:tentative="1">
      <w:start w:val="1"/>
      <w:numFmt w:val="bullet"/>
      <w:lvlText w:val=""/>
      <w:lvlJc w:val="left"/>
      <w:pPr>
        <w:tabs>
          <w:tab w:val="num" w:pos="2160"/>
        </w:tabs>
        <w:ind w:left="2160" w:hanging="360"/>
      </w:pPr>
      <w:rPr>
        <w:rFonts w:ascii="Symbol" w:hAnsi="Symbol" w:hint="default"/>
      </w:rPr>
    </w:lvl>
    <w:lvl w:ilvl="3" w:tplc="AD22769A" w:tentative="1">
      <w:start w:val="1"/>
      <w:numFmt w:val="bullet"/>
      <w:lvlText w:val=""/>
      <w:lvlJc w:val="left"/>
      <w:pPr>
        <w:tabs>
          <w:tab w:val="num" w:pos="2880"/>
        </w:tabs>
        <w:ind w:left="2880" w:hanging="360"/>
      </w:pPr>
      <w:rPr>
        <w:rFonts w:ascii="Symbol" w:hAnsi="Symbol" w:hint="default"/>
      </w:rPr>
    </w:lvl>
    <w:lvl w:ilvl="4" w:tplc="4DA63292" w:tentative="1">
      <w:start w:val="1"/>
      <w:numFmt w:val="bullet"/>
      <w:lvlText w:val=""/>
      <w:lvlJc w:val="left"/>
      <w:pPr>
        <w:tabs>
          <w:tab w:val="num" w:pos="3600"/>
        </w:tabs>
        <w:ind w:left="3600" w:hanging="360"/>
      </w:pPr>
      <w:rPr>
        <w:rFonts w:ascii="Symbol" w:hAnsi="Symbol" w:hint="default"/>
      </w:rPr>
    </w:lvl>
    <w:lvl w:ilvl="5" w:tplc="8C6C7824" w:tentative="1">
      <w:start w:val="1"/>
      <w:numFmt w:val="bullet"/>
      <w:lvlText w:val=""/>
      <w:lvlJc w:val="left"/>
      <w:pPr>
        <w:tabs>
          <w:tab w:val="num" w:pos="4320"/>
        </w:tabs>
        <w:ind w:left="4320" w:hanging="360"/>
      </w:pPr>
      <w:rPr>
        <w:rFonts w:ascii="Symbol" w:hAnsi="Symbol" w:hint="default"/>
      </w:rPr>
    </w:lvl>
    <w:lvl w:ilvl="6" w:tplc="71A2B80A" w:tentative="1">
      <w:start w:val="1"/>
      <w:numFmt w:val="bullet"/>
      <w:lvlText w:val=""/>
      <w:lvlJc w:val="left"/>
      <w:pPr>
        <w:tabs>
          <w:tab w:val="num" w:pos="5040"/>
        </w:tabs>
        <w:ind w:left="5040" w:hanging="360"/>
      </w:pPr>
      <w:rPr>
        <w:rFonts w:ascii="Symbol" w:hAnsi="Symbol" w:hint="default"/>
      </w:rPr>
    </w:lvl>
    <w:lvl w:ilvl="7" w:tplc="CE8447D4" w:tentative="1">
      <w:start w:val="1"/>
      <w:numFmt w:val="bullet"/>
      <w:lvlText w:val=""/>
      <w:lvlJc w:val="left"/>
      <w:pPr>
        <w:tabs>
          <w:tab w:val="num" w:pos="5760"/>
        </w:tabs>
        <w:ind w:left="5760" w:hanging="360"/>
      </w:pPr>
      <w:rPr>
        <w:rFonts w:ascii="Symbol" w:hAnsi="Symbol" w:hint="default"/>
      </w:rPr>
    </w:lvl>
    <w:lvl w:ilvl="8" w:tplc="FA4CEB6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6" w15:restartNumberingAfterBreak="0">
    <w:nsid w:val="71841E9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9B3954"/>
    <w:multiLevelType w:val="hybridMultilevel"/>
    <w:tmpl w:val="0A82769E"/>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8" w15:restartNumberingAfterBreak="0">
    <w:nsid w:val="7DE750CC"/>
    <w:multiLevelType w:val="hybridMultilevel"/>
    <w:tmpl w:val="0346F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2"/>
  </w:num>
  <w:num w:numId="4">
    <w:abstractNumId w:val="11"/>
  </w:num>
  <w:num w:numId="5">
    <w:abstractNumId w:val="25"/>
  </w:num>
  <w:num w:numId="6">
    <w:abstractNumId w:val="5"/>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4"/>
  </w:num>
  <w:num w:numId="12">
    <w:abstractNumId w:val="3"/>
  </w:num>
  <w:num w:numId="13">
    <w:abstractNumId w:val="7"/>
  </w:num>
  <w:num w:numId="14">
    <w:abstractNumId w:val="27"/>
  </w:num>
  <w:num w:numId="15">
    <w:abstractNumId w:val="20"/>
  </w:num>
  <w:num w:numId="16">
    <w:abstractNumId w:val="4"/>
  </w:num>
  <w:num w:numId="17">
    <w:abstractNumId w:val="4"/>
  </w:num>
  <w:num w:numId="18">
    <w:abstractNumId w:val="14"/>
  </w:num>
  <w:num w:numId="19">
    <w:abstractNumId w:val="9"/>
  </w:num>
  <w:num w:numId="20">
    <w:abstractNumId w:val="2"/>
  </w:num>
  <w:num w:numId="21">
    <w:abstractNumId w:val="10"/>
  </w:num>
  <w:num w:numId="22">
    <w:abstractNumId w:val="19"/>
  </w:num>
  <w:num w:numId="23">
    <w:abstractNumId w:val="13"/>
  </w:num>
  <w:num w:numId="24">
    <w:abstractNumId w:val="6"/>
  </w:num>
  <w:num w:numId="25">
    <w:abstractNumId w:val="26"/>
  </w:num>
  <w:num w:numId="26">
    <w:abstractNumId w:val="1"/>
  </w:num>
  <w:num w:numId="27">
    <w:abstractNumId w:val="18"/>
  </w:num>
  <w:num w:numId="28">
    <w:abstractNumId w:val="23"/>
  </w:num>
  <w:num w:numId="29">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22"/>
  </w:num>
  <w:num w:numId="32">
    <w:abstractNumId w:val="3"/>
  </w:num>
  <w:num w:numId="33">
    <w:abstractNumId w:val="3"/>
  </w:num>
  <w:num w:numId="3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245"/>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07C02"/>
    <w:rsid w:val="000101EF"/>
    <w:rsid w:val="00010E97"/>
    <w:rsid w:val="00010FD1"/>
    <w:rsid w:val="0001117C"/>
    <w:rsid w:val="00011CC1"/>
    <w:rsid w:val="000124D1"/>
    <w:rsid w:val="00012D57"/>
    <w:rsid w:val="0001321B"/>
    <w:rsid w:val="000137BA"/>
    <w:rsid w:val="00013B63"/>
    <w:rsid w:val="00013F2A"/>
    <w:rsid w:val="00013F64"/>
    <w:rsid w:val="000141F0"/>
    <w:rsid w:val="0001460B"/>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4DF"/>
    <w:rsid w:val="00023908"/>
    <w:rsid w:val="00023C29"/>
    <w:rsid w:val="00024D64"/>
    <w:rsid w:val="00024E37"/>
    <w:rsid w:val="0002506A"/>
    <w:rsid w:val="000255A1"/>
    <w:rsid w:val="000258DD"/>
    <w:rsid w:val="0002591B"/>
    <w:rsid w:val="00025B99"/>
    <w:rsid w:val="000266AE"/>
    <w:rsid w:val="00026905"/>
    <w:rsid w:val="00026977"/>
    <w:rsid w:val="00026AB3"/>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471"/>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DFA"/>
    <w:rsid w:val="00046E6F"/>
    <w:rsid w:val="00046F9A"/>
    <w:rsid w:val="000472F3"/>
    <w:rsid w:val="000477BB"/>
    <w:rsid w:val="00047A82"/>
    <w:rsid w:val="00047B11"/>
    <w:rsid w:val="00050335"/>
    <w:rsid w:val="0005055B"/>
    <w:rsid w:val="000505E0"/>
    <w:rsid w:val="00051135"/>
    <w:rsid w:val="00051486"/>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1C7"/>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4FC"/>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243"/>
    <w:rsid w:val="000979F0"/>
    <w:rsid w:val="00097AE8"/>
    <w:rsid w:val="000A02DC"/>
    <w:rsid w:val="000A09A2"/>
    <w:rsid w:val="000A0CA1"/>
    <w:rsid w:val="000A0E99"/>
    <w:rsid w:val="000A1AD3"/>
    <w:rsid w:val="000A1D49"/>
    <w:rsid w:val="000A1D61"/>
    <w:rsid w:val="000A23E5"/>
    <w:rsid w:val="000A26E4"/>
    <w:rsid w:val="000A2816"/>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27"/>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BE5"/>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2DB"/>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B16"/>
    <w:rsid w:val="00141E46"/>
    <w:rsid w:val="00141E6B"/>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0C"/>
    <w:rsid w:val="00150A99"/>
    <w:rsid w:val="001510ED"/>
    <w:rsid w:val="001517AB"/>
    <w:rsid w:val="00151805"/>
    <w:rsid w:val="00151897"/>
    <w:rsid w:val="00151BC7"/>
    <w:rsid w:val="00152066"/>
    <w:rsid w:val="00152559"/>
    <w:rsid w:val="00152A3B"/>
    <w:rsid w:val="0015347E"/>
    <w:rsid w:val="00153A48"/>
    <w:rsid w:val="00153A6B"/>
    <w:rsid w:val="00153E69"/>
    <w:rsid w:val="00153EEF"/>
    <w:rsid w:val="00153F29"/>
    <w:rsid w:val="00153FC1"/>
    <w:rsid w:val="001540F5"/>
    <w:rsid w:val="001544AB"/>
    <w:rsid w:val="00154F0D"/>
    <w:rsid w:val="00155178"/>
    <w:rsid w:val="00155BCC"/>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2C7F"/>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A1F"/>
    <w:rsid w:val="00191EBF"/>
    <w:rsid w:val="00192338"/>
    <w:rsid w:val="00192589"/>
    <w:rsid w:val="001925E5"/>
    <w:rsid w:val="001929F7"/>
    <w:rsid w:val="00193987"/>
    <w:rsid w:val="00193D48"/>
    <w:rsid w:val="00194955"/>
    <w:rsid w:val="001954AB"/>
    <w:rsid w:val="00195657"/>
    <w:rsid w:val="0019573B"/>
    <w:rsid w:val="0019592C"/>
    <w:rsid w:val="00196085"/>
    <w:rsid w:val="0019655E"/>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5744"/>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068D"/>
    <w:rsid w:val="001D1258"/>
    <w:rsid w:val="001D13B7"/>
    <w:rsid w:val="001D19F8"/>
    <w:rsid w:val="001D1CFF"/>
    <w:rsid w:val="001D2B3C"/>
    <w:rsid w:val="001D2E6C"/>
    <w:rsid w:val="001D2F88"/>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8"/>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1DD"/>
    <w:rsid w:val="0021797D"/>
    <w:rsid w:val="00217C32"/>
    <w:rsid w:val="00217CE8"/>
    <w:rsid w:val="0022003A"/>
    <w:rsid w:val="0022018B"/>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02"/>
    <w:rsid w:val="00232E9D"/>
    <w:rsid w:val="0023324F"/>
    <w:rsid w:val="0023351A"/>
    <w:rsid w:val="0023406E"/>
    <w:rsid w:val="002342D1"/>
    <w:rsid w:val="002344C8"/>
    <w:rsid w:val="002349C5"/>
    <w:rsid w:val="00234B73"/>
    <w:rsid w:val="00234FE9"/>
    <w:rsid w:val="00235581"/>
    <w:rsid w:val="00235698"/>
    <w:rsid w:val="00236443"/>
    <w:rsid w:val="00236F71"/>
    <w:rsid w:val="002373FC"/>
    <w:rsid w:val="00237C6F"/>
    <w:rsid w:val="00237D22"/>
    <w:rsid w:val="0024029F"/>
    <w:rsid w:val="002402CE"/>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B79"/>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419"/>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5"/>
    <w:rsid w:val="0026385F"/>
    <w:rsid w:val="00263DD9"/>
    <w:rsid w:val="00264256"/>
    <w:rsid w:val="0026432F"/>
    <w:rsid w:val="0026455A"/>
    <w:rsid w:val="0026460B"/>
    <w:rsid w:val="0026468A"/>
    <w:rsid w:val="00264A06"/>
    <w:rsid w:val="00264C28"/>
    <w:rsid w:val="002654D9"/>
    <w:rsid w:val="00265701"/>
    <w:rsid w:val="00265BBD"/>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7F3"/>
    <w:rsid w:val="00285894"/>
    <w:rsid w:val="00285E28"/>
    <w:rsid w:val="00286631"/>
    <w:rsid w:val="00286F76"/>
    <w:rsid w:val="00287376"/>
    <w:rsid w:val="0028765C"/>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0D2C"/>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1EC4"/>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3B2B"/>
    <w:rsid w:val="002D3B59"/>
    <w:rsid w:val="002D3C67"/>
    <w:rsid w:val="002D425A"/>
    <w:rsid w:val="002D4314"/>
    <w:rsid w:val="002D4A54"/>
    <w:rsid w:val="002D4E37"/>
    <w:rsid w:val="002D4E9C"/>
    <w:rsid w:val="002D52E0"/>
    <w:rsid w:val="002D5DEA"/>
    <w:rsid w:val="002D6127"/>
    <w:rsid w:val="002D61BE"/>
    <w:rsid w:val="002D61F0"/>
    <w:rsid w:val="002D7235"/>
    <w:rsid w:val="002D76E8"/>
    <w:rsid w:val="002E0545"/>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91F"/>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931"/>
    <w:rsid w:val="00362C5A"/>
    <w:rsid w:val="003635B6"/>
    <w:rsid w:val="00363BB4"/>
    <w:rsid w:val="00363FC9"/>
    <w:rsid w:val="00364935"/>
    <w:rsid w:val="00365023"/>
    <w:rsid w:val="003652D4"/>
    <w:rsid w:val="00365644"/>
    <w:rsid w:val="0036590C"/>
    <w:rsid w:val="00366569"/>
    <w:rsid w:val="003665C5"/>
    <w:rsid w:val="00366B3A"/>
    <w:rsid w:val="00370285"/>
    <w:rsid w:val="003704EE"/>
    <w:rsid w:val="00370880"/>
    <w:rsid w:val="00370EFD"/>
    <w:rsid w:val="00371137"/>
    <w:rsid w:val="003711C5"/>
    <w:rsid w:val="003719F5"/>
    <w:rsid w:val="00372019"/>
    <w:rsid w:val="00372029"/>
    <w:rsid w:val="003724A1"/>
    <w:rsid w:val="003725A6"/>
    <w:rsid w:val="0037270D"/>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447"/>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0E"/>
    <w:rsid w:val="003A6CC0"/>
    <w:rsid w:val="003A71E1"/>
    <w:rsid w:val="003A76A9"/>
    <w:rsid w:val="003A7747"/>
    <w:rsid w:val="003B0299"/>
    <w:rsid w:val="003B0B4D"/>
    <w:rsid w:val="003B10DA"/>
    <w:rsid w:val="003B1B5C"/>
    <w:rsid w:val="003B248F"/>
    <w:rsid w:val="003B2B79"/>
    <w:rsid w:val="003B2C70"/>
    <w:rsid w:val="003B2D1B"/>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B7B1F"/>
    <w:rsid w:val="003C009A"/>
    <w:rsid w:val="003C04C6"/>
    <w:rsid w:val="003C07D7"/>
    <w:rsid w:val="003C0985"/>
    <w:rsid w:val="003C0D5D"/>
    <w:rsid w:val="003C10B8"/>
    <w:rsid w:val="003C131F"/>
    <w:rsid w:val="003C2C9D"/>
    <w:rsid w:val="003C3B73"/>
    <w:rsid w:val="003C3D6E"/>
    <w:rsid w:val="003C3F8B"/>
    <w:rsid w:val="003C4213"/>
    <w:rsid w:val="003C4250"/>
    <w:rsid w:val="003C44DB"/>
    <w:rsid w:val="003C4DE2"/>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6A7"/>
    <w:rsid w:val="003F4933"/>
    <w:rsid w:val="003F4977"/>
    <w:rsid w:val="003F4A21"/>
    <w:rsid w:val="003F4E1C"/>
    <w:rsid w:val="003F536B"/>
    <w:rsid w:val="003F560A"/>
    <w:rsid w:val="003F586D"/>
    <w:rsid w:val="003F62B4"/>
    <w:rsid w:val="003F682D"/>
    <w:rsid w:val="003F6853"/>
    <w:rsid w:val="003F68E1"/>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3597"/>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A01"/>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EB5"/>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085"/>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3EBE"/>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630"/>
    <w:rsid w:val="004C19E4"/>
    <w:rsid w:val="004C2371"/>
    <w:rsid w:val="004C2F01"/>
    <w:rsid w:val="004C3472"/>
    <w:rsid w:val="004C34E8"/>
    <w:rsid w:val="004C36A1"/>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8B2"/>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2E2"/>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05C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93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CC2"/>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74C"/>
    <w:rsid w:val="00575900"/>
    <w:rsid w:val="005760C5"/>
    <w:rsid w:val="005766EA"/>
    <w:rsid w:val="00576A37"/>
    <w:rsid w:val="00577368"/>
    <w:rsid w:val="005773FF"/>
    <w:rsid w:val="00577540"/>
    <w:rsid w:val="005777AC"/>
    <w:rsid w:val="00577EB4"/>
    <w:rsid w:val="005805D7"/>
    <w:rsid w:val="00580DF5"/>
    <w:rsid w:val="00581081"/>
    <w:rsid w:val="005810F4"/>
    <w:rsid w:val="005815D2"/>
    <w:rsid w:val="005818D4"/>
    <w:rsid w:val="005819D7"/>
    <w:rsid w:val="00581AB8"/>
    <w:rsid w:val="00581C6E"/>
    <w:rsid w:val="00581F40"/>
    <w:rsid w:val="005829CC"/>
    <w:rsid w:val="00582E3D"/>
    <w:rsid w:val="00583147"/>
    <w:rsid w:val="00583500"/>
    <w:rsid w:val="00583604"/>
    <w:rsid w:val="005836D0"/>
    <w:rsid w:val="00583DEF"/>
    <w:rsid w:val="00583E53"/>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76F"/>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8F0"/>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A3D"/>
    <w:rsid w:val="005B4C5C"/>
    <w:rsid w:val="005B4C83"/>
    <w:rsid w:val="005B4E83"/>
    <w:rsid w:val="005B5082"/>
    <w:rsid w:val="005B50EF"/>
    <w:rsid w:val="005B5152"/>
    <w:rsid w:val="005B5425"/>
    <w:rsid w:val="005B54FE"/>
    <w:rsid w:val="005B5A40"/>
    <w:rsid w:val="005B5A55"/>
    <w:rsid w:val="005B5FC4"/>
    <w:rsid w:val="005B6ED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4EF"/>
    <w:rsid w:val="005C4B4D"/>
    <w:rsid w:val="005C4DE3"/>
    <w:rsid w:val="005C5024"/>
    <w:rsid w:val="005C5372"/>
    <w:rsid w:val="005C5379"/>
    <w:rsid w:val="005C5425"/>
    <w:rsid w:val="005C5849"/>
    <w:rsid w:val="005C5A28"/>
    <w:rsid w:val="005C5F65"/>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2D9F"/>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AA3"/>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455"/>
    <w:rsid w:val="00621B6A"/>
    <w:rsid w:val="00621C0B"/>
    <w:rsid w:val="00621C72"/>
    <w:rsid w:val="00621CAD"/>
    <w:rsid w:val="00622D53"/>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0DFD"/>
    <w:rsid w:val="00631007"/>
    <w:rsid w:val="00631826"/>
    <w:rsid w:val="006326BC"/>
    <w:rsid w:val="00632763"/>
    <w:rsid w:val="00632927"/>
    <w:rsid w:val="00632A0E"/>
    <w:rsid w:val="00632A4C"/>
    <w:rsid w:val="00632EEF"/>
    <w:rsid w:val="0063305B"/>
    <w:rsid w:val="006335E4"/>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106"/>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59E0"/>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3A5"/>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4AF6"/>
    <w:rsid w:val="007050A6"/>
    <w:rsid w:val="007056ED"/>
    <w:rsid w:val="00705D28"/>
    <w:rsid w:val="0070685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EEA"/>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6D25"/>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27"/>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1"/>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522"/>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79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00"/>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878"/>
    <w:rsid w:val="007C5CE6"/>
    <w:rsid w:val="007C5DB6"/>
    <w:rsid w:val="007C64BC"/>
    <w:rsid w:val="007C6939"/>
    <w:rsid w:val="007C6941"/>
    <w:rsid w:val="007C6D8A"/>
    <w:rsid w:val="007C6E75"/>
    <w:rsid w:val="007C6FFC"/>
    <w:rsid w:val="007C7578"/>
    <w:rsid w:val="007C779D"/>
    <w:rsid w:val="007C7EAC"/>
    <w:rsid w:val="007C7EF3"/>
    <w:rsid w:val="007D020B"/>
    <w:rsid w:val="007D02A6"/>
    <w:rsid w:val="007D0645"/>
    <w:rsid w:val="007D098C"/>
    <w:rsid w:val="007D0AD1"/>
    <w:rsid w:val="007D11B6"/>
    <w:rsid w:val="007D1334"/>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0E5"/>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1924"/>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5A1"/>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C53"/>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AAC"/>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1EEE"/>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1D2B"/>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A16"/>
    <w:rsid w:val="00837E87"/>
    <w:rsid w:val="008401C3"/>
    <w:rsid w:val="008404D7"/>
    <w:rsid w:val="00840634"/>
    <w:rsid w:val="008406E6"/>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3F6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1F2F"/>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814"/>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AE4"/>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3C8"/>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91"/>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2E6C"/>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CE4"/>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65D"/>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713"/>
    <w:rsid w:val="00901837"/>
    <w:rsid w:val="00901845"/>
    <w:rsid w:val="00901A2A"/>
    <w:rsid w:val="009022BC"/>
    <w:rsid w:val="0090255A"/>
    <w:rsid w:val="00902686"/>
    <w:rsid w:val="009026EF"/>
    <w:rsid w:val="00902734"/>
    <w:rsid w:val="00902AE5"/>
    <w:rsid w:val="00903281"/>
    <w:rsid w:val="009036BA"/>
    <w:rsid w:val="00903F0F"/>
    <w:rsid w:val="00903F59"/>
    <w:rsid w:val="0090421A"/>
    <w:rsid w:val="009045C7"/>
    <w:rsid w:val="0090480E"/>
    <w:rsid w:val="00904A62"/>
    <w:rsid w:val="00904B6D"/>
    <w:rsid w:val="00904D35"/>
    <w:rsid w:val="00904D3D"/>
    <w:rsid w:val="00904E71"/>
    <w:rsid w:val="00905580"/>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C8"/>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268"/>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1E8"/>
    <w:rsid w:val="00955394"/>
    <w:rsid w:val="009555E2"/>
    <w:rsid w:val="00955606"/>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74C"/>
    <w:rsid w:val="00964E3C"/>
    <w:rsid w:val="00964E69"/>
    <w:rsid w:val="0096504D"/>
    <w:rsid w:val="009654F0"/>
    <w:rsid w:val="009659EA"/>
    <w:rsid w:val="00965D6D"/>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7791C"/>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4D5"/>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3D7"/>
    <w:rsid w:val="009C4B76"/>
    <w:rsid w:val="009C520B"/>
    <w:rsid w:val="009C5785"/>
    <w:rsid w:val="009C5874"/>
    <w:rsid w:val="009C5AD8"/>
    <w:rsid w:val="009C5BF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E22"/>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087"/>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3AAF"/>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014"/>
    <w:rsid w:val="00A4339C"/>
    <w:rsid w:val="00A435A9"/>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666"/>
    <w:rsid w:val="00A627E0"/>
    <w:rsid w:val="00A62953"/>
    <w:rsid w:val="00A63244"/>
    <w:rsid w:val="00A6367F"/>
    <w:rsid w:val="00A63872"/>
    <w:rsid w:val="00A63A37"/>
    <w:rsid w:val="00A64196"/>
    <w:rsid w:val="00A647A9"/>
    <w:rsid w:val="00A649B4"/>
    <w:rsid w:val="00A64BC7"/>
    <w:rsid w:val="00A64EB1"/>
    <w:rsid w:val="00A64ED6"/>
    <w:rsid w:val="00A6527F"/>
    <w:rsid w:val="00A65417"/>
    <w:rsid w:val="00A655C8"/>
    <w:rsid w:val="00A6563A"/>
    <w:rsid w:val="00A657CF"/>
    <w:rsid w:val="00A65C72"/>
    <w:rsid w:val="00A65FBF"/>
    <w:rsid w:val="00A6636E"/>
    <w:rsid w:val="00A6662B"/>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8"/>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962"/>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68E"/>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E3C"/>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D98"/>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62"/>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7E"/>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79F"/>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5B"/>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97B"/>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3D9"/>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4ED8"/>
    <w:rsid w:val="00B652B0"/>
    <w:rsid w:val="00B65771"/>
    <w:rsid w:val="00B6580F"/>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1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0B7D"/>
    <w:rsid w:val="00BC143C"/>
    <w:rsid w:val="00BC16BF"/>
    <w:rsid w:val="00BC1B4B"/>
    <w:rsid w:val="00BC201A"/>
    <w:rsid w:val="00BC2397"/>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1B2"/>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4E12"/>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13E"/>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C3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6DC"/>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37"/>
    <w:rsid w:val="00C4587D"/>
    <w:rsid w:val="00C45C66"/>
    <w:rsid w:val="00C470AA"/>
    <w:rsid w:val="00C4717C"/>
    <w:rsid w:val="00C471F2"/>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DD"/>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1E9"/>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1CE8"/>
    <w:rsid w:val="00C8220B"/>
    <w:rsid w:val="00C822C6"/>
    <w:rsid w:val="00C82387"/>
    <w:rsid w:val="00C823D0"/>
    <w:rsid w:val="00C8271F"/>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5B3"/>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3B4E"/>
    <w:rsid w:val="00CB41E7"/>
    <w:rsid w:val="00CB480A"/>
    <w:rsid w:val="00CB4FA5"/>
    <w:rsid w:val="00CB5008"/>
    <w:rsid w:val="00CB50DE"/>
    <w:rsid w:val="00CB5296"/>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6FF"/>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A9"/>
    <w:rsid w:val="00CF06E6"/>
    <w:rsid w:val="00CF17D4"/>
    <w:rsid w:val="00CF18AB"/>
    <w:rsid w:val="00CF1AA6"/>
    <w:rsid w:val="00CF1C27"/>
    <w:rsid w:val="00CF20C8"/>
    <w:rsid w:val="00CF2639"/>
    <w:rsid w:val="00CF2EF5"/>
    <w:rsid w:val="00CF2FBF"/>
    <w:rsid w:val="00CF33BA"/>
    <w:rsid w:val="00CF3E2B"/>
    <w:rsid w:val="00CF3F01"/>
    <w:rsid w:val="00CF3F4E"/>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36C9"/>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56E"/>
    <w:rsid w:val="00D1552A"/>
    <w:rsid w:val="00D15D9D"/>
    <w:rsid w:val="00D1624D"/>
    <w:rsid w:val="00D166F9"/>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3DC"/>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9D8"/>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5EC4"/>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77E16"/>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4DF1"/>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ED"/>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E59"/>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094E"/>
    <w:rsid w:val="00DE128B"/>
    <w:rsid w:val="00DE14DB"/>
    <w:rsid w:val="00DE1563"/>
    <w:rsid w:val="00DE1799"/>
    <w:rsid w:val="00DE20E5"/>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729"/>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7E2"/>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2EE"/>
    <w:rsid w:val="00E164E8"/>
    <w:rsid w:val="00E1654E"/>
    <w:rsid w:val="00E167D4"/>
    <w:rsid w:val="00E168E5"/>
    <w:rsid w:val="00E170FD"/>
    <w:rsid w:val="00E17130"/>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72D"/>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69E5"/>
    <w:rsid w:val="00E67631"/>
    <w:rsid w:val="00E7041A"/>
    <w:rsid w:val="00E705E5"/>
    <w:rsid w:val="00E70B0C"/>
    <w:rsid w:val="00E71952"/>
    <w:rsid w:val="00E71DF1"/>
    <w:rsid w:val="00E71EDB"/>
    <w:rsid w:val="00E723D3"/>
    <w:rsid w:val="00E7242A"/>
    <w:rsid w:val="00E726DF"/>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476"/>
    <w:rsid w:val="00E810EC"/>
    <w:rsid w:val="00E8112C"/>
    <w:rsid w:val="00E81587"/>
    <w:rsid w:val="00E826C8"/>
    <w:rsid w:val="00E82819"/>
    <w:rsid w:val="00E82EE0"/>
    <w:rsid w:val="00E83280"/>
    <w:rsid w:val="00E832BB"/>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45"/>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986"/>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7C"/>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AE4"/>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E0A"/>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39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373"/>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54DF"/>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35"/>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589"/>
    <w:rsid w:val="00F35865"/>
    <w:rsid w:val="00F35E92"/>
    <w:rsid w:val="00F360BA"/>
    <w:rsid w:val="00F366CE"/>
    <w:rsid w:val="00F369FF"/>
    <w:rsid w:val="00F377A2"/>
    <w:rsid w:val="00F37922"/>
    <w:rsid w:val="00F37AEF"/>
    <w:rsid w:val="00F37DC6"/>
    <w:rsid w:val="00F4077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0C3"/>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AB7"/>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2F"/>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A8F"/>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286B"/>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AF9"/>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2C2575D1-3409-4B98-BE53-898A00B5B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customStyle="1" w:styleId="TAHChar">
    <w:name w:val="TAH Char"/>
    <w:locked/>
    <w:rsid w:val="005810F4"/>
    <w:rPr>
      <w:rFonts w:ascii="Arial" w:hAnsi="Arial"/>
      <w:b/>
      <w:sz w:val="18"/>
      <w:lang w:val="en-GB" w:eastAsia="en-US"/>
    </w:rPr>
  </w:style>
  <w:style w:type="character" w:styleId="SubtleReference">
    <w:name w:val="Subtle Reference"/>
    <w:uiPriority w:val="31"/>
    <w:qFormat/>
    <w:rsid w:val="00E91545"/>
    <w:rPr>
      <w:lang w:val="en-US"/>
    </w:rPr>
  </w:style>
  <w:style w:type="paragraph" w:styleId="NormalIndent">
    <w:name w:val="Normal Indent"/>
    <w:aliases w:val="d"/>
    <w:basedOn w:val="Normal"/>
    <w:rsid w:val="00B6580F"/>
    <w:pPr>
      <w:widowControl w:val="0"/>
      <w:overflowPunct/>
      <w:autoSpaceDE/>
      <w:autoSpaceDN/>
      <w:adjustRightInd/>
      <w:spacing w:after="0"/>
      <w:ind w:left="851"/>
      <w:jc w:val="both"/>
      <w:textAlignment w:val="auto"/>
    </w:pPr>
    <w:rPr>
      <w:rFonts w:ascii="Century" w:hAnsi="Century"/>
      <w:kern w:val="2"/>
      <w:sz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876902">
      <w:bodyDiv w:val="1"/>
      <w:marLeft w:val="0"/>
      <w:marRight w:val="0"/>
      <w:marTop w:val="0"/>
      <w:marBottom w:val="0"/>
      <w:divBdr>
        <w:top w:val="none" w:sz="0" w:space="0" w:color="auto"/>
        <w:left w:val="none" w:sz="0" w:space="0" w:color="auto"/>
        <w:bottom w:val="none" w:sz="0" w:space="0" w:color="auto"/>
        <w:right w:val="none" w:sz="0" w:space="0" w:color="auto"/>
      </w:divBdr>
    </w:div>
    <w:div w:id="357508378">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318920043">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1938904439">
          <w:marLeft w:val="878"/>
          <w:marRight w:val="0"/>
          <w:marTop w:val="9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sChild>
    </w:div>
    <w:div w:id="38275405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66945965">
          <w:marLeft w:val="878"/>
          <w:marRight w:val="0"/>
          <w:marTop w:val="9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011223721">
          <w:marLeft w:val="403"/>
          <w:marRight w:val="0"/>
          <w:marTop w:val="115"/>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4206691">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5037935">
      <w:bodyDiv w:val="1"/>
      <w:marLeft w:val="0"/>
      <w:marRight w:val="0"/>
      <w:marTop w:val="0"/>
      <w:marBottom w:val="0"/>
      <w:divBdr>
        <w:top w:val="none" w:sz="0" w:space="0" w:color="auto"/>
        <w:left w:val="none" w:sz="0" w:space="0" w:color="auto"/>
        <w:bottom w:val="none" w:sz="0" w:space="0" w:color="auto"/>
        <w:right w:val="none" w:sz="0" w:space="0" w:color="auto"/>
      </w:divBdr>
      <w:divsChild>
        <w:div w:id="1315838079">
          <w:marLeft w:val="403"/>
          <w:marRight w:val="0"/>
          <w:marTop w:val="115"/>
          <w:marBottom w:val="0"/>
          <w:divBdr>
            <w:top w:val="none" w:sz="0" w:space="0" w:color="auto"/>
            <w:left w:val="none" w:sz="0" w:space="0" w:color="auto"/>
            <w:bottom w:val="none" w:sz="0" w:space="0" w:color="auto"/>
            <w:right w:val="none" w:sz="0" w:space="0" w:color="auto"/>
          </w:divBdr>
        </w:div>
      </w:divsChild>
    </w:div>
    <w:div w:id="12981024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64012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451140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36828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69523684">
      <w:bodyDiv w:val="1"/>
      <w:marLeft w:val="0"/>
      <w:marRight w:val="0"/>
      <w:marTop w:val="0"/>
      <w:marBottom w:val="0"/>
      <w:divBdr>
        <w:top w:val="none" w:sz="0" w:space="0" w:color="auto"/>
        <w:left w:val="none" w:sz="0" w:space="0" w:color="auto"/>
        <w:bottom w:val="none" w:sz="0" w:space="0" w:color="auto"/>
        <w:right w:val="none" w:sz="0" w:space="0" w:color="auto"/>
      </w:divBdr>
      <w:divsChild>
        <w:div w:id="901523532">
          <w:marLeft w:val="878"/>
          <w:marRight w:val="0"/>
          <w:marTop w:val="86"/>
          <w:marBottom w:val="0"/>
          <w:divBdr>
            <w:top w:val="none" w:sz="0" w:space="0" w:color="auto"/>
            <w:left w:val="none" w:sz="0" w:space="0" w:color="auto"/>
            <w:bottom w:val="none" w:sz="0" w:space="0" w:color="auto"/>
            <w:right w:val="none" w:sz="0" w:space="0" w:color="auto"/>
          </w:divBdr>
        </w:div>
        <w:div w:id="958494945">
          <w:marLeft w:val="878"/>
          <w:marRight w:val="0"/>
          <w:marTop w:val="86"/>
          <w:marBottom w:val="0"/>
          <w:divBdr>
            <w:top w:val="none" w:sz="0" w:space="0" w:color="auto"/>
            <w:left w:val="none" w:sz="0" w:space="0" w:color="auto"/>
            <w:bottom w:val="none" w:sz="0" w:space="0" w:color="auto"/>
            <w:right w:val="none" w:sz="0" w:space="0" w:color="auto"/>
          </w:divBdr>
        </w:div>
        <w:div w:id="1265766211">
          <w:marLeft w:val="878"/>
          <w:marRight w:val="0"/>
          <w:marTop w:val="86"/>
          <w:marBottom w:val="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CDED49A-2895-405A-AB12-EC4005A9F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1830</TotalTime>
  <Pages>4</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Chao Wei</cp:lastModifiedBy>
  <cp:revision>20</cp:revision>
  <cp:lastPrinted>2014-11-07T05:38:00Z</cp:lastPrinted>
  <dcterms:created xsi:type="dcterms:W3CDTF">2017-11-17T14:32:00Z</dcterms:created>
  <dcterms:modified xsi:type="dcterms:W3CDTF">2018-05-11T16:20:00Z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-2058970810</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albertor@qti.qualcomm.com</vt:lpwstr>
  </property>
  <property fmtid="{D5CDD505-2E9C-101B-9397-08002B2CF9AE}" pid="6" name="_AuthorEmailDisplayName">
    <vt:lpwstr>Alberto Rico Alvarino</vt:lpwstr>
  </property>
  <property fmtid="{D5CDD505-2E9C-101B-9397-08002B2CF9AE}" pid="7" name="_PreviousAdHocReviewCycleID">
    <vt:i4>-738167667</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