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04518D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bookmarkStart w:id="0" w:name="_GoBack"/>
      <w:r>
        <w:rPr>
          <w:rFonts w:eastAsia="Batang"/>
          <w:bCs w:val="0"/>
          <w:noProof w:val="0"/>
          <w:sz w:val="24"/>
          <w:szCs w:val="24"/>
        </w:rPr>
        <w:t>3GPP TSG RAN WG1 Meeting #93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1165C7" w:rsidRPr="001165C7">
        <w:rPr>
          <w:rFonts w:eastAsia="Batang"/>
          <w:bCs w:val="0"/>
          <w:noProof w:val="0"/>
          <w:sz w:val="24"/>
          <w:szCs w:val="24"/>
        </w:rPr>
        <w:t>R1-1806999</w:t>
      </w:r>
    </w:p>
    <w:p w:rsidR="00DF1CE7" w:rsidRDefault="0004518D" w:rsidP="00653744">
      <w:pPr>
        <w:spacing w:after="0"/>
        <w:ind w:left="1988" w:hanging="1988"/>
        <w:rPr>
          <w:rFonts w:ascii="Arial" w:eastAsia="Batang" w:hAnsi="Arial"/>
          <w:b/>
          <w:sz w:val="24"/>
          <w:szCs w:val="24"/>
        </w:rPr>
      </w:pPr>
      <w:r w:rsidRPr="0004518D">
        <w:rPr>
          <w:rFonts w:ascii="Arial" w:eastAsia="Batang" w:hAnsi="Arial"/>
          <w:b/>
          <w:sz w:val="24"/>
          <w:szCs w:val="24"/>
        </w:rPr>
        <w:t>Busan, Korea, May 21st – 25th, 2018</w:t>
      </w:r>
    </w:p>
    <w:p w:rsidR="0004518D" w:rsidRDefault="0004518D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Source:</w:t>
      </w:r>
      <w:r w:rsidRPr="0024666F">
        <w:rPr>
          <w:rFonts w:ascii="Arial" w:hAnsi="Arial"/>
          <w:b/>
          <w:sz w:val="24"/>
          <w:lang w:val="en-US"/>
        </w:rPr>
        <w:tab/>
      </w:r>
      <w:r w:rsidR="00BC2469" w:rsidRPr="00DF1CE7">
        <w:rPr>
          <w:rFonts w:ascii="Arial" w:hAnsi="Arial"/>
          <w:b/>
          <w:sz w:val="24"/>
          <w:lang w:val="en-US" w:eastAsia="zh-CN"/>
        </w:rPr>
        <w:t>Nokia</w:t>
      </w:r>
      <w:r w:rsidR="00BC2469">
        <w:rPr>
          <w:rFonts w:ascii="Arial" w:hAnsi="Arial"/>
          <w:b/>
          <w:sz w:val="24"/>
          <w:lang w:val="en-US" w:eastAsia="zh-CN"/>
        </w:rPr>
        <w:t>,</w:t>
      </w:r>
      <w:r w:rsidR="00BC2469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/>
          <w:b/>
          <w:sz w:val="24"/>
          <w:lang w:val="en-US" w:eastAsia="zh-CN"/>
        </w:rPr>
        <w:t>Nokia</w:t>
      </w:r>
      <w:r w:rsidR="00854D22">
        <w:rPr>
          <w:rFonts w:ascii="Arial" w:hAnsi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Title:</w:t>
      </w:r>
      <w:r w:rsidRPr="0024666F">
        <w:rPr>
          <w:rFonts w:ascii="Arial" w:hAnsi="Arial"/>
          <w:b/>
          <w:sz w:val="24"/>
          <w:lang w:val="en-US"/>
        </w:rPr>
        <w:tab/>
      </w:r>
      <w:r w:rsidR="0033257E" w:rsidRPr="0033257E">
        <w:rPr>
          <w:rFonts w:ascii="Arial" w:hAnsi="Arial"/>
          <w:b/>
          <w:sz w:val="24"/>
          <w:lang w:val="en-US"/>
        </w:rPr>
        <w:t>eV2X UE capabilities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Agenda item:</w:t>
      </w:r>
      <w:r w:rsidRPr="0024666F">
        <w:rPr>
          <w:rFonts w:ascii="Arial" w:hAnsi="Arial"/>
          <w:b/>
          <w:sz w:val="24"/>
          <w:lang w:val="en-US"/>
        </w:rPr>
        <w:tab/>
      </w:r>
      <w:r w:rsidR="00B40273">
        <w:rPr>
          <w:rFonts w:ascii="Arial" w:hAnsi="Arial"/>
          <w:b/>
          <w:sz w:val="24"/>
          <w:lang w:val="en-US" w:eastAsia="zh-CN"/>
        </w:rPr>
        <w:t>6.2.5.</w:t>
      </w:r>
      <w:r w:rsidR="0033257E">
        <w:rPr>
          <w:rFonts w:ascii="Arial" w:hAnsi="Arial"/>
          <w:b/>
          <w:sz w:val="24"/>
          <w:lang w:val="en-US" w:eastAsia="zh-CN"/>
        </w:rPr>
        <w:t>5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  <w:r w:rsidRPr="0024666F">
        <w:rPr>
          <w:rFonts w:ascii="Arial" w:hAnsi="Arial"/>
          <w:b/>
          <w:sz w:val="24"/>
          <w:lang w:val="en-US"/>
        </w:rPr>
        <w:t>Document for:</w:t>
      </w:r>
      <w:r w:rsidRPr="0024666F">
        <w:rPr>
          <w:rFonts w:ascii="Arial" w:hAnsi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88232C" w:rsidRPr="005C5949" w:rsidRDefault="00DD0167" w:rsidP="00D64F03">
      <w:pPr>
        <w:rPr>
          <w:rFonts w:ascii="Times" w:hAnsi="Times" w:cs="Times"/>
          <w:sz w:val="20"/>
          <w:szCs w:val="20"/>
        </w:rPr>
      </w:pPr>
      <w:r>
        <w:rPr>
          <w:lang w:val="en-US"/>
        </w:rPr>
        <w:t xml:space="preserve">In this contribution we discuss </w:t>
      </w:r>
      <w:r w:rsidR="00371ED2">
        <w:rPr>
          <w:lang w:val="en-US"/>
        </w:rPr>
        <w:t>eV2X UE capabilities</w:t>
      </w:r>
      <w:r w:rsidR="00D64F03">
        <w:rPr>
          <w:lang w:val="en-US"/>
        </w:rPr>
        <w:t>, in particular for new functionality introduced as part of the 64QAM objective.</w:t>
      </w:r>
    </w:p>
    <w:p w:rsidR="0088232C" w:rsidRPr="00681F2C" w:rsidRDefault="0088232C" w:rsidP="00DD0167"/>
    <w:p w:rsidR="00231BB1" w:rsidRDefault="00231BB1" w:rsidP="00231BB1">
      <w:pPr>
        <w:rPr>
          <w:lang w:val="en-US"/>
        </w:rPr>
      </w:pPr>
    </w:p>
    <w:p w:rsidR="00910515" w:rsidRDefault="00910515" w:rsidP="0058787A">
      <w:pPr>
        <w:spacing w:after="0"/>
        <w:rPr>
          <w:iCs/>
          <w:lang w:val="en-US"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E94770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633C22" w:rsidRDefault="00633C22" w:rsidP="00D7616F">
      <w:pPr>
        <w:rPr>
          <w:lang w:val="en-US" w:eastAsia="zh-CN"/>
        </w:rPr>
      </w:pPr>
      <w:r>
        <w:rPr>
          <w:lang w:val="en-US" w:eastAsia="zh-CN"/>
        </w:rPr>
        <w:t xml:space="preserve">The following capabilities </w:t>
      </w:r>
      <w:r w:rsidR="00E94770">
        <w:rPr>
          <w:lang w:val="en-US" w:eastAsia="zh-CN"/>
        </w:rPr>
        <w:t>can be considered</w:t>
      </w:r>
    </w:p>
    <w:p w:rsidR="009F3BDE" w:rsidRDefault="00633C22" w:rsidP="00633C22">
      <w:pPr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>Transmission of 64QAM</w:t>
      </w:r>
    </w:p>
    <w:p w:rsidR="00633C22" w:rsidRDefault="00633C22" w:rsidP="00633C22">
      <w:pPr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>Reception of 64QAM</w:t>
      </w:r>
    </w:p>
    <w:p w:rsidR="00633C22" w:rsidRPr="00633C22" w:rsidRDefault="00633C22" w:rsidP="00633C22">
      <w:pPr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 xml:space="preserve">Transmission/reception with rate matching and </w:t>
      </w:r>
      <w:r>
        <w:rPr>
          <w:lang w:eastAsia="ja-JP"/>
        </w:rPr>
        <w:t>Rel-15 MCS table</w:t>
      </w:r>
    </w:p>
    <w:p w:rsidR="00633C22" w:rsidRDefault="00633C22" w:rsidP="00633C22">
      <w:pPr>
        <w:rPr>
          <w:lang w:val="en-US" w:eastAsia="zh-CN"/>
        </w:rPr>
      </w:pPr>
      <w:r>
        <w:rPr>
          <w:lang w:val="en-US" w:eastAsia="zh-CN"/>
        </w:rPr>
        <w:t xml:space="preserve">Transmitting 64QAM will require meeting tighter modulation quality/EVM requirements than transmitting lower order modulation, likely resulting in increased hardware cost. It may hence make sense to treat Transmission of 64QAM as a separate </w:t>
      </w:r>
      <w:r w:rsidR="00E94770">
        <w:rPr>
          <w:lang w:val="en-US" w:eastAsia="zh-CN"/>
        </w:rPr>
        <w:t xml:space="preserve">and </w:t>
      </w:r>
      <w:r>
        <w:rPr>
          <w:lang w:val="en-US" w:eastAsia="zh-CN"/>
        </w:rPr>
        <w:t>optional capability.</w:t>
      </w:r>
    </w:p>
    <w:p w:rsidR="000E07AC" w:rsidRDefault="000E07AC" w:rsidP="000E07AC">
      <w:pPr>
        <w:rPr>
          <w:b/>
          <w:bCs/>
          <w:lang w:val="en-US" w:eastAsia="zh-CN"/>
        </w:rPr>
      </w:pPr>
      <w:bookmarkStart w:id="1" w:name="P_TX64QAM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392CBB">
        <w:rPr>
          <w:b/>
          <w:bCs/>
          <w:noProof/>
          <w:lang w:val="en-US" w:eastAsia="zh-CN"/>
        </w:rPr>
        <w:t>1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Transmission of 64QAM can be an optional UE capability.</w:t>
      </w:r>
    </w:p>
    <w:bookmarkEnd w:id="1"/>
    <w:p w:rsidR="000E07AC" w:rsidRDefault="000E07AC" w:rsidP="00633C22">
      <w:pPr>
        <w:rPr>
          <w:lang w:val="en-US" w:eastAsia="zh-CN"/>
        </w:rPr>
      </w:pPr>
    </w:p>
    <w:p w:rsidR="00E7280D" w:rsidRDefault="00633C22" w:rsidP="00D7616F">
      <w:pPr>
        <w:rPr>
          <w:lang w:val="en-US" w:eastAsia="zh-CN"/>
        </w:rPr>
      </w:pPr>
      <w:r>
        <w:rPr>
          <w:lang w:val="en-US" w:eastAsia="zh-CN"/>
        </w:rPr>
        <w:t>On the other hand, reception of 64QAM and t</w:t>
      </w:r>
      <w:r w:rsidRPr="00633C22">
        <w:rPr>
          <w:lang w:val="en-US" w:eastAsia="zh-CN"/>
        </w:rPr>
        <w:t>ransmission/reception with rate matching and Rel-15 MCS table</w:t>
      </w:r>
      <w:r>
        <w:rPr>
          <w:lang w:val="en-US" w:eastAsia="zh-CN"/>
        </w:rPr>
        <w:t xml:space="preserve"> should be supported by all Rel-15 UEs; otherwise</w:t>
      </w:r>
      <w:r w:rsidR="00ED04F5">
        <w:rPr>
          <w:lang w:val="en-US" w:eastAsia="zh-CN"/>
        </w:rPr>
        <w:t>, determining if the use of these</w:t>
      </w:r>
      <w:r>
        <w:rPr>
          <w:lang w:val="en-US" w:eastAsia="zh-CN"/>
        </w:rPr>
        <w:t xml:space="preserve"> new features is allowed becomes </w:t>
      </w:r>
      <w:r w:rsidR="00ED04F5">
        <w:rPr>
          <w:lang w:val="en-US" w:eastAsia="zh-CN"/>
        </w:rPr>
        <w:t xml:space="preserve">too </w:t>
      </w:r>
      <w:r>
        <w:rPr>
          <w:lang w:val="en-US" w:eastAsia="zh-CN"/>
        </w:rPr>
        <w:t>complex.</w:t>
      </w:r>
    </w:p>
    <w:p w:rsidR="000E07AC" w:rsidRDefault="000E07AC" w:rsidP="00D7616F">
      <w:pPr>
        <w:rPr>
          <w:lang w:val="en-US" w:eastAsia="zh-CN"/>
        </w:rPr>
      </w:pPr>
      <w:r>
        <w:rPr>
          <w:lang w:val="en-US" w:eastAsia="zh-CN"/>
        </w:rPr>
        <w:t>Note that rate matching and use of the Rel-15 MCS table are already coupled according to the agree</w:t>
      </w:r>
      <w:r w:rsidR="00F176AD">
        <w:rPr>
          <w:lang w:val="en-US" w:eastAsia="zh-CN"/>
        </w:rPr>
        <w:t xml:space="preserve">ment reached at RAN1#90b </w:t>
      </w:r>
      <w:r w:rsidR="00F176AD">
        <w:rPr>
          <w:lang w:val="en-US" w:eastAsia="zh-CN"/>
        </w:rPr>
        <w:fldChar w:fldCharType="begin"/>
      </w:r>
      <w:r w:rsidR="00F176AD">
        <w:rPr>
          <w:lang w:val="en-US" w:eastAsia="zh-CN"/>
        </w:rPr>
        <w:instrText xml:space="preserve"> REF _Ref513852069 \r \h </w:instrText>
      </w:r>
      <w:r w:rsidR="00F176AD">
        <w:rPr>
          <w:lang w:val="en-US" w:eastAsia="zh-CN"/>
        </w:rPr>
      </w:r>
      <w:r w:rsidR="00F176AD">
        <w:rPr>
          <w:lang w:val="en-US" w:eastAsia="zh-CN"/>
        </w:rPr>
        <w:fldChar w:fldCharType="separate"/>
      </w:r>
      <w:r w:rsidR="00392CBB">
        <w:rPr>
          <w:rFonts w:hint="cs"/>
          <w:cs/>
          <w:lang w:val="en-US" w:eastAsia="zh-CN"/>
        </w:rPr>
        <w:t>‎</w:t>
      </w:r>
      <w:r w:rsidR="00392CBB">
        <w:rPr>
          <w:lang w:val="en-US" w:eastAsia="zh-CN"/>
        </w:rPr>
        <w:t>[1]</w:t>
      </w:r>
      <w:r w:rsidR="00F176AD">
        <w:rPr>
          <w:lang w:val="en-US" w:eastAsia="zh-CN"/>
        </w:rPr>
        <w:fldChar w:fldCharType="end"/>
      </w:r>
      <w:r w:rsidR="00F176AD">
        <w:rPr>
          <w:lang w:val="en-US" w:eastAsia="zh-CN"/>
        </w:rPr>
        <w:t>:</w:t>
      </w:r>
    </w:p>
    <w:p w:rsidR="000E07AC" w:rsidRPr="000E07AC" w:rsidRDefault="000E07AC" w:rsidP="000E07AC">
      <w:pPr>
        <w:ind w:left="288"/>
        <w:rPr>
          <w:rFonts w:ascii="Times New Roman" w:eastAsia="Times New Roman" w:hAnsi="Times New Roman" w:cs="Times New Roman"/>
          <w:lang w:eastAsia="ja-JP"/>
        </w:rPr>
      </w:pPr>
      <w:r>
        <w:rPr>
          <w:highlight w:val="green"/>
          <w:lang w:eastAsia="ja-JP"/>
        </w:rPr>
        <w:t>Agreement</w:t>
      </w:r>
      <w:r>
        <w:rPr>
          <w:lang w:eastAsia="ja-JP"/>
        </w:rPr>
        <w:t xml:space="preserve">: For the last symbol of PSSCH, rate-matching is always applied when the Rel-15 MCS table is used.  Puncturing is always applied when the Rel-14 MCS table is used. </w:t>
      </w:r>
    </w:p>
    <w:p w:rsidR="00633C22" w:rsidRPr="00D7616F" w:rsidRDefault="00633C22" w:rsidP="00D7616F">
      <w:pPr>
        <w:rPr>
          <w:lang w:val="en-US" w:eastAsia="zh-CN"/>
        </w:rPr>
      </w:pPr>
    </w:p>
    <w:p w:rsidR="00633C22" w:rsidRPr="00816890" w:rsidRDefault="00633C22" w:rsidP="00F42AFB">
      <w:pPr>
        <w:rPr>
          <w:lang w:val="en-US" w:eastAsia="zh-CN"/>
        </w:rPr>
      </w:pPr>
    </w:p>
    <w:p w:rsidR="007A3EA4" w:rsidRPr="00FC58B1" w:rsidRDefault="00633C22" w:rsidP="00D47C21">
      <w:pPr>
        <w:rPr>
          <w:lang w:val="en-US" w:eastAsia="zh-CN"/>
        </w:rPr>
      </w:pPr>
      <w:bookmarkStart w:id="2" w:name="P_RX64QAM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392CBB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 xml:space="preserve">: </w:t>
      </w:r>
      <w:r w:rsidR="00D47C21">
        <w:rPr>
          <w:b/>
          <w:bCs/>
          <w:lang w:val="en-US" w:eastAsia="zh-CN"/>
        </w:rPr>
        <w:t>R</w:t>
      </w:r>
      <w:r w:rsidR="00D47C21" w:rsidRPr="00D47C21">
        <w:rPr>
          <w:b/>
          <w:bCs/>
          <w:lang w:val="en-US" w:eastAsia="zh-CN"/>
        </w:rPr>
        <w:t>eception of 64QAM and transmission/reception with rate matching and Rel-15 MCS table</w:t>
      </w:r>
      <w:r w:rsidR="00D47C21">
        <w:rPr>
          <w:b/>
          <w:bCs/>
          <w:lang w:val="en-US" w:eastAsia="zh-CN"/>
        </w:rPr>
        <w:t xml:space="preserve"> should be supported by all Rel-15 UEs.</w:t>
      </w:r>
    </w:p>
    <w:bookmarkEnd w:id="2"/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2B1F3B" w:rsidRDefault="000D2D9E" w:rsidP="00ED04F5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ED04F5">
        <w:rPr>
          <w:lang w:val="en-US"/>
        </w:rPr>
        <w:t>eV2X UE capabilities, in particular for new functionality introduced as part of the 64QAM objective</w:t>
      </w:r>
      <w:r w:rsidR="002B1F3B">
        <w:rPr>
          <w:lang w:val="en-US"/>
        </w:rPr>
        <w:t xml:space="preserve"> and propose the following:</w:t>
      </w:r>
    </w:p>
    <w:p w:rsidR="00392CBB" w:rsidRDefault="002B1F3B" w:rsidP="000E07AC">
      <w:pPr>
        <w:rPr>
          <w:b/>
          <w:bCs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P_TX64QAM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92CBB" w:rsidRPr="007F1A3D">
        <w:rPr>
          <w:b/>
          <w:bCs/>
          <w:lang w:val="en-US" w:eastAsia="zh-CN"/>
        </w:rPr>
        <w:t>Proposal</w:t>
      </w:r>
      <w:r w:rsidR="00392CBB">
        <w:rPr>
          <w:b/>
          <w:bCs/>
          <w:lang w:val="en-US" w:eastAsia="zh-CN"/>
        </w:rPr>
        <w:t xml:space="preserve"> </w:t>
      </w:r>
      <w:r w:rsidR="00392CBB">
        <w:rPr>
          <w:b/>
          <w:bCs/>
          <w:noProof/>
          <w:lang w:val="en-US" w:eastAsia="zh-CN"/>
        </w:rPr>
        <w:t>1</w:t>
      </w:r>
      <w:r w:rsidR="00392CBB" w:rsidRPr="007F1A3D">
        <w:rPr>
          <w:b/>
          <w:bCs/>
          <w:lang w:val="en-US" w:eastAsia="zh-CN"/>
        </w:rPr>
        <w:t xml:space="preserve">: </w:t>
      </w:r>
      <w:r w:rsidR="00392CBB">
        <w:rPr>
          <w:b/>
          <w:bCs/>
          <w:lang w:val="en-US" w:eastAsia="zh-CN"/>
        </w:rPr>
        <w:t>Transmission of 64QAM can be an optional UE capability.</w:t>
      </w:r>
    </w:p>
    <w:p w:rsidR="003F7F72" w:rsidRDefault="002B1F3B" w:rsidP="00D47C21">
      <w:pPr>
        <w:rPr>
          <w:lang w:eastAsia="zh-CN"/>
        </w:rPr>
      </w:pPr>
      <w:r>
        <w:rPr>
          <w:lang w:eastAsia="zh-CN"/>
        </w:rPr>
        <w:fldChar w:fldCharType="end"/>
      </w:r>
    </w:p>
    <w:p w:rsidR="00392CBB" w:rsidRPr="00FC58B1" w:rsidRDefault="002B1F3B" w:rsidP="00D47C21">
      <w:pPr>
        <w:rPr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P_RX64QAM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92CBB" w:rsidRPr="007F1A3D">
        <w:rPr>
          <w:b/>
          <w:bCs/>
          <w:lang w:val="en-US" w:eastAsia="zh-CN"/>
        </w:rPr>
        <w:t>Proposal</w:t>
      </w:r>
      <w:r w:rsidR="00392CBB">
        <w:rPr>
          <w:b/>
          <w:bCs/>
          <w:lang w:val="en-US" w:eastAsia="zh-CN"/>
        </w:rPr>
        <w:t xml:space="preserve"> </w:t>
      </w:r>
      <w:r w:rsidR="00392CBB">
        <w:rPr>
          <w:b/>
          <w:bCs/>
          <w:noProof/>
          <w:lang w:val="en-US" w:eastAsia="zh-CN"/>
        </w:rPr>
        <w:t>2</w:t>
      </w:r>
      <w:r w:rsidR="00392CBB" w:rsidRPr="007F1A3D">
        <w:rPr>
          <w:b/>
          <w:bCs/>
          <w:lang w:val="en-US" w:eastAsia="zh-CN"/>
        </w:rPr>
        <w:t xml:space="preserve">: </w:t>
      </w:r>
      <w:r w:rsidR="00392CBB">
        <w:rPr>
          <w:b/>
          <w:bCs/>
          <w:lang w:val="en-US" w:eastAsia="zh-CN"/>
        </w:rPr>
        <w:t>R</w:t>
      </w:r>
      <w:r w:rsidR="00392CBB" w:rsidRPr="00D47C21">
        <w:rPr>
          <w:b/>
          <w:bCs/>
          <w:lang w:val="en-US" w:eastAsia="zh-CN"/>
        </w:rPr>
        <w:t>eception of 64QAM and transmission/reception with rate matching and Rel-15 MCS table</w:t>
      </w:r>
      <w:r w:rsidR="00392CBB">
        <w:rPr>
          <w:b/>
          <w:bCs/>
          <w:lang w:val="en-US" w:eastAsia="zh-CN"/>
        </w:rPr>
        <w:t xml:space="preserve"> should be supported by all Rel-15 UEs.</w:t>
      </w:r>
    </w:p>
    <w:p w:rsidR="0070042A" w:rsidRPr="006307C2" w:rsidRDefault="002B1F3B" w:rsidP="005E2BEC">
      <w:pPr>
        <w:rPr>
          <w:lang w:eastAsia="zh-CN"/>
        </w:rPr>
      </w:pPr>
      <w:r>
        <w:rPr>
          <w:lang w:eastAsia="zh-CN"/>
        </w:rPr>
        <w:fldChar w:fldCharType="end"/>
      </w: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Pr="002F7C82" w:rsidRDefault="00F176AD" w:rsidP="002F7C82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3" w:name="_Ref513852069"/>
      <w:r>
        <w:rPr>
          <w:rFonts w:hint="eastAsia"/>
          <w:lang w:val="en-US" w:eastAsia="zh-CN"/>
        </w:rPr>
        <w:t>Chairman notes RAN1</w:t>
      </w:r>
      <w:r>
        <w:rPr>
          <w:lang w:val="en-US" w:eastAsia="zh-CN"/>
        </w:rPr>
        <w:t>#90b</w:t>
      </w:r>
      <w:bookmarkEnd w:id="3"/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bookmarkEnd w:id="0"/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F19" w:rsidRDefault="00E10F19">
      <w:r>
        <w:separator/>
      </w:r>
    </w:p>
  </w:endnote>
  <w:endnote w:type="continuationSeparator" w:id="0">
    <w:p w:rsidR="00E10F19" w:rsidRDefault="00E1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F19" w:rsidRDefault="00E10F19">
      <w:r>
        <w:separator/>
      </w:r>
    </w:p>
  </w:footnote>
  <w:footnote w:type="continuationSeparator" w:id="0">
    <w:p w:rsidR="00E10F19" w:rsidRDefault="00E10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1AEE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9FE15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1A3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3640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681F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98B6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1AEE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9FE15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1A3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3640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681F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98B6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EAF332A"/>
    <w:multiLevelType w:val="hybridMultilevel"/>
    <w:tmpl w:val="1F682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20D17"/>
    <w:multiLevelType w:val="hybridMultilevel"/>
    <w:tmpl w:val="F7669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11"/>
  </w:num>
  <w:num w:numId="8">
    <w:abstractNumId w:val="5"/>
  </w:num>
  <w:num w:numId="9">
    <w:abstractNumId w:val="6"/>
  </w:num>
  <w:num w:numId="10">
    <w:abstractNumId w:val="9"/>
  </w:num>
  <w:num w:numId="11">
    <w:abstractNumId w:val="15"/>
  </w:num>
  <w:num w:numId="12">
    <w:abstractNumId w:val="16"/>
  </w:num>
  <w:num w:numId="13">
    <w:abstractNumId w:val="14"/>
  </w:num>
  <w:num w:numId="14">
    <w:abstractNumId w:val="12"/>
  </w:num>
  <w:num w:numId="1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07A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896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5C7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A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F3B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57E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1ED2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A7F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CBB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3F7F72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8D9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9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C22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F2C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32C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3F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14B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1E6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C21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4F03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3DE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2CEB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0F19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80D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770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4F5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6AD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AF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EC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2CBB"/>
    <w:pPr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1165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1165C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165C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165C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165C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1165C7"/>
    <w:pPr>
      <w:outlineLvl w:val="5"/>
    </w:pPr>
  </w:style>
  <w:style w:type="paragraph" w:styleId="Heading7">
    <w:name w:val="heading 7"/>
    <w:basedOn w:val="H6"/>
    <w:next w:val="Normal"/>
    <w:qFormat/>
    <w:rsid w:val="001165C7"/>
    <w:pPr>
      <w:outlineLvl w:val="6"/>
    </w:pPr>
  </w:style>
  <w:style w:type="paragraph" w:styleId="Heading8">
    <w:name w:val="heading 8"/>
    <w:basedOn w:val="Heading1"/>
    <w:next w:val="Normal"/>
    <w:qFormat/>
    <w:rsid w:val="001165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5C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2C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2CBB"/>
  </w:style>
  <w:style w:type="paragraph" w:styleId="TOC8">
    <w:name w:val="toc 8"/>
    <w:basedOn w:val="TOC1"/>
    <w:semiHidden/>
    <w:rsid w:val="001165C7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1165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1165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1165C7"/>
    <w:pPr>
      <w:ind w:left="1701" w:hanging="1701"/>
    </w:pPr>
  </w:style>
  <w:style w:type="paragraph" w:styleId="TOC4">
    <w:name w:val="toc 4"/>
    <w:basedOn w:val="TOC3"/>
    <w:semiHidden/>
    <w:rsid w:val="001165C7"/>
    <w:pPr>
      <w:ind w:left="1418" w:hanging="1418"/>
    </w:pPr>
  </w:style>
  <w:style w:type="paragraph" w:styleId="TOC3">
    <w:name w:val="toc 3"/>
    <w:basedOn w:val="TOC2"/>
    <w:semiHidden/>
    <w:rsid w:val="001165C7"/>
    <w:pPr>
      <w:ind w:left="1134" w:hanging="1134"/>
    </w:pPr>
  </w:style>
  <w:style w:type="paragraph" w:styleId="TOC2">
    <w:name w:val="toc 2"/>
    <w:basedOn w:val="TOC1"/>
    <w:semiHidden/>
    <w:rsid w:val="001165C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1165C7"/>
    <w:pPr>
      <w:ind w:left="284"/>
    </w:pPr>
  </w:style>
  <w:style w:type="paragraph" w:styleId="Index1">
    <w:name w:val="index 1"/>
    <w:basedOn w:val="Normal"/>
    <w:semiHidden/>
    <w:rsid w:val="001165C7"/>
    <w:pPr>
      <w:keepLines/>
      <w:spacing w:after="0"/>
    </w:pPr>
  </w:style>
  <w:style w:type="paragraph" w:customStyle="1" w:styleId="ZH">
    <w:name w:val="ZH"/>
    <w:rsid w:val="001165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1165C7"/>
    <w:pPr>
      <w:outlineLvl w:val="9"/>
    </w:pPr>
  </w:style>
  <w:style w:type="paragraph" w:styleId="ListNumber2">
    <w:name w:val="List Number 2"/>
    <w:basedOn w:val="ListNumber"/>
    <w:rsid w:val="001165C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65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1165C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165C7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1165C7"/>
    <w:rPr>
      <w:b/>
      <w:bCs/>
    </w:rPr>
  </w:style>
  <w:style w:type="paragraph" w:customStyle="1" w:styleId="TAC">
    <w:name w:val="TAC"/>
    <w:basedOn w:val="TAL"/>
    <w:link w:val="TACChar"/>
    <w:rsid w:val="001165C7"/>
    <w:pPr>
      <w:jc w:val="center"/>
    </w:pPr>
  </w:style>
  <w:style w:type="paragraph" w:customStyle="1" w:styleId="TF">
    <w:name w:val="TF"/>
    <w:basedOn w:val="TH"/>
    <w:link w:val="TFChar"/>
    <w:rsid w:val="001165C7"/>
    <w:pPr>
      <w:keepNext w:val="0"/>
      <w:spacing w:before="0" w:after="240"/>
    </w:pPr>
  </w:style>
  <w:style w:type="paragraph" w:customStyle="1" w:styleId="NO">
    <w:name w:val="NO"/>
    <w:basedOn w:val="Normal"/>
    <w:rsid w:val="001165C7"/>
    <w:pPr>
      <w:keepLines/>
      <w:ind w:left="1135" w:hanging="851"/>
    </w:pPr>
  </w:style>
  <w:style w:type="paragraph" w:styleId="TOC9">
    <w:name w:val="toc 9"/>
    <w:basedOn w:val="TOC8"/>
    <w:semiHidden/>
    <w:rsid w:val="001165C7"/>
    <w:pPr>
      <w:ind w:left="1418" w:hanging="1418"/>
    </w:pPr>
  </w:style>
  <w:style w:type="paragraph" w:customStyle="1" w:styleId="EX">
    <w:name w:val="EX"/>
    <w:basedOn w:val="Normal"/>
    <w:rsid w:val="001165C7"/>
    <w:pPr>
      <w:keepLines/>
      <w:ind w:left="1702" w:hanging="1418"/>
    </w:pPr>
  </w:style>
  <w:style w:type="paragraph" w:customStyle="1" w:styleId="FP">
    <w:name w:val="FP"/>
    <w:basedOn w:val="Normal"/>
    <w:rsid w:val="001165C7"/>
    <w:pPr>
      <w:spacing w:after="0"/>
    </w:pPr>
  </w:style>
  <w:style w:type="paragraph" w:customStyle="1" w:styleId="LD">
    <w:name w:val="LD"/>
    <w:rsid w:val="001165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1165C7"/>
    <w:pPr>
      <w:spacing w:after="0"/>
    </w:pPr>
  </w:style>
  <w:style w:type="paragraph" w:customStyle="1" w:styleId="EW">
    <w:name w:val="EW"/>
    <w:basedOn w:val="EX"/>
    <w:rsid w:val="001165C7"/>
    <w:pPr>
      <w:spacing w:after="0"/>
    </w:pPr>
  </w:style>
  <w:style w:type="paragraph" w:styleId="TOC6">
    <w:name w:val="toc 6"/>
    <w:basedOn w:val="TOC5"/>
    <w:next w:val="Normal"/>
    <w:semiHidden/>
    <w:rsid w:val="001165C7"/>
    <w:pPr>
      <w:ind w:left="1985" w:hanging="1985"/>
    </w:pPr>
  </w:style>
  <w:style w:type="paragraph" w:styleId="TOC7">
    <w:name w:val="toc 7"/>
    <w:basedOn w:val="TOC6"/>
    <w:next w:val="Normal"/>
    <w:semiHidden/>
    <w:rsid w:val="001165C7"/>
    <w:pPr>
      <w:ind w:left="2268" w:hanging="2268"/>
    </w:pPr>
  </w:style>
  <w:style w:type="paragraph" w:styleId="ListBullet2">
    <w:name w:val="List Bullet 2"/>
    <w:basedOn w:val="ListBullet"/>
    <w:rsid w:val="001165C7"/>
    <w:pPr>
      <w:ind w:left="851"/>
    </w:pPr>
  </w:style>
  <w:style w:type="paragraph" w:styleId="ListBullet3">
    <w:name w:val="List Bullet 3"/>
    <w:basedOn w:val="ListBullet2"/>
    <w:rsid w:val="001165C7"/>
    <w:pPr>
      <w:ind w:left="1135"/>
    </w:pPr>
  </w:style>
  <w:style w:type="paragraph" w:styleId="ListNumber">
    <w:name w:val="List Number"/>
    <w:basedOn w:val="List"/>
    <w:rsid w:val="001165C7"/>
  </w:style>
  <w:style w:type="paragraph" w:customStyle="1" w:styleId="EQ">
    <w:name w:val="EQ"/>
    <w:basedOn w:val="Normal"/>
    <w:next w:val="Normal"/>
    <w:rsid w:val="001165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5C7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1165C7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link w:val="PLChar"/>
    <w:rsid w:val="00116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1165C7"/>
    <w:pPr>
      <w:jc w:val="right"/>
    </w:pPr>
  </w:style>
  <w:style w:type="paragraph" w:customStyle="1" w:styleId="H6">
    <w:name w:val="H6"/>
    <w:basedOn w:val="Heading5"/>
    <w:next w:val="Normal"/>
    <w:rsid w:val="001165C7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1165C7"/>
    <w:pPr>
      <w:ind w:left="851" w:hanging="851"/>
    </w:pPr>
  </w:style>
  <w:style w:type="paragraph" w:customStyle="1" w:styleId="TAL">
    <w:name w:val="TAL"/>
    <w:basedOn w:val="Normal"/>
    <w:link w:val="TALCar"/>
    <w:rsid w:val="001165C7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1165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1165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1165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1165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1165C7"/>
    <w:pPr>
      <w:framePr w:wrap="notBeside" w:y="16161"/>
    </w:pPr>
  </w:style>
  <w:style w:type="character" w:customStyle="1" w:styleId="ZGSM">
    <w:name w:val="ZGSM"/>
    <w:rsid w:val="001165C7"/>
  </w:style>
  <w:style w:type="paragraph" w:styleId="List2">
    <w:name w:val="List 2"/>
    <w:basedOn w:val="List"/>
    <w:rsid w:val="001165C7"/>
    <w:pPr>
      <w:ind w:left="851"/>
    </w:pPr>
  </w:style>
  <w:style w:type="paragraph" w:customStyle="1" w:styleId="ZG">
    <w:name w:val="ZG"/>
    <w:rsid w:val="001165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1165C7"/>
    <w:pPr>
      <w:ind w:left="1135"/>
    </w:pPr>
  </w:style>
  <w:style w:type="paragraph" w:styleId="List4">
    <w:name w:val="List 4"/>
    <w:basedOn w:val="List3"/>
    <w:rsid w:val="001165C7"/>
    <w:pPr>
      <w:ind w:left="1418"/>
    </w:pPr>
  </w:style>
  <w:style w:type="paragraph" w:styleId="List5">
    <w:name w:val="List 5"/>
    <w:basedOn w:val="List4"/>
    <w:rsid w:val="001165C7"/>
    <w:pPr>
      <w:ind w:left="1702"/>
    </w:pPr>
  </w:style>
  <w:style w:type="paragraph" w:customStyle="1" w:styleId="EditorsNote">
    <w:name w:val="Editor's Note"/>
    <w:basedOn w:val="NO"/>
    <w:rsid w:val="001165C7"/>
    <w:rPr>
      <w:color w:val="FF0000"/>
    </w:rPr>
  </w:style>
  <w:style w:type="paragraph" w:styleId="List">
    <w:name w:val="List"/>
    <w:basedOn w:val="Normal"/>
    <w:rsid w:val="001165C7"/>
    <w:pPr>
      <w:ind w:left="568" w:hanging="284"/>
    </w:pPr>
  </w:style>
  <w:style w:type="paragraph" w:styleId="ListBullet">
    <w:name w:val="List Bullet"/>
    <w:basedOn w:val="List"/>
    <w:rsid w:val="001165C7"/>
  </w:style>
  <w:style w:type="paragraph" w:styleId="ListBullet4">
    <w:name w:val="List Bullet 4"/>
    <w:basedOn w:val="ListBullet3"/>
    <w:rsid w:val="001165C7"/>
    <w:pPr>
      <w:ind w:left="1418"/>
    </w:pPr>
  </w:style>
  <w:style w:type="paragraph" w:styleId="ListBullet5">
    <w:name w:val="List Bullet 5"/>
    <w:basedOn w:val="ListBullet4"/>
    <w:rsid w:val="001165C7"/>
    <w:pPr>
      <w:ind w:left="1702"/>
    </w:pPr>
  </w:style>
  <w:style w:type="paragraph" w:customStyle="1" w:styleId="B1">
    <w:name w:val="B1"/>
    <w:basedOn w:val="List"/>
    <w:rsid w:val="001165C7"/>
  </w:style>
  <w:style w:type="paragraph" w:customStyle="1" w:styleId="B2">
    <w:name w:val="B2"/>
    <w:basedOn w:val="List2"/>
    <w:rsid w:val="001165C7"/>
  </w:style>
  <w:style w:type="paragraph" w:customStyle="1" w:styleId="B3">
    <w:name w:val="B3"/>
    <w:basedOn w:val="List3"/>
    <w:rsid w:val="001165C7"/>
  </w:style>
  <w:style w:type="paragraph" w:customStyle="1" w:styleId="B4">
    <w:name w:val="B4"/>
    <w:basedOn w:val="List4"/>
    <w:rsid w:val="001165C7"/>
  </w:style>
  <w:style w:type="paragraph" w:customStyle="1" w:styleId="B5">
    <w:name w:val="B5"/>
    <w:basedOn w:val="List5"/>
    <w:rsid w:val="001165C7"/>
  </w:style>
  <w:style w:type="paragraph" w:styleId="Footer">
    <w:name w:val="footer"/>
    <w:basedOn w:val="Header"/>
    <w:link w:val="FooterChar"/>
    <w:rsid w:val="001165C7"/>
    <w:pPr>
      <w:jc w:val="center"/>
    </w:pPr>
    <w:rPr>
      <w:i/>
      <w:iCs/>
    </w:rPr>
  </w:style>
  <w:style w:type="paragraph" w:customStyle="1" w:styleId="ZTD">
    <w:name w:val="ZTD"/>
    <w:basedOn w:val="ZB"/>
    <w:rsid w:val="001165C7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987CA-1CAE-4679-A4AE-3CA9E21A6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2018-05-11T23:51:00Z</dcterms:created>
  <dcterms:modified xsi:type="dcterms:W3CDTF">2018-05-12T05:44:00Z</dcterms:modified>
</cp:coreProperties>
</file>