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6A78" w:rsidRDefault="00EE3590" w:rsidP="00A26629">
      <w:pPr>
        <w:widowControl w:val="0"/>
        <w:autoSpaceDE w:val="0"/>
        <w:autoSpaceDN w:val="0"/>
        <w:spacing w:after="0" w:line="240" w:lineRule="auto"/>
        <w:outlineLvl w:val="0"/>
        <w:rPr>
          <w:rFonts w:ascii="Arial" w:hAnsi="Arial" w:cs="Arial"/>
          <w:b/>
          <w:bCs/>
          <w:sz w:val="22"/>
          <w:lang w:val="en-GB"/>
        </w:rPr>
      </w:pPr>
      <w:r>
        <w:rPr>
          <w:rFonts w:ascii="Arial" w:hAnsi="Arial" w:cs="Arial"/>
          <w:b/>
          <w:bCs/>
          <w:sz w:val="22"/>
          <w:lang w:val="en-GB"/>
        </w:rPr>
        <w:t xml:space="preserve">3GPP TSG RAN WG1 Meeting </w:t>
      </w:r>
      <w:r>
        <w:rPr>
          <w:rFonts w:ascii="Arial" w:hAnsi="Arial" w:cs="Arial" w:hint="eastAsia"/>
          <w:b/>
          <w:bCs/>
          <w:sz w:val="22"/>
        </w:rPr>
        <w:t>#92b</w:t>
      </w:r>
      <w:r>
        <w:rPr>
          <w:rFonts w:ascii="Arial" w:hAnsi="Arial" w:cs="Arial" w:hint="eastAsia"/>
          <w:b/>
          <w:bCs/>
          <w:sz w:val="22"/>
        </w:rPr>
        <w:t xml:space="preserve">                      </w:t>
      </w:r>
      <w:r>
        <w:rPr>
          <w:rFonts w:ascii="Arial" w:hAnsi="Arial" w:cs="Arial" w:hint="eastAsia"/>
          <w:b/>
          <w:bCs/>
          <w:sz w:val="22"/>
        </w:rPr>
        <w:tab/>
      </w:r>
      <w:r>
        <w:rPr>
          <w:rFonts w:ascii="Arial" w:hAnsi="Arial" w:cs="Arial" w:hint="eastAsia"/>
          <w:b/>
          <w:bCs/>
          <w:sz w:val="22"/>
        </w:rPr>
        <w:tab/>
      </w:r>
      <w:r>
        <w:rPr>
          <w:rFonts w:ascii="Arial" w:hAnsi="Arial" w:cs="Arial" w:hint="eastAsia"/>
          <w:b/>
          <w:bCs/>
          <w:sz w:val="22"/>
        </w:rPr>
        <w:tab/>
        <w:t xml:space="preserve">  </w:t>
      </w:r>
      <w:r>
        <w:rPr>
          <w:rFonts w:ascii="Arial" w:hAnsi="Arial" w:cs="Arial" w:hint="eastAsia"/>
          <w:b/>
          <w:bCs/>
          <w:sz w:val="22"/>
        </w:rPr>
        <w:tab/>
        <w:t xml:space="preserve">  R1-18</w:t>
      </w:r>
      <w:r w:rsidR="00A83159">
        <w:rPr>
          <w:rFonts w:ascii="Arial" w:hAnsi="Arial" w:cs="Arial"/>
          <w:b/>
          <w:bCs/>
          <w:sz w:val="22"/>
        </w:rPr>
        <w:t>0</w:t>
      </w:r>
      <w:r>
        <w:rPr>
          <w:rFonts w:ascii="Arial" w:hAnsi="Arial" w:cs="Arial" w:hint="eastAsia"/>
          <w:b/>
          <w:bCs/>
          <w:sz w:val="22"/>
        </w:rPr>
        <w:t>3611</w:t>
      </w:r>
    </w:p>
    <w:p w:rsidR="00FD6A78" w:rsidRDefault="00EE3590">
      <w:pPr>
        <w:widowControl w:val="0"/>
        <w:autoSpaceDE w:val="0"/>
        <w:autoSpaceDN w:val="0"/>
        <w:spacing w:line="240" w:lineRule="auto"/>
        <w:outlineLvl w:val="0"/>
        <w:rPr>
          <w:rFonts w:ascii="Arial" w:hAnsi="Arial" w:cs="Arial"/>
          <w:b/>
          <w:bCs/>
          <w:sz w:val="22"/>
        </w:rPr>
      </w:pPr>
      <w:r>
        <w:rPr>
          <w:rFonts w:ascii="Arial" w:hAnsi="Arial" w:cs="Arial" w:hint="eastAsia"/>
          <w:b/>
          <w:bCs/>
          <w:sz w:val="22"/>
        </w:rPr>
        <w:t xml:space="preserve">Sanya, China, April 16th </w:t>
      </w:r>
      <w:r w:rsidR="00A26629">
        <w:rPr>
          <w:rFonts w:ascii="Arial" w:hAnsi="Arial" w:cs="Arial"/>
          <w:b/>
          <w:bCs/>
          <w:sz w:val="22"/>
        </w:rPr>
        <w:t>-</w:t>
      </w:r>
      <w:r>
        <w:rPr>
          <w:rFonts w:ascii="Arial" w:hAnsi="Arial" w:cs="Arial" w:hint="eastAsia"/>
          <w:b/>
          <w:bCs/>
          <w:sz w:val="22"/>
        </w:rPr>
        <w:t xml:space="preserve"> April 20th, 2018</w:t>
      </w:r>
    </w:p>
    <w:p w:rsidR="00FD6A78" w:rsidRDefault="00EE3590" w:rsidP="00A26629">
      <w:pPr>
        <w:widowControl w:val="0"/>
        <w:autoSpaceDE w:val="0"/>
        <w:autoSpaceDN w:val="0"/>
        <w:spacing w:before="240" w:after="0" w:line="240" w:lineRule="auto"/>
        <w:outlineLvl w:val="0"/>
        <w:rPr>
          <w:rFonts w:ascii="Arial" w:hAnsi="Arial" w:cs="Arial"/>
          <w:b/>
          <w:bCs/>
          <w:sz w:val="22"/>
          <w:lang w:val="en-GB"/>
        </w:rPr>
      </w:pPr>
      <w:r>
        <w:rPr>
          <w:rFonts w:ascii="Arial" w:hAnsi="Arial" w:cs="Arial"/>
          <w:b/>
          <w:bCs/>
          <w:sz w:val="22"/>
          <w:lang w:val="en-GB"/>
        </w:rPr>
        <w:t>Source: ZTE, Sanechips</w:t>
      </w:r>
    </w:p>
    <w:p w:rsidR="00FD6A78" w:rsidRDefault="00EE3590" w:rsidP="00A26629">
      <w:pPr>
        <w:widowControl w:val="0"/>
        <w:autoSpaceDE w:val="0"/>
        <w:autoSpaceDN w:val="0"/>
        <w:spacing w:after="0" w:line="240" w:lineRule="auto"/>
        <w:ind w:left="1698" w:hangingChars="769" w:hanging="1698"/>
        <w:rPr>
          <w:rFonts w:ascii="Arial" w:hAnsi="Arial" w:cs="Arial"/>
          <w:b/>
          <w:bCs/>
          <w:sz w:val="22"/>
          <w:lang w:val="en-GB"/>
        </w:rPr>
      </w:pPr>
      <w:r>
        <w:rPr>
          <w:rFonts w:ascii="Arial" w:hAnsi="Arial" w:cs="Arial"/>
          <w:b/>
          <w:bCs/>
          <w:sz w:val="22"/>
          <w:lang w:val="en-GB"/>
        </w:rPr>
        <w:t>Title:  Remaining details of RRM measurements</w:t>
      </w:r>
    </w:p>
    <w:p w:rsidR="00FD6A78" w:rsidRDefault="00EE3590" w:rsidP="00A26629">
      <w:pPr>
        <w:widowControl w:val="0"/>
        <w:autoSpaceDE w:val="0"/>
        <w:autoSpaceDN w:val="0"/>
        <w:spacing w:after="0" w:line="240" w:lineRule="auto"/>
        <w:rPr>
          <w:rFonts w:ascii="Arial" w:hAnsi="Arial" w:cs="Arial"/>
          <w:b/>
          <w:bCs/>
          <w:sz w:val="22"/>
          <w:lang w:val="en-GB"/>
        </w:rPr>
      </w:pPr>
      <w:r>
        <w:rPr>
          <w:rFonts w:ascii="Arial" w:hAnsi="Arial" w:cs="Arial"/>
          <w:b/>
          <w:bCs/>
          <w:sz w:val="22"/>
          <w:lang w:val="en-GB"/>
        </w:rPr>
        <w:t>Agenda Item:</w:t>
      </w:r>
      <w:bookmarkStart w:id="0" w:name="Source"/>
      <w:bookmarkEnd w:id="0"/>
      <w:r>
        <w:rPr>
          <w:rFonts w:ascii="Arial" w:hAnsi="Arial" w:cs="Arial"/>
          <w:b/>
          <w:bCs/>
          <w:sz w:val="22"/>
          <w:lang w:val="en-GB"/>
        </w:rPr>
        <w:t xml:space="preserve"> 7.1.</w:t>
      </w:r>
      <w:r>
        <w:rPr>
          <w:rFonts w:ascii="Arial" w:hAnsi="Arial" w:cs="Arial" w:hint="eastAsia"/>
          <w:b/>
          <w:bCs/>
          <w:sz w:val="22"/>
        </w:rPr>
        <w:t>1.</w:t>
      </w:r>
      <w:r>
        <w:rPr>
          <w:rFonts w:ascii="Arial" w:hAnsi="Arial" w:cs="Arial"/>
          <w:b/>
          <w:bCs/>
          <w:sz w:val="22"/>
          <w:lang w:val="en-GB"/>
        </w:rPr>
        <w:t>5.1</w:t>
      </w:r>
    </w:p>
    <w:p w:rsidR="00FD6A78" w:rsidRDefault="00EE3590" w:rsidP="00A26629">
      <w:pPr>
        <w:pBdr>
          <w:bottom w:val="single" w:sz="4" w:space="1" w:color="auto"/>
        </w:pBdr>
        <w:tabs>
          <w:tab w:val="left" w:pos="2552"/>
        </w:tabs>
        <w:spacing w:after="0"/>
        <w:rPr>
          <w:rFonts w:ascii="Arial" w:hAnsi="Arial" w:cs="Arial"/>
          <w:b/>
          <w:sz w:val="22"/>
        </w:rPr>
      </w:pPr>
      <w:r>
        <w:rPr>
          <w:rFonts w:ascii="Arial" w:hAnsi="Arial" w:cs="Arial"/>
          <w:b/>
          <w:sz w:val="22"/>
        </w:rPr>
        <w:t>Document for:</w:t>
      </w:r>
      <w:bookmarkStart w:id="1" w:name="DocumentFor"/>
      <w:bookmarkEnd w:id="1"/>
      <w:r>
        <w:rPr>
          <w:rFonts w:ascii="Arial" w:hAnsi="Arial" w:cs="Arial"/>
          <w:b/>
          <w:sz w:val="22"/>
        </w:rPr>
        <w:t xml:space="preserve">  Discussion and Decision</w:t>
      </w:r>
    </w:p>
    <w:p w:rsidR="00FD6A78" w:rsidRDefault="00EE3590">
      <w:pPr>
        <w:pStyle w:val="Heading2"/>
        <w:numPr>
          <w:ilvl w:val="0"/>
          <w:numId w:val="11"/>
        </w:numPr>
      </w:pPr>
      <w:r>
        <w:t>Introduction</w:t>
      </w:r>
    </w:p>
    <w:p w:rsidR="00FD6A78" w:rsidRDefault="00EE3590">
      <w:pPr>
        <w:jc w:val="both"/>
        <w:rPr>
          <w:rFonts w:eastAsia="MS Mincho"/>
          <w:lang w:eastAsia="ja-JP"/>
        </w:rPr>
      </w:pPr>
      <w:r>
        <w:rPr>
          <w:rFonts w:eastAsia="MS Mincho"/>
          <w:lang w:eastAsia="ja-JP"/>
        </w:rPr>
        <w:t>This contribution discusses several remaining issues regarding the RRM measurements based on SS/PBCH blocks and CSI-RS for L3 mobility.</w:t>
      </w:r>
      <w:r>
        <w:rPr>
          <w:rFonts w:eastAsia="SimSun" w:hint="eastAsia"/>
        </w:rPr>
        <w:t xml:space="preserve"> </w:t>
      </w:r>
    </w:p>
    <w:p w:rsidR="00FD6A78" w:rsidRDefault="00EE3590">
      <w:pPr>
        <w:pStyle w:val="Heading2"/>
        <w:numPr>
          <w:ilvl w:val="0"/>
          <w:numId w:val="11"/>
        </w:numPr>
      </w:pPr>
      <w:r>
        <w:t>UE Rx Beams for RRM Measurements</w:t>
      </w:r>
    </w:p>
    <w:p w:rsidR="00FD6A78" w:rsidRDefault="00EE3590">
      <w:pPr>
        <w:rPr>
          <w:lang w:val="en-GB" w:eastAsia="en-US"/>
        </w:rPr>
      </w:pPr>
      <w:r>
        <w:rPr>
          <w:lang w:val="en-GB" w:eastAsia="en-US"/>
        </w:rPr>
        <w:t>In RAN1 NR_AH#3, the following was agreed:</w:t>
      </w:r>
    </w:p>
    <w:tbl>
      <w:tblPr>
        <w:tblStyle w:val="TableGrid"/>
        <w:tblW w:w="9242" w:type="dxa"/>
        <w:tblLayout w:type="fixed"/>
        <w:tblLook w:val="04A0" w:firstRow="1" w:lastRow="0" w:firstColumn="1" w:lastColumn="0" w:noHBand="0" w:noVBand="1"/>
      </w:tblPr>
      <w:tblGrid>
        <w:gridCol w:w="9242"/>
      </w:tblGrid>
      <w:tr w:rsidR="00FD6A78">
        <w:tc>
          <w:tcPr>
            <w:tcW w:w="9242" w:type="dxa"/>
          </w:tcPr>
          <w:p w:rsidR="00FD6A78" w:rsidRDefault="00EE3590">
            <w:pPr>
              <w:rPr>
                <w:szCs w:val="20"/>
              </w:rPr>
            </w:pPr>
            <w:bookmarkStart w:id="2" w:name="OLE_LINK4"/>
            <w:r>
              <w:rPr>
                <w:b/>
                <w:szCs w:val="20"/>
                <w:highlight w:val="green"/>
                <w:u w:val="single"/>
              </w:rPr>
              <w:t>Agreements</w:t>
            </w:r>
            <w:r>
              <w:rPr>
                <w:szCs w:val="20"/>
              </w:rPr>
              <w:t>:</w:t>
            </w:r>
          </w:p>
          <w:p w:rsidR="00FD6A78" w:rsidRDefault="00EE3590">
            <w:pPr>
              <w:numPr>
                <w:ilvl w:val="0"/>
                <w:numId w:val="12"/>
              </w:numPr>
              <w:tabs>
                <w:tab w:val="left" w:pos="1440"/>
              </w:tabs>
              <w:adjustRightInd/>
              <w:spacing w:line="240" w:lineRule="auto"/>
              <w:rPr>
                <w:szCs w:val="20"/>
              </w:rPr>
            </w:pPr>
            <w:r>
              <w:rPr>
                <w:szCs w:val="20"/>
              </w:rPr>
              <w:t>For a SS-RSRQ meas</w:t>
            </w:r>
            <w:r>
              <w:rPr>
                <w:szCs w:val="20"/>
              </w:rPr>
              <w:t>urement, the same RX beam shall be applied between RSSI measurement and RSRP measurement</w:t>
            </w:r>
          </w:p>
          <w:p w:rsidR="00FD6A78" w:rsidRDefault="00EE3590">
            <w:pPr>
              <w:numPr>
                <w:ilvl w:val="0"/>
                <w:numId w:val="12"/>
              </w:numPr>
              <w:tabs>
                <w:tab w:val="left" w:pos="1440"/>
              </w:tabs>
              <w:adjustRightInd/>
              <w:spacing w:line="240" w:lineRule="auto"/>
              <w:rPr>
                <w:szCs w:val="20"/>
              </w:rPr>
            </w:pPr>
            <w:r>
              <w:rPr>
                <w:szCs w:val="20"/>
              </w:rPr>
              <w:t>For a CSI-RSRQ measurement, the same RX beam shall be applied between RSSI measurement and RSRP measurement</w:t>
            </w:r>
          </w:p>
          <w:p w:rsidR="00FD6A78" w:rsidRDefault="00EE3590">
            <w:pPr>
              <w:numPr>
                <w:ilvl w:val="0"/>
                <w:numId w:val="12"/>
              </w:numPr>
              <w:tabs>
                <w:tab w:val="left" w:pos="1440"/>
              </w:tabs>
              <w:adjustRightInd/>
              <w:spacing w:line="240" w:lineRule="auto"/>
              <w:rPr>
                <w:szCs w:val="20"/>
              </w:rPr>
            </w:pPr>
            <w:r>
              <w:rPr>
                <w:szCs w:val="20"/>
              </w:rPr>
              <w:t>It is up to UE implementation how to select a set of RX bea</w:t>
            </w:r>
            <w:r>
              <w:rPr>
                <w:szCs w:val="20"/>
              </w:rPr>
              <w:t>ms to perform RRM measurement on a carrier</w:t>
            </w:r>
          </w:p>
          <w:p w:rsidR="00FD6A78" w:rsidRDefault="00EE3590">
            <w:pPr>
              <w:numPr>
                <w:ilvl w:val="1"/>
                <w:numId w:val="12"/>
              </w:numPr>
              <w:adjustRightInd/>
              <w:spacing w:line="240" w:lineRule="auto"/>
              <w:rPr>
                <w:szCs w:val="20"/>
              </w:rPr>
            </w:pPr>
            <w:r>
              <w:rPr>
                <w:szCs w:val="20"/>
              </w:rPr>
              <w:t>Different sets of RX beams can be used in measurements based on different measurement objects</w:t>
            </w:r>
          </w:p>
          <w:p w:rsidR="00FD6A78" w:rsidRDefault="00EE3590">
            <w:pPr>
              <w:numPr>
                <w:ilvl w:val="0"/>
                <w:numId w:val="12"/>
              </w:numPr>
              <w:tabs>
                <w:tab w:val="left" w:pos="1440"/>
              </w:tabs>
              <w:adjustRightInd/>
              <w:spacing w:line="240" w:lineRule="auto"/>
              <w:rPr>
                <w:szCs w:val="20"/>
              </w:rPr>
            </w:pPr>
            <w:r>
              <w:rPr>
                <w:szCs w:val="20"/>
              </w:rPr>
              <w:t>Same set of RX beams shall be used in measurement of each TX beam based on a measurement object</w:t>
            </w:r>
          </w:p>
          <w:p w:rsidR="00FD6A78" w:rsidRDefault="00EE3590">
            <w:pPr>
              <w:numPr>
                <w:ilvl w:val="0"/>
                <w:numId w:val="12"/>
              </w:numPr>
              <w:tabs>
                <w:tab w:val="left" w:pos="1440"/>
              </w:tabs>
              <w:adjustRightInd/>
              <w:spacing w:line="240" w:lineRule="auto"/>
              <w:rPr>
                <w:szCs w:val="20"/>
              </w:rPr>
            </w:pPr>
            <w:r>
              <w:rPr>
                <w:szCs w:val="20"/>
              </w:rPr>
              <w:t>FF</w:t>
            </w:r>
            <w:r>
              <w:rPr>
                <w:rFonts w:hint="eastAsia"/>
                <w:szCs w:val="20"/>
              </w:rPr>
              <w:t>S</w:t>
            </w:r>
          </w:p>
        </w:tc>
      </w:tr>
    </w:tbl>
    <w:bookmarkEnd w:id="2"/>
    <w:p w:rsidR="00FD6A78" w:rsidRDefault="00EE3590">
      <w:pPr>
        <w:spacing w:before="240"/>
        <w:jc w:val="both"/>
        <w:rPr>
          <w:lang w:eastAsia="en-US"/>
        </w:rPr>
      </w:pPr>
      <w:r>
        <w:rPr>
          <w:lang w:eastAsia="en-US"/>
        </w:rPr>
        <w:t>It was agreed that</w:t>
      </w:r>
      <w:r>
        <w:rPr>
          <w:lang w:eastAsia="en-US"/>
        </w:rPr>
        <w:t xml:space="preserve"> it’s up to the UE implementation to select a set of Rx beams for the RRM measurements on a carrier. It was understood in the discussion that all beams in a selected set of Rx beams should have similar maximum Rx beamforming gain, in order to provide consi</w:t>
      </w:r>
      <w:r>
        <w:rPr>
          <w:lang w:eastAsia="en-US"/>
        </w:rPr>
        <w:t>stent RRM measurements.</w:t>
      </w:r>
    </w:p>
    <w:p w:rsidR="00FD6A78" w:rsidRDefault="00EE3590">
      <w:pPr>
        <w:spacing w:before="240" w:line="240" w:lineRule="auto"/>
        <w:jc w:val="both"/>
        <w:rPr>
          <w:rStyle w:val="CommentReference"/>
        </w:rPr>
      </w:pPr>
      <w:r>
        <w:rPr>
          <w:rFonts w:hint="eastAsia"/>
          <w:b/>
          <w:i/>
        </w:rPr>
        <w:t>P</w:t>
      </w:r>
      <w:r>
        <w:rPr>
          <w:b/>
          <w:i/>
        </w:rPr>
        <w:t xml:space="preserve">roposal </w:t>
      </w:r>
      <w:r>
        <w:rPr>
          <w:rFonts w:hint="eastAsia"/>
          <w:b/>
          <w:i/>
        </w:rPr>
        <w:t>1</w:t>
      </w:r>
      <w:r>
        <w:rPr>
          <w:b/>
          <w:i/>
        </w:rPr>
        <w:t xml:space="preserve">: </w:t>
      </w:r>
      <w:bookmarkStart w:id="3" w:name="OLE_LINK5"/>
      <w:r>
        <w:rPr>
          <w:b/>
          <w:i/>
        </w:rPr>
        <w:t>The beams in a set of Rx beams selected for RRM measurement on a carrier should have similar maximum Rx beamforming gai</w:t>
      </w:r>
      <w:bookmarkEnd w:id="3"/>
      <w:r>
        <w:rPr>
          <w:b/>
          <w:i/>
        </w:rPr>
        <w:t>n.</w:t>
      </w:r>
    </w:p>
    <w:p w:rsidR="00FD6A78" w:rsidRDefault="00EE3590">
      <w:pPr>
        <w:adjustRightInd/>
        <w:snapToGrid w:val="0"/>
        <w:spacing w:after="120"/>
        <w:jc w:val="both"/>
        <w:rPr>
          <w:rStyle w:val="CommentReference"/>
        </w:rPr>
      </w:pPr>
      <w:r>
        <w:rPr>
          <w:rFonts w:hint="eastAsia"/>
          <w:szCs w:val="20"/>
        </w:rPr>
        <w:t>-------------------------</w:t>
      </w:r>
      <w:r>
        <w:rPr>
          <w:rFonts w:eastAsia="SimSun" w:hint="eastAsia"/>
          <w:szCs w:val="20"/>
        </w:rPr>
        <w:t>---------</w:t>
      </w:r>
      <w:r>
        <w:rPr>
          <w:rFonts w:hint="eastAsia"/>
          <w:szCs w:val="20"/>
        </w:rPr>
        <w:t xml:space="preserve">Text Proposal for Section </w:t>
      </w:r>
      <w:r>
        <w:rPr>
          <w:rFonts w:eastAsia="SimSun" w:hint="eastAsia"/>
          <w:szCs w:val="20"/>
        </w:rPr>
        <w:t>5.1.1 and 5.1.2</w:t>
      </w:r>
      <w:r>
        <w:rPr>
          <w:rFonts w:hint="eastAsia"/>
          <w:szCs w:val="20"/>
        </w:rPr>
        <w:t>in TS38.214------------</w:t>
      </w:r>
      <w:r>
        <w:rPr>
          <w:rFonts w:hint="eastAsia"/>
          <w:szCs w:val="20"/>
        </w:rPr>
        <w:t>--------------</w:t>
      </w:r>
      <w:r>
        <w:rPr>
          <w:rFonts w:eastAsia="SimSun" w:hint="eastAsia"/>
          <w:szCs w:val="20"/>
        </w:rPr>
        <w:t>----</w:t>
      </w:r>
    </w:p>
    <w:tbl>
      <w:tblPr>
        <w:tblW w:w="9346"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46"/>
      </w:tblGrid>
      <w:tr w:rsidR="00FD6A78">
        <w:tc>
          <w:tcPr>
            <w:tcW w:w="9346" w:type="dxa"/>
          </w:tcPr>
          <w:p w:rsidR="00FD6A78" w:rsidRDefault="00EE3590">
            <w:r>
              <w:t>5.1.</w:t>
            </w:r>
            <w:r>
              <w:rPr>
                <w:rFonts w:hint="eastAsia"/>
              </w:rPr>
              <w:t>1 SS reference signal received power (SS-RSRP)</w:t>
            </w:r>
          </w:p>
          <w:tbl>
            <w:tblPr>
              <w:tblW w:w="7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83"/>
              <w:gridCol w:w="6317"/>
            </w:tblGrid>
            <w:tr w:rsidR="00FD6A78">
              <w:trPr>
                <w:cantSplit/>
              </w:trPr>
              <w:tc>
                <w:tcPr>
                  <w:tcW w:w="1583" w:type="dxa"/>
                </w:tcPr>
                <w:p w:rsidR="00FD6A78" w:rsidRDefault="00EE3590">
                  <w:pPr>
                    <w:rPr>
                      <w:b/>
                    </w:rPr>
                  </w:pPr>
                  <w:r>
                    <w:rPr>
                      <w:b/>
                    </w:rPr>
                    <w:lastRenderedPageBreak/>
                    <w:t>Definition</w:t>
                  </w:r>
                </w:p>
              </w:tc>
              <w:tc>
                <w:tcPr>
                  <w:tcW w:w="6317" w:type="dxa"/>
                </w:tcPr>
                <w:p w:rsidR="00FD6A78" w:rsidRDefault="00EE3590">
                  <w:r>
                    <w:rPr>
                      <w:rFonts w:hint="eastAsia"/>
                    </w:rPr>
                    <w:t>---omitted</w:t>
                  </w:r>
                </w:p>
              </w:tc>
            </w:tr>
            <w:tr w:rsidR="00FD6A78">
              <w:trPr>
                <w:cantSplit/>
              </w:trPr>
              <w:tc>
                <w:tcPr>
                  <w:tcW w:w="1583" w:type="dxa"/>
                </w:tcPr>
                <w:p w:rsidR="00FD6A78" w:rsidRDefault="00EE3590">
                  <w:pPr>
                    <w:rPr>
                      <w:b/>
                    </w:rPr>
                  </w:pPr>
                  <w:r>
                    <w:rPr>
                      <w:b/>
                    </w:rPr>
                    <w:t>Applicable for</w:t>
                  </w:r>
                </w:p>
              </w:tc>
              <w:tc>
                <w:tcPr>
                  <w:tcW w:w="6317" w:type="dxa"/>
                </w:tcPr>
                <w:p w:rsidR="00FD6A78" w:rsidRDefault="00EE3590">
                  <w:r>
                    <w:rPr>
                      <w:rFonts w:hint="eastAsia"/>
                    </w:rPr>
                    <w:t>---omitted</w:t>
                  </w:r>
                </w:p>
              </w:tc>
            </w:tr>
          </w:tbl>
          <w:p w:rsidR="00FD6A78" w:rsidRDefault="00EE3590">
            <w:pPr>
              <w:pStyle w:val="NO"/>
            </w:pPr>
            <w:r>
              <w:t>NOTE 1:</w:t>
            </w:r>
            <w:r>
              <w:tab/>
              <w:t xml:space="preserve">The number of resource elements within the measurement period that are used by the UE to determine SS-RSRP is left up to the UE </w:t>
            </w:r>
            <w:r>
              <w:t>implementation with the limitation that corresponding measurement accuracy requirements have to be fulfilled.</w:t>
            </w:r>
          </w:p>
          <w:p w:rsidR="00FD6A78" w:rsidRDefault="00EE3590">
            <w:pPr>
              <w:pStyle w:val="NO"/>
            </w:pPr>
            <w:r>
              <w:t>NOTE 2:</w:t>
            </w:r>
            <w:r>
              <w:tab/>
              <w:t>The power per resource element is determined from the energy received during the useful part of the symbol, excluding the CP.</w:t>
            </w:r>
          </w:p>
          <w:p w:rsidR="00FD6A78" w:rsidRPr="00A83159" w:rsidRDefault="00EE3590">
            <w:pPr>
              <w:pStyle w:val="NO"/>
              <w:rPr>
                <w:color w:val="FF0000"/>
                <w:u w:val="single"/>
                <w:lang w:val="en-US" w:eastAsia="zh-CN"/>
              </w:rPr>
            </w:pPr>
            <w:r w:rsidRPr="00A83159">
              <w:rPr>
                <w:rFonts w:hint="eastAsia"/>
                <w:color w:val="FF0000"/>
                <w:u w:val="single"/>
                <w:lang w:val="en-US" w:eastAsia="zh-CN"/>
              </w:rPr>
              <w:t xml:space="preserve">NOTE 3: </w:t>
            </w:r>
            <w:r w:rsidRPr="00A83159">
              <w:rPr>
                <w:rFonts w:hint="eastAsia"/>
                <w:color w:val="FF0000"/>
                <w:u w:val="single"/>
                <w:lang w:val="en-US" w:eastAsia="zh-CN"/>
              </w:rPr>
              <w:t xml:space="preserve">The </w:t>
            </w:r>
            <w:r w:rsidRPr="00A83159">
              <w:rPr>
                <w:rFonts w:hint="eastAsia"/>
                <w:color w:val="FF0000"/>
                <w:u w:val="single"/>
                <w:lang w:val="en-US" w:eastAsia="zh-CN"/>
              </w:rPr>
              <w:t xml:space="preserve">selection of </w:t>
            </w:r>
            <w:r w:rsidRPr="00A83159">
              <w:rPr>
                <w:rFonts w:hint="eastAsia"/>
                <w:color w:val="FF0000"/>
                <w:u w:val="single"/>
                <w:lang w:val="en-US" w:eastAsia="zh-CN"/>
              </w:rPr>
              <w:t xml:space="preserve">Rx beam set to perform measurement on </w:t>
            </w:r>
            <w:r w:rsidRPr="00A83159">
              <w:rPr>
                <w:rFonts w:hint="eastAsia"/>
                <w:color w:val="FF0000"/>
                <w:u w:val="single"/>
                <w:lang w:val="en-US" w:eastAsia="zh-CN"/>
              </w:rPr>
              <w:t xml:space="preserve">carrier is left to the UE implementation with the limitation that the same Rx beam set </w:t>
            </w:r>
            <w:r w:rsidRPr="00A83159">
              <w:rPr>
                <w:rFonts w:hint="eastAsia"/>
                <w:color w:val="FF0000"/>
                <w:u w:val="single"/>
                <w:lang w:val="en-US" w:eastAsia="zh-CN"/>
              </w:rPr>
              <w:t xml:space="preserve">is used to measure </w:t>
            </w:r>
            <w:r w:rsidRPr="00A83159">
              <w:rPr>
                <w:rFonts w:hint="eastAsia"/>
                <w:color w:val="FF0000"/>
                <w:u w:val="single"/>
                <w:lang w:val="en-US" w:eastAsia="zh-CN"/>
              </w:rPr>
              <w:t xml:space="preserve">the same carrier. </w:t>
            </w:r>
          </w:p>
          <w:p w:rsidR="00FD6A78" w:rsidRDefault="00EE3590">
            <w:r>
              <w:t>5.1.</w:t>
            </w:r>
            <w:r>
              <w:rPr>
                <w:rFonts w:hint="eastAsia"/>
              </w:rPr>
              <w:t>2 CSI reference signal received power (CSI-RSRP)</w:t>
            </w:r>
          </w:p>
          <w:tbl>
            <w:tblPr>
              <w:tblW w:w="7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83"/>
              <w:gridCol w:w="6317"/>
            </w:tblGrid>
            <w:tr w:rsidR="00FD6A78">
              <w:trPr>
                <w:cantSplit/>
              </w:trPr>
              <w:tc>
                <w:tcPr>
                  <w:tcW w:w="1583" w:type="dxa"/>
                </w:tcPr>
                <w:p w:rsidR="00FD6A78" w:rsidRDefault="00EE3590">
                  <w:pPr>
                    <w:rPr>
                      <w:b/>
                    </w:rPr>
                  </w:pPr>
                  <w:r>
                    <w:rPr>
                      <w:b/>
                    </w:rPr>
                    <w:t>Definition</w:t>
                  </w:r>
                </w:p>
              </w:tc>
              <w:tc>
                <w:tcPr>
                  <w:tcW w:w="6317" w:type="dxa"/>
                </w:tcPr>
                <w:p w:rsidR="00FD6A78" w:rsidRDefault="00EE3590">
                  <w:r>
                    <w:rPr>
                      <w:rFonts w:hint="eastAsia"/>
                    </w:rPr>
                    <w:t>---omitted</w:t>
                  </w:r>
                </w:p>
              </w:tc>
            </w:tr>
            <w:tr w:rsidR="00FD6A78">
              <w:trPr>
                <w:cantSplit/>
              </w:trPr>
              <w:tc>
                <w:tcPr>
                  <w:tcW w:w="1583" w:type="dxa"/>
                </w:tcPr>
                <w:p w:rsidR="00FD6A78" w:rsidRDefault="00EE3590">
                  <w:pPr>
                    <w:rPr>
                      <w:b/>
                    </w:rPr>
                  </w:pPr>
                  <w:r>
                    <w:rPr>
                      <w:b/>
                    </w:rPr>
                    <w:t>Appl</w:t>
                  </w:r>
                  <w:r>
                    <w:rPr>
                      <w:b/>
                    </w:rPr>
                    <w:t>icable for</w:t>
                  </w:r>
                </w:p>
              </w:tc>
              <w:tc>
                <w:tcPr>
                  <w:tcW w:w="6317" w:type="dxa"/>
                </w:tcPr>
                <w:p w:rsidR="00FD6A78" w:rsidRDefault="00EE3590">
                  <w:r>
                    <w:rPr>
                      <w:rFonts w:hint="eastAsia"/>
                    </w:rPr>
                    <w:t>---omitted</w:t>
                  </w:r>
                </w:p>
              </w:tc>
            </w:tr>
          </w:tbl>
          <w:p w:rsidR="00FD6A78" w:rsidRDefault="00EE3590">
            <w:pPr>
              <w:pStyle w:val="NO"/>
            </w:pPr>
            <w:r>
              <w:t>NOTE 1:</w:t>
            </w:r>
            <w:r>
              <w:tab/>
              <w:t xml:space="preserve">The number of resource elements within the measurement period that are used by the UE to determine SS-RSRP is left up to the UE implementation with the limitation that corresponding measurement accuracy requirements have to </w:t>
            </w:r>
            <w:r>
              <w:t>be fulfilled.</w:t>
            </w:r>
          </w:p>
          <w:p w:rsidR="00FD6A78" w:rsidRDefault="00EE3590">
            <w:pPr>
              <w:pStyle w:val="NO"/>
            </w:pPr>
            <w:r>
              <w:t>NOTE 2:</w:t>
            </w:r>
            <w:r>
              <w:tab/>
              <w:t>The power per resource element is determined from the energy received during the useful part of the symbol, excluding the CP.</w:t>
            </w:r>
          </w:p>
          <w:p w:rsidR="00FD6A78" w:rsidRPr="00A83159" w:rsidRDefault="00EE3590">
            <w:pPr>
              <w:rPr>
                <w:color w:val="FF0000"/>
                <w:u w:val="single"/>
              </w:rPr>
            </w:pPr>
            <w:r w:rsidRPr="00A83159">
              <w:rPr>
                <w:rFonts w:hint="eastAsia"/>
                <w:color w:val="FF0000"/>
                <w:u w:val="single"/>
              </w:rPr>
              <w:t xml:space="preserve">   </w:t>
            </w:r>
            <w:r w:rsidRPr="00A83159">
              <w:rPr>
                <w:rFonts w:hint="eastAsia"/>
                <w:color w:val="FF0000"/>
                <w:u w:val="single"/>
              </w:rPr>
              <w:t>NOTE 3: The selection of Rx beam set to perform measurement on carrier is left to the UE implementation w</w:t>
            </w:r>
            <w:r w:rsidRPr="00A83159">
              <w:rPr>
                <w:rFonts w:hint="eastAsia"/>
                <w:color w:val="FF0000"/>
                <w:u w:val="single"/>
              </w:rPr>
              <w:t xml:space="preserve">ith the limitation that the same Rx beam set is used to measure the same carrier. </w:t>
            </w:r>
          </w:p>
        </w:tc>
      </w:tr>
    </w:tbl>
    <w:p w:rsidR="00FD6A78" w:rsidRDefault="00FD6A78">
      <w:pPr>
        <w:spacing w:before="240" w:line="240" w:lineRule="auto"/>
        <w:jc w:val="both"/>
        <w:rPr>
          <w:rStyle w:val="CommentReference"/>
        </w:rPr>
      </w:pPr>
    </w:p>
    <w:p w:rsidR="00FD6A78" w:rsidRDefault="00EE3590">
      <w:pPr>
        <w:pStyle w:val="Heading2"/>
        <w:numPr>
          <w:ilvl w:val="0"/>
          <w:numId w:val="11"/>
        </w:numPr>
      </w:pPr>
      <w:bookmarkStart w:id="4" w:name="OLE_LINK7"/>
      <w:r>
        <w:rPr>
          <w:rFonts w:hint="eastAsia"/>
          <w:lang w:val="en-US" w:eastAsia="zh-CN"/>
        </w:rPr>
        <w:t>C-DRX assumption on CSI-RS reception</w:t>
      </w:r>
      <w:bookmarkEnd w:id="4"/>
    </w:p>
    <w:p w:rsidR="00FD6A78" w:rsidRDefault="00EE3590">
      <w:r>
        <w:rPr>
          <w:rFonts w:hint="eastAsia"/>
        </w:rPr>
        <w:t>In RAN1 #90, we have the following agreement on C-DRX UE measurement.</w:t>
      </w:r>
    </w:p>
    <w:tbl>
      <w:tblPr>
        <w:tblStyle w:val="TableGrid"/>
        <w:tblW w:w="9242" w:type="dxa"/>
        <w:tblLayout w:type="fixed"/>
        <w:tblLook w:val="04A0" w:firstRow="1" w:lastRow="0" w:firstColumn="1" w:lastColumn="0" w:noHBand="0" w:noVBand="1"/>
      </w:tblPr>
      <w:tblGrid>
        <w:gridCol w:w="9242"/>
      </w:tblGrid>
      <w:tr w:rsidR="00FD6A78">
        <w:tc>
          <w:tcPr>
            <w:tcW w:w="9242" w:type="dxa"/>
          </w:tcPr>
          <w:p w:rsidR="00FD6A78" w:rsidRDefault="00EE3590" w:rsidP="00A26629">
            <w:pPr>
              <w:tabs>
                <w:tab w:val="left" w:pos="1440"/>
              </w:tabs>
              <w:spacing w:after="0"/>
              <w:rPr>
                <w:rFonts w:eastAsia="MS Mincho"/>
                <w:b/>
                <w:highlight w:val="red"/>
                <w:u w:val="single"/>
                <w:lang w:eastAsia="ja-JP"/>
              </w:rPr>
            </w:pPr>
            <w:r>
              <w:rPr>
                <w:rFonts w:eastAsia="MS Mincho" w:hint="eastAsia"/>
                <w:b/>
                <w:highlight w:val="green"/>
                <w:u w:val="single"/>
                <w:lang w:eastAsia="ja-JP"/>
              </w:rPr>
              <w:t>Agreements:</w:t>
            </w:r>
          </w:p>
          <w:p w:rsidR="00FD6A78" w:rsidRDefault="00EE3590" w:rsidP="00A26629">
            <w:pPr>
              <w:numPr>
                <w:ilvl w:val="0"/>
                <w:numId w:val="13"/>
              </w:numPr>
              <w:tabs>
                <w:tab w:val="left" w:pos="1440"/>
              </w:tabs>
              <w:spacing w:after="0"/>
              <w:rPr>
                <w:rFonts w:eastAsia="MS Mincho"/>
                <w:lang w:eastAsia="ja-JP"/>
              </w:rPr>
            </w:pPr>
            <w:r>
              <w:rPr>
                <w:rFonts w:eastAsia="MS Mincho"/>
                <w:lang w:eastAsia="ja-JP"/>
              </w:rPr>
              <w:t xml:space="preserve">UE is not required to measure CSI-RS configured for </w:t>
            </w:r>
            <w:r>
              <w:rPr>
                <w:rFonts w:eastAsia="MS Mincho"/>
                <w:lang w:eastAsia="ja-JP"/>
              </w:rPr>
              <w:t>L3 mobility outside the active time</w:t>
            </w:r>
          </w:p>
          <w:p w:rsidR="00FD6A78" w:rsidRDefault="00EE3590" w:rsidP="00A26629">
            <w:pPr>
              <w:numPr>
                <w:ilvl w:val="0"/>
                <w:numId w:val="13"/>
              </w:numPr>
              <w:tabs>
                <w:tab w:val="left" w:pos="1440"/>
              </w:tabs>
              <w:spacing w:after="0"/>
              <w:rPr>
                <w:rFonts w:eastAsia="MS Mincho"/>
                <w:lang w:eastAsia="ja-JP"/>
              </w:rPr>
            </w:pPr>
            <w:r>
              <w:rPr>
                <w:rFonts w:eastAsia="MS Mincho"/>
                <w:lang w:eastAsia="ja-JP"/>
              </w:rPr>
              <w:t>Note exact definition of C-DRX active time depends on RAN2</w:t>
            </w:r>
          </w:p>
          <w:p w:rsidR="00FD6A78" w:rsidRDefault="00EE3590" w:rsidP="00A26629">
            <w:pPr>
              <w:numPr>
                <w:ilvl w:val="1"/>
                <w:numId w:val="13"/>
              </w:numPr>
              <w:spacing w:after="0"/>
              <w:rPr>
                <w:rFonts w:eastAsia="MS Mincho"/>
                <w:lang w:eastAsia="ja-JP"/>
              </w:rPr>
            </w:pPr>
            <w:r>
              <w:rPr>
                <w:rFonts w:eastAsia="MS Mincho"/>
                <w:lang w:eastAsia="ja-JP"/>
              </w:rPr>
              <w:t xml:space="preserve">In this context the active time referred by RAN1 relates to the time when UE is monitoring PDCCH in onDuration or due to any timer triggered by gNB activity </w:t>
            </w:r>
          </w:p>
          <w:p w:rsidR="00FD6A78" w:rsidRDefault="00EE3590" w:rsidP="00A26629">
            <w:pPr>
              <w:numPr>
                <w:ilvl w:val="2"/>
                <w:numId w:val="13"/>
              </w:numPr>
              <w:tabs>
                <w:tab w:val="left" w:pos="1440"/>
              </w:tabs>
              <w:spacing w:after="0"/>
              <w:rPr>
                <w:rFonts w:eastAsia="MS Mincho"/>
                <w:lang w:eastAsia="ja-JP"/>
              </w:rPr>
            </w:pPr>
            <w:r>
              <w:rPr>
                <w:rFonts w:eastAsia="MS Mincho"/>
                <w:lang w:eastAsia="ja-JP"/>
              </w:rPr>
              <w:t>I.e</w:t>
            </w:r>
            <w:r>
              <w:rPr>
                <w:rFonts w:eastAsia="MS Mincho"/>
                <w:lang w:eastAsia="ja-JP"/>
              </w:rPr>
              <w:t>. when any of ‘onDurationTimer’, ‘drx-InactitivityTimer’ or ’ drx-RetransmissionTimer’ is running</w:t>
            </w:r>
          </w:p>
          <w:p w:rsidR="00FD6A78" w:rsidRDefault="00EE3590" w:rsidP="00A26629">
            <w:pPr>
              <w:numPr>
                <w:ilvl w:val="0"/>
                <w:numId w:val="13"/>
              </w:numPr>
              <w:spacing w:after="0"/>
              <w:rPr>
                <w:rFonts w:eastAsia="MS Mincho"/>
                <w:lang w:eastAsia="ja-JP"/>
              </w:rPr>
            </w:pPr>
            <w:r>
              <w:rPr>
                <w:rFonts w:eastAsia="MS Mincho" w:hint="eastAsia"/>
                <w:lang w:eastAsia="ja-JP"/>
              </w:rPr>
              <w:lastRenderedPageBreak/>
              <w:t>FFS:</w:t>
            </w:r>
          </w:p>
          <w:p w:rsidR="00FD6A78" w:rsidRDefault="00EE3590" w:rsidP="00A26629">
            <w:pPr>
              <w:numPr>
                <w:ilvl w:val="1"/>
                <w:numId w:val="13"/>
              </w:numPr>
              <w:spacing w:after="0"/>
              <w:rPr>
                <w:rFonts w:eastAsia="MS Mincho"/>
                <w:lang w:eastAsia="ja-JP"/>
              </w:rPr>
            </w:pPr>
            <w:r>
              <w:rPr>
                <w:rFonts w:eastAsia="MS Mincho" w:hint="eastAsia"/>
                <w:lang w:eastAsia="ja-JP"/>
              </w:rPr>
              <w:t xml:space="preserve">whether </w:t>
            </w:r>
            <w:r>
              <w:rPr>
                <w:rFonts w:eastAsia="MS Mincho"/>
                <w:lang w:eastAsia="ja-JP"/>
              </w:rPr>
              <w:t>CSI-RS for L3 mobility is configured only within C-DRX UE’s active time</w:t>
            </w:r>
            <w:r>
              <w:rPr>
                <w:rFonts w:eastAsia="MS Mincho" w:hint="eastAsia"/>
                <w:lang w:eastAsia="ja-JP"/>
              </w:rPr>
              <w:t xml:space="preserve"> for C-DRX operation</w:t>
            </w:r>
          </w:p>
          <w:p w:rsidR="00FD6A78" w:rsidRDefault="00EE3590" w:rsidP="00A26629">
            <w:pPr>
              <w:numPr>
                <w:ilvl w:val="1"/>
                <w:numId w:val="13"/>
              </w:numPr>
              <w:spacing w:after="0"/>
              <w:rPr>
                <w:szCs w:val="20"/>
              </w:rPr>
            </w:pPr>
            <w:r>
              <w:rPr>
                <w:rFonts w:eastAsia="MS Mincho" w:hint="eastAsia"/>
                <w:lang w:eastAsia="ja-JP"/>
              </w:rPr>
              <w:t xml:space="preserve">whether </w:t>
            </w:r>
            <w:r>
              <w:rPr>
                <w:rFonts w:eastAsia="MS Mincho"/>
                <w:lang w:eastAsia="ja-JP"/>
              </w:rPr>
              <w:t xml:space="preserve">UE should not assume that configured CSI-RS </w:t>
            </w:r>
            <w:r>
              <w:rPr>
                <w:rFonts w:eastAsia="MS Mincho"/>
                <w:lang w:eastAsia="ja-JP"/>
              </w:rPr>
              <w:t>resources for L3 mobility are present outside the active tim</w:t>
            </w:r>
            <w:r>
              <w:rPr>
                <w:rFonts w:eastAsia="SimSun" w:hint="eastAsia"/>
              </w:rPr>
              <w:t>e</w:t>
            </w:r>
          </w:p>
        </w:tc>
      </w:tr>
    </w:tbl>
    <w:p w:rsidR="00FD6A78" w:rsidRDefault="00EE3590">
      <w:pPr>
        <w:jc w:val="both"/>
      </w:pPr>
      <w:r>
        <w:rPr>
          <w:rFonts w:hint="eastAsia"/>
        </w:rPr>
        <w:lastRenderedPageBreak/>
        <w:t>It was agreed that UE is not required to measure CSI-RS for L3 mobility outside the active time when C-DRX configuration is configured for UE. In NR, both CSI-RS configuration and C-DRX configu</w:t>
      </w:r>
      <w:r>
        <w:rPr>
          <w:rFonts w:hint="eastAsia"/>
        </w:rPr>
        <w:t>ration are UE-specific and very flexible. Therefore, C-DRX UE should not assume the configured CSI-RS resources for L3 mobility are present outside the active time and CSI-RS for L3 mobility is configured only within C-DRX UE</w:t>
      </w:r>
      <w:r>
        <w:t>’</w:t>
      </w:r>
      <w:r>
        <w:rPr>
          <w:rFonts w:hint="eastAsia"/>
        </w:rPr>
        <w:t xml:space="preserve">s active time. </w:t>
      </w:r>
    </w:p>
    <w:p w:rsidR="00FD6A78" w:rsidRDefault="00EE3590">
      <w:pPr>
        <w:jc w:val="both"/>
      </w:pPr>
      <w:r>
        <w:rPr>
          <w:b/>
          <w:i/>
        </w:rPr>
        <w:t xml:space="preserve">Proposal </w:t>
      </w:r>
      <w:r>
        <w:rPr>
          <w:rFonts w:hint="eastAsia"/>
          <w:b/>
          <w:i/>
        </w:rPr>
        <w:t>2</w:t>
      </w:r>
      <w:r>
        <w:rPr>
          <w:b/>
          <w:i/>
        </w:rPr>
        <w:t>: C-</w:t>
      </w:r>
      <w:r>
        <w:rPr>
          <w:b/>
          <w:i/>
        </w:rPr>
        <w:t>DRX UE should not assume the configured CSI-RS resources for L3 mobility are present outside the active time and CSI-RS for L3 mobility is configured only within C-DRX UE’s active time.</w:t>
      </w:r>
      <w:r>
        <w:rPr>
          <w:rFonts w:hint="eastAsia"/>
        </w:rPr>
        <w:t xml:space="preserve"> </w:t>
      </w:r>
    </w:p>
    <w:p w:rsidR="00FD6A78" w:rsidRDefault="00EE3590">
      <w:pPr>
        <w:adjustRightInd/>
        <w:snapToGrid w:val="0"/>
        <w:spacing w:after="120"/>
        <w:jc w:val="both"/>
        <w:rPr>
          <w:szCs w:val="20"/>
        </w:rPr>
      </w:pPr>
      <w:bookmarkStart w:id="5" w:name="OLE_LINK9"/>
      <w:r>
        <w:rPr>
          <w:rFonts w:hint="eastAsia"/>
          <w:szCs w:val="20"/>
        </w:rPr>
        <w:t>-------------------------</w:t>
      </w:r>
      <w:r>
        <w:rPr>
          <w:rFonts w:eastAsia="SimSun" w:hint="eastAsia"/>
          <w:szCs w:val="20"/>
        </w:rPr>
        <w:t>-------------</w:t>
      </w:r>
      <w:r>
        <w:rPr>
          <w:rFonts w:hint="eastAsia"/>
          <w:szCs w:val="20"/>
        </w:rPr>
        <w:t xml:space="preserve">Text Proposal for Section </w:t>
      </w:r>
      <w:r>
        <w:rPr>
          <w:rFonts w:eastAsia="SimSun" w:hint="eastAsia"/>
          <w:szCs w:val="20"/>
        </w:rPr>
        <w:t>5.1.6</w:t>
      </w:r>
      <w:r>
        <w:rPr>
          <w:rFonts w:eastAsia="SimSun" w:hint="eastAsia"/>
          <w:szCs w:val="20"/>
        </w:rPr>
        <w:t>.1.3</w:t>
      </w:r>
      <w:r>
        <w:rPr>
          <w:rFonts w:hint="eastAsia"/>
          <w:szCs w:val="20"/>
        </w:rPr>
        <w:t xml:space="preserve"> in TS38.214--------------------------</w:t>
      </w:r>
      <w:r>
        <w:rPr>
          <w:rFonts w:eastAsia="SimSun" w:hint="eastAsia"/>
          <w:szCs w:val="20"/>
        </w:rPr>
        <w:t>-------------</w:t>
      </w:r>
    </w:p>
    <w:tbl>
      <w:tblPr>
        <w:tblW w:w="9346"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46"/>
      </w:tblGrid>
      <w:tr w:rsidR="00FD6A78">
        <w:tc>
          <w:tcPr>
            <w:tcW w:w="9346" w:type="dxa"/>
          </w:tcPr>
          <w:p w:rsidR="00FD6A78" w:rsidRDefault="00EE3590">
            <w:r>
              <w:t xml:space="preserve">If a UE is configured with the higher layer parameters </w:t>
            </w:r>
            <w:r>
              <w:rPr>
                <w:i/>
              </w:rPr>
              <w:t xml:space="preserve">CSI-RS-Resource-Mobility </w:t>
            </w:r>
            <w:r>
              <w:t xml:space="preserve">and </w:t>
            </w:r>
            <w:r>
              <w:rPr>
                <w:i/>
              </w:rPr>
              <w:t>associatedSSB</w:t>
            </w:r>
            <w:r>
              <w:t xml:space="preserve">, the UE may base the timing of the CSI-RS resource on the timing of the cell given by the </w:t>
            </w:r>
            <w:r>
              <w:rPr>
                <w:i/>
              </w:rPr>
              <w:t>Cell_ID</w:t>
            </w:r>
            <w:r>
              <w:t xml:space="preserve"> of the CSI-RS resource configuration. Additionally, for a given CSI-RS resource, if the associated SS/PBCH block is configured but not detected by the UE, the UE is not required to monitor the corresponding CSI-RS resource. The higher layer parameter </w:t>
            </w:r>
            <w:r>
              <w:rPr>
                <w:i/>
              </w:rPr>
              <w:t>isQu</w:t>
            </w:r>
            <w:r>
              <w:rPr>
                <w:i/>
              </w:rPr>
              <w:t>asiColocated</w:t>
            </w:r>
            <w:r>
              <w:t xml:space="preserve"> indicates whether the associated SS/PBCH block given by the </w:t>
            </w:r>
            <w:r>
              <w:rPr>
                <w:i/>
              </w:rPr>
              <w:t>associatedSSB</w:t>
            </w:r>
            <w:r>
              <w:t xml:space="preserve"> and the CSI-RS resource(s) are quasi co-located with the associated SS/PBCH block with respect to [‘QCL-TypeD’].</w:t>
            </w:r>
          </w:p>
          <w:p w:rsidR="00FD6A78" w:rsidRPr="00A83159" w:rsidRDefault="00EE3590">
            <w:pPr>
              <w:rPr>
                <w:color w:val="FF0000"/>
                <w:u w:val="single"/>
              </w:rPr>
            </w:pPr>
            <w:r w:rsidRPr="00A83159">
              <w:rPr>
                <w:rFonts w:hint="eastAsia"/>
                <w:color w:val="FF0000"/>
                <w:u w:val="single"/>
              </w:rPr>
              <w:t xml:space="preserve">In </w:t>
            </w:r>
            <w:r w:rsidRPr="00A83159">
              <w:rPr>
                <w:rFonts w:hint="eastAsia"/>
                <w:color w:val="FF0000"/>
                <w:u w:val="single"/>
              </w:rPr>
              <w:t xml:space="preserve">a UE is configured with a DRX, the UE may not assume </w:t>
            </w:r>
            <w:r w:rsidRPr="00A83159">
              <w:rPr>
                <w:rFonts w:hint="eastAsia"/>
                <w:color w:val="FF0000"/>
                <w:u w:val="single"/>
              </w:rPr>
              <w:t xml:space="preserve">CSI-RS </w:t>
            </w:r>
            <w:r w:rsidRPr="00A83159">
              <w:rPr>
                <w:rFonts w:hint="eastAsia"/>
                <w:color w:val="FF0000"/>
                <w:u w:val="single"/>
              </w:rPr>
              <w:t xml:space="preserve">resource for L3 mobility are transmitted outside the active time. </w:t>
            </w:r>
          </w:p>
        </w:tc>
      </w:tr>
      <w:bookmarkEnd w:id="5"/>
    </w:tbl>
    <w:p w:rsidR="00FD6A78" w:rsidRDefault="00FD6A78">
      <w:pPr>
        <w:jc w:val="both"/>
      </w:pPr>
    </w:p>
    <w:p w:rsidR="00FD6A78" w:rsidRDefault="00EE3590">
      <w:pPr>
        <w:pStyle w:val="Heading2"/>
        <w:numPr>
          <w:ilvl w:val="0"/>
          <w:numId w:val="11"/>
        </w:numPr>
      </w:pPr>
      <w:bookmarkStart w:id="6" w:name="OLE_LINK8"/>
      <w:r>
        <w:rPr>
          <w:rFonts w:hint="eastAsia"/>
          <w:lang w:val="en-US" w:eastAsia="zh-CN"/>
        </w:rPr>
        <w:t>SS-RSSI Measurement BW</w:t>
      </w:r>
    </w:p>
    <w:bookmarkEnd w:id="6"/>
    <w:p w:rsidR="00FD6A78" w:rsidRDefault="00EE3590">
      <w:r>
        <w:rPr>
          <w:rFonts w:hint="eastAsia"/>
        </w:rPr>
        <w:t>In RAN1 #90b, we have the following agreement on RSRQ measurement.</w:t>
      </w:r>
    </w:p>
    <w:tbl>
      <w:tblPr>
        <w:tblStyle w:val="TableGrid"/>
        <w:tblW w:w="9242" w:type="dxa"/>
        <w:tblLayout w:type="fixed"/>
        <w:tblLook w:val="04A0" w:firstRow="1" w:lastRow="0" w:firstColumn="1" w:lastColumn="0" w:noHBand="0" w:noVBand="1"/>
      </w:tblPr>
      <w:tblGrid>
        <w:gridCol w:w="9242"/>
      </w:tblGrid>
      <w:tr w:rsidR="00FD6A78">
        <w:tc>
          <w:tcPr>
            <w:tcW w:w="9242" w:type="dxa"/>
          </w:tcPr>
          <w:p w:rsidR="00FD6A78" w:rsidRDefault="00EE3590">
            <w:pPr>
              <w:rPr>
                <w:szCs w:val="20"/>
              </w:rPr>
            </w:pPr>
            <w:bookmarkStart w:id="7" w:name="OLE_LINK3"/>
            <w:r>
              <w:rPr>
                <w:szCs w:val="20"/>
                <w:highlight w:val="green"/>
              </w:rPr>
              <w:t>Agreements</w:t>
            </w:r>
            <w:r>
              <w:rPr>
                <w:szCs w:val="20"/>
              </w:rPr>
              <w:t>:</w:t>
            </w:r>
          </w:p>
          <w:p w:rsidR="00FD6A78" w:rsidRDefault="00EE3590">
            <w:pPr>
              <w:pStyle w:val="Style1"/>
              <w:numPr>
                <w:ilvl w:val="0"/>
                <w:numId w:val="14"/>
              </w:numPr>
              <w:spacing w:after="180"/>
              <w:ind w:leftChars="0"/>
              <w:rPr>
                <w:szCs w:val="20"/>
                <w:lang w:eastAsia="ko-KR"/>
              </w:rPr>
            </w:pPr>
            <w:r>
              <w:rPr>
                <w:szCs w:val="20"/>
                <w:lang w:eastAsia="ko-KR"/>
              </w:rPr>
              <w:t xml:space="preserve">CSI reference signal received quality (CSI-RSRQ) is defined as the ratio </w:t>
            </w:r>
            <w:r>
              <w:rPr>
                <w:szCs w:val="20"/>
                <w:lang w:eastAsia="ko-KR"/>
              </w:rPr>
              <w:t>(N×CSI-RSRP)/ CSI-RSSI, where N is the number of resource blocks in the CSI-RSSI measurement bandwidth. The measurements in the numerator and denominator are made over the same set of resource blocks.</w:t>
            </w:r>
          </w:p>
          <w:p w:rsidR="00FD6A78" w:rsidRDefault="00EE3590">
            <w:pPr>
              <w:pStyle w:val="Style1"/>
              <w:numPr>
                <w:ilvl w:val="1"/>
                <w:numId w:val="14"/>
              </w:numPr>
              <w:spacing w:after="180"/>
              <w:ind w:leftChars="0"/>
              <w:rPr>
                <w:szCs w:val="20"/>
                <w:lang w:eastAsia="ko-KR"/>
              </w:rPr>
            </w:pPr>
            <w:r>
              <w:rPr>
                <w:szCs w:val="20"/>
                <w:lang w:eastAsia="ko-KR"/>
              </w:rPr>
              <w:t>FFS: Additional support of the following. The measureme</w:t>
            </w:r>
            <w:r>
              <w:rPr>
                <w:szCs w:val="20"/>
                <w:lang w:eastAsia="ko-KR"/>
              </w:rPr>
              <w:t xml:space="preserve">nts in the </w:t>
            </w:r>
            <w:bookmarkStart w:id="8" w:name="OLE_LINK1"/>
            <w:r>
              <w:rPr>
                <w:szCs w:val="20"/>
                <w:lang w:eastAsia="ko-KR"/>
              </w:rPr>
              <w:t xml:space="preserve">numerator </w:t>
            </w:r>
            <w:bookmarkEnd w:id="8"/>
            <w:r>
              <w:rPr>
                <w:szCs w:val="20"/>
                <w:lang w:eastAsia="ko-KR"/>
              </w:rPr>
              <w:t xml:space="preserve">and </w:t>
            </w:r>
            <w:bookmarkStart w:id="9" w:name="OLE_LINK2"/>
            <w:r>
              <w:rPr>
                <w:szCs w:val="20"/>
                <w:lang w:eastAsia="ko-KR"/>
              </w:rPr>
              <w:t xml:space="preserve">denominator </w:t>
            </w:r>
            <w:bookmarkEnd w:id="9"/>
            <w:r>
              <w:rPr>
                <w:szCs w:val="20"/>
                <w:lang w:eastAsia="ko-KR"/>
              </w:rPr>
              <w:lastRenderedPageBreak/>
              <w:t>can be made over potentially different sets of resource blocks. In other words, the CSI-RSSI measurement BW can be differently configured from the CSI-RS measurement BW.</w:t>
            </w:r>
          </w:p>
          <w:p w:rsidR="00FD6A78" w:rsidRDefault="00EE3590">
            <w:pPr>
              <w:rPr>
                <w:szCs w:val="20"/>
              </w:rPr>
            </w:pPr>
            <w:r>
              <w:rPr>
                <w:szCs w:val="20"/>
                <w:highlight w:val="green"/>
              </w:rPr>
              <w:t>Agreements</w:t>
            </w:r>
            <w:r>
              <w:rPr>
                <w:szCs w:val="20"/>
              </w:rPr>
              <w:t>:</w:t>
            </w:r>
          </w:p>
          <w:p w:rsidR="00FD6A78" w:rsidRDefault="00EE3590">
            <w:pPr>
              <w:pStyle w:val="Style1"/>
              <w:numPr>
                <w:ilvl w:val="0"/>
                <w:numId w:val="15"/>
              </w:numPr>
              <w:spacing w:after="180"/>
              <w:ind w:leftChars="0"/>
              <w:rPr>
                <w:szCs w:val="20"/>
              </w:rPr>
            </w:pPr>
            <w:r>
              <w:rPr>
                <w:szCs w:val="20"/>
                <w:lang w:eastAsia="ko-KR"/>
              </w:rPr>
              <w:t>Secondary synchronization signal refe</w:t>
            </w:r>
            <w:r>
              <w:rPr>
                <w:szCs w:val="20"/>
                <w:lang w:eastAsia="ko-KR"/>
              </w:rPr>
              <w:t>rence signal received quality (SS-RSRQ)</w:t>
            </w:r>
            <w:r>
              <w:rPr>
                <w:szCs w:val="20"/>
              </w:rPr>
              <w:t xml:space="preserve"> is defined as the ratio N×(SS block RSRP)/(NR carrier RSSI), where N is the number of RB’s of the NR carrier RSSI measurement bandwidth. The measurements in the numerator and denominator are made over the same set of</w:t>
            </w:r>
            <w:r>
              <w:rPr>
                <w:szCs w:val="20"/>
              </w:rPr>
              <w:t xml:space="preserve"> resource blocks.</w:t>
            </w:r>
          </w:p>
          <w:p w:rsidR="00FD6A78" w:rsidRDefault="00EE3590">
            <w:pPr>
              <w:pStyle w:val="Style1"/>
              <w:numPr>
                <w:ilvl w:val="1"/>
                <w:numId w:val="15"/>
              </w:numPr>
              <w:spacing w:after="180"/>
              <w:ind w:leftChars="0"/>
              <w:rPr>
                <w:szCs w:val="20"/>
              </w:rPr>
            </w:pPr>
            <w:r>
              <w:rPr>
                <w:szCs w:val="20"/>
              </w:rPr>
              <w:t>FFS The measurements in the numerator and denominator can be made over potentially different sets of resource blocks. In other words, the SS-RSSI measurement BW can be differently configured from the SS measurement BW.</w:t>
            </w:r>
          </w:p>
        </w:tc>
      </w:tr>
    </w:tbl>
    <w:bookmarkEnd w:id="7"/>
    <w:p w:rsidR="00FD6A78" w:rsidRDefault="00EE3590">
      <w:pPr>
        <w:spacing w:before="240"/>
        <w:jc w:val="both"/>
      </w:pPr>
      <w:r>
        <w:rPr>
          <w:rFonts w:hint="eastAsia"/>
        </w:rPr>
        <w:lastRenderedPageBreak/>
        <w:t>Unlike CSI-RS with</w:t>
      </w:r>
      <w:r>
        <w:rPr>
          <w:rFonts w:hint="eastAsia"/>
        </w:rPr>
        <w:t xml:space="preserve"> flexible BW, the bandwidth of SS block is only 20 PRBs. In RAN #90, it is concluded that multiple SSB based RRM measurement for a WB carrier is not supported in R15. It seems the bandwidth of SSB is not sufficient to reflect the carrier load well, especia</w:t>
      </w:r>
      <w:r>
        <w:rPr>
          <w:rFonts w:hint="eastAsia"/>
        </w:rPr>
        <w:t xml:space="preserve">lly when the bandwidth of carrier is large. Therefore, </w:t>
      </w:r>
      <w:r w:rsidR="00A26629">
        <w:t xml:space="preserve">it would be beneficial if </w:t>
      </w:r>
      <w:r>
        <w:rPr>
          <w:rFonts w:hint="eastAsia"/>
        </w:rPr>
        <w:t>SS-RSSI measurement BW c</w:t>
      </w:r>
      <w:r w:rsidR="00A26629">
        <w:t>ould</w:t>
      </w:r>
      <w:r>
        <w:rPr>
          <w:rFonts w:hint="eastAsia"/>
        </w:rPr>
        <w:t xml:space="preserve"> be </w:t>
      </w:r>
      <w:r>
        <w:t>larger than</w:t>
      </w:r>
      <w:r>
        <w:rPr>
          <w:rFonts w:hint="eastAsia"/>
        </w:rPr>
        <w:t xml:space="preserve"> the SS</w:t>
      </w:r>
      <w:r w:rsidR="00A26629">
        <w:t>-RSRP</w:t>
      </w:r>
      <w:r>
        <w:rPr>
          <w:rFonts w:hint="eastAsia"/>
        </w:rPr>
        <w:t xml:space="preserve"> measurement BW. On the other hand, SS-RSSI measurement BW should not </w:t>
      </w:r>
      <w:bookmarkStart w:id="10" w:name="OLE_LINK6"/>
      <w:r>
        <w:rPr>
          <w:rFonts w:hint="eastAsia"/>
        </w:rPr>
        <w:t xml:space="preserve">exceed </w:t>
      </w:r>
      <w:bookmarkEnd w:id="10"/>
      <w:r>
        <w:rPr>
          <w:rFonts w:hint="eastAsia"/>
        </w:rPr>
        <w:t>the carrier BW due to the fact that the BW out of carrier cannot reflect the</w:t>
      </w:r>
      <w:r>
        <w:rPr>
          <w:rFonts w:hint="eastAsia"/>
        </w:rPr>
        <w:t xml:space="preserve"> cell load.</w:t>
      </w:r>
      <w:r w:rsidRPr="00C76F1A">
        <w:rPr>
          <w:rFonts w:hint="eastAsia"/>
          <w:szCs w:val="20"/>
        </w:rPr>
        <w:t xml:space="preserve"> </w:t>
      </w:r>
      <w:r w:rsidRPr="00C76F1A">
        <w:rPr>
          <w:rStyle w:val="CommentReference"/>
          <w:rFonts w:hint="eastAsia"/>
          <w:sz w:val="20"/>
          <w:szCs w:val="20"/>
        </w:rPr>
        <w:t>For connected UE</w:t>
      </w:r>
      <w:r w:rsidR="00C76F1A">
        <w:rPr>
          <w:rStyle w:val="CommentReference"/>
          <w:sz w:val="20"/>
          <w:szCs w:val="20"/>
        </w:rPr>
        <w:t>s</w:t>
      </w:r>
      <w:r w:rsidRPr="00C76F1A">
        <w:rPr>
          <w:rStyle w:val="CommentReference"/>
          <w:rFonts w:hint="eastAsia"/>
          <w:sz w:val="20"/>
          <w:szCs w:val="20"/>
        </w:rPr>
        <w:t xml:space="preserve">, </w:t>
      </w:r>
      <w:r w:rsidRPr="00C76F1A">
        <w:rPr>
          <w:rStyle w:val="CommentReference"/>
          <w:rFonts w:hint="eastAsia"/>
          <w:sz w:val="20"/>
          <w:szCs w:val="20"/>
        </w:rPr>
        <w:t>CSI-</w:t>
      </w:r>
      <w:r>
        <w:rPr>
          <w:rStyle w:val="CommentReference"/>
          <w:rFonts w:hint="eastAsia"/>
        </w:rPr>
        <w:t>RS bandwidth may be</w:t>
      </w:r>
      <w:r>
        <w:rPr>
          <w:rStyle w:val="CommentReference"/>
          <w:rFonts w:hint="eastAsia"/>
        </w:rPr>
        <w:t xml:space="preserve"> indicated in MO. </w:t>
      </w:r>
      <w:r>
        <w:rPr>
          <w:rStyle w:val="CommentReference"/>
          <w:rFonts w:hint="eastAsia"/>
        </w:rPr>
        <w:t>Besides, UE</w:t>
      </w:r>
      <w:r w:rsidR="00C76F1A">
        <w:rPr>
          <w:rStyle w:val="CommentReference"/>
        </w:rPr>
        <w:t>s</w:t>
      </w:r>
      <w:r>
        <w:rPr>
          <w:rStyle w:val="CommentReference"/>
          <w:rFonts w:hint="eastAsia"/>
        </w:rPr>
        <w:t xml:space="preserve"> can </w:t>
      </w:r>
      <w:r w:rsidR="00C76F1A">
        <w:rPr>
          <w:rStyle w:val="CommentReference"/>
        </w:rPr>
        <w:t xml:space="preserve">sometimes </w:t>
      </w:r>
      <w:r>
        <w:rPr>
          <w:rStyle w:val="CommentReference"/>
          <w:rFonts w:hint="eastAsia"/>
        </w:rPr>
        <w:t xml:space="preserve">acquire initial active BWP which is equal to bandwidth of CORESET for RMSI from PBCH because </w:t>
      </w:r>
      <w:r w:rsidR="00C76F1A">
        <w:rPr>
          <w:rStyle w:val="CommentReference"/>
        </w:rPr>
        <w:t>a</w:t>
      </w:r>
      <w:r>
        <w:rPr>
          <w:rStyle w:val="CommentReference"/>
          <w:rFonts w:hint="eastAsia"/>
        </w:rPr>
        <w:t xml:space="preserve"> UE </w:t>
      </w:r>
      <w:r w:rsidR="00C76F1A">
        <w:rPr>
          <w:rStyle w:val="CommentReference"/>
        </w:rPr>
        <w:t xml:space="preserve">may </w:t>
      </w:r>
      <w:r>
        <w:rPr>
          <w:rStyle w:val="CommentReference"/>
          <w:rFonts w:hint="eastAsia"/>
        </w:rPr>
        <w:t>need</w:t>
      </w:r>
      <w:r>
        <w:rPr>
          <w:rStyle w:val="CommentReference"/>
          <w:rFonts w:hint="eastAsia"/>
        </w:rPr>
        <w:t xml:space="preserve"> to read PBCH to obtain SSB index</w:t>
      </w:r>
      <w:r w:rsidR="00C76F1A">
        <w:rPr>
          <w:rStyle w:val="CommentReference"/>
        </w:rPr>
        <w:t xml:space="preserve"> or for other purposes</w:t>
      </w:r>
      <w:r>
        <w:rPr>
          <w:rStyle w:val="CommentReference"/>
          <w:rFonts w:hint="eastAsia"/>
        </w:rPr>
        <w:t xml:space="preserve">. </w:t>
      </w:r>
      <w:r>
        <w:rPr>
          <w:rStyle w:val="CommentReference"/>
          <w:rFonts w:hint="eastAsia"/>
        </w:rPr>
        <w:t xml:space="preserve">In this case, </w:t>
      </w:r>
      <w:r>
        <w:rPr>
          <w:rStyle w:val="CommentReference"/>
          <w:rFonts w:hint="eastAsia"/>
        </w:rPr>
        <w:t>the maxim</w:t>
      </w:r>
      <w:r>
        <w:rPr>
          <w:rStyle w:val="CommentReference"/>
          <w:rFonts w:hint="eastAsia"/>
        </w:rPr>
        <w:t xml:space="preserve">um available </w:t>
      </w:r>
      <w:r w:rsidR="00C76F1A">
        <w:rPr>
          <w:rStyle w:val="CommentReference"/>
        </w:rPr>
        <w:t xml:space="preserve">RSSI </w:t>
      </w:r>
      <w:r>
        <w:rPr>
          <w:rStyle w:val="CommentReference"/>
          <w:rFonts w:hint="eastAsia"/>
        </w:rPr>
        <w:t xml:space="preserve">measurement BW </w:t>
      </w:r>
      <w:r w:rsidR="00C76F1A">
        <w:rPr>
          <w:rStyle w:val="CommentReference"/>
        </w:rPr>
        <w:t xml:space="preserve">could </w:t>
      </w:r>
      <w:r>
        <w:rPr>
          <w:rStyle w:val="CommentReference"/>
          <w:rFonts w:hint="eastAsia"/>
        </w:rPr>
        <w:t>include</w:t>
      </w:r>
      <w:r>
        <w:rPr>
          <w:rStyle w:val="CommentReference"/>
          <w:rFonts w:hint="eastAsia"/>
        </w:rPr>
        <w:t xml:space="preserve"> SSB bandwidth, initial active BWP, CSI-RS bandwidth if it is configured in MO, and the bandwidth </w:t>
      </w:r>
      <w:r w:rsidR="00C76F1A">
        <w:rPr>
          <w:rStyle w:val="CommentReference"/>
        </w:rPr>
        <w:t>between</w:t>
      </w:r>
      <w:r>
        <w:rPr>
          <w:rStyle w:val="CommentReference"/>
          <w:rFonts w:hint="eastAsia"/>
        </w:rPr>
        <w:t xml:space="preserve"> them</w:t>
      </w:r>
      <w:r>
        <w:rPr>
          <w:rStyle w:val="CommentReference"/>
          <w:rFonts w:hint="eastAsia"/>
        </w:rPr>
        <w:t xml:space="preserve">. </w:t>
      </w:r>
      <w:r w:rsidR="00C76F1A">
        <w:rPr>
          <w:rStyle w:val="CommentReference"/>
        </w:rPr>
        <w:t>For an IDLE UE, t</w:t>
      </w:r>
      <w:r>
        <w:rPr>
          <w:rStyle w:val="CommentReference"/>
          <w:rFonts w:hint="eastAsia"/>
        </w:rPr>
        <w:t>he</w:t>
      </w:r>
      <w:r>
        <w:rPr>
          <w:rStyle w:val="CommentReference"/>
          <w:rFonts w:hint="eastAsia"/>
        </w:rPr>
        <w:t xml:space="preserve"> initial active </w:t>
      </w:r>
      <w:r w:rsidR="00C76F1A">
        <w:rPr>
          <w:rStyle w:val="CommentReference"/>
        </w:rPr>
        <w:t xml:space="preserve">DL </w:t>
      </w:r>
      <w:r>
        <w:rPr>
          <w:rStyle w:val="CommentReference"/>
          <w:rFonts w:hint="eastAsia"/>
        </w:rPr>
        <w:t>bandwidth</w:t>
      </w:r>
      <w:r w:rsidR="00C76F1A">
        <w:rPr>
          <w:rStyle w:val="CommentReference"/>
        </w:rPr>
        <w:t xml:space="preserve"> part</w:t>
      </w:r>
      <w:r>
        <w:rPr>
          <w:rStyle w:val="CommentReference"/>
          <w:rFonts w:hint="eastAsia"/>
        </w:rPr>
        <w:t xml:space="preserve"> can be use</w:t>
      </w:r>
      <w:r w:rsidR="00C76F1A">
        <w:rPr>
          <w:rStyle w:val="CommentReference"/>
          <w:rFonts w:hint="eastAsia"/>
        </w:rPr>
        <w:t>d for RSSI measurement only if</w:t>
      </w:r>
      <w:r>
        <w:rPr>
          <w:rStyle w:val="CommentReference"/>
          <w:rFonts w:hint="eastAsia"/>
        </w:rPr>
        <w:t xml:space="preserve"> UE has acquired information of initial active </w:t>
      </w:r>
      <w:r w:rsidR="00C76F1A">
        <w:rPr>
          <w:rStyle w:val="CommentReference"/>
        </w:rPr>
        <w:t xml:space="preserve">DL </w:t>
      </w:r>
      <w:r>
        <w:rPr>
          <w:rStyle w:val="CommentReference"/>
          <w:rFonts w:hint="eastAsia"/>
        </w:rPr>
        <w:t>BWP by reading PBCH. However, it is UE implementation that whether IDLE UE read PBCH when performing RRM measureme</w:t>
      </w:r>
      <w:r>
        <w:rPr>
          <w:rStyle w:val="CommentReference"/>
          <w:rFonts w:hint="eastAsia"/>
        </w:rPr>
        <w:t xml:space="preserve">nt. Meanwhile, considering more loose requirement for IDLE UE, it is suggested that at most IDLE UE can measure the same bandwidth as RSRP. </w:t>
      </w:r>
    </w:p>
    <w:p w:rsidR="00FD6A78" w:rsidRDefault="00EE3590">
      <w:pPr>
        <w:spacing w:before="240"/>
        <w:jc w:val="both"/>
        <w:rPr>
          <w:b/>
          <w:i/>
        </w:rPr>
      </w:pPr>
      <w:bookmarkStart w:id="11" w:name="OLE_LINK13"/>
      <w:r>
        <w:rPr>
          <w:b/>
          <w:i/>
        </w:rPr>
        <w:t>Proposal</w:t>
      </w:r>
      <w:r>
        <w:rPr>
          <w:rFonts w:hint="eastAsia"/>
          <w:b/>
          <w:i/>
        </w:rPr>
        <w:t xml:space="preserve"> 3: Connected UE </w:t>
      </w:r>
      <w:r w:rsidR="00C76F1A">
        <w:rPr>
          <w:b/>
          <w:i/>
        </w:rPr>
        <w:t>may</w:t>
      </w:r>
      <w:r>
        <w:rPr>
          <w:rFonts w:hint="eastAsia"/>
          <w:b/>
          <w:i/>
        </w:rPr>
        <w:t xml:space="preserve"> </w:t>
      </w:r>
      <w:r w:rsidR="00C76F1A">
        <w:rPr>
          <w:b/>
          <w:i/>
        </w:rPr>
        <w:t>use</w:t>
      </w:r>
      <w:r>
        <w:rPr>
          <w:rFonts w:hint="eastAsia"/>
          <w:b/>
          <w:i/>
        </w:rPr>
        <w:t xml:space="preserve"> larger RSSI measurement BW than </w:t>
      </w:r>
      <w:r w:rsidR="00C76F1A">
        <w:rPr>
          <w:b/>
          <w:i/>
        </w:rPr>
        <w:t xml:space="preserve">for </w:t>
      </w:r>
      <w:r>
        <w:rPr>
          <w:rFonts w:hint="eastAsia"/>
          <w:b/>
          <w:i/>
        </w:rPr>
        <w:t xml:space="preserve">RSRP and the maximum available measurement BW </w:t>
      </w:r>
      <w:r>
        <w:rPr>
          <w:rFonts w:hint="eastAsia"/>
          <w:b/>
          <w:i/>
        </w:rPr>
        <w:t xml:space="preserve">includes SSB bandwidth, initial active BWP, CSI-RS bandwidth if it is configured in MO, and the bandwidth </w:t>
      </w:r>
      <w:r w:rsidR="00C76F1A">
        <w:rPr>
          <w:b/>
          <w:i/>
        </w:rPr>
        <w:t>between</w:t>
      </w:r>
      <w:r>
        <w:rPr>
          <w:rFonts w:hint="eastAsia"/>
          <w:b/>
          <w:i/>
        </w:rPr>
        <w:t xml:space="preserve"> them</w:t>
      </w:r>
      <w:r>
        <w:rPr>
          <w:rFonts w:hint="eastAsia"/>
          <w:b/>
          <w:i/>
        </w:rPr>
        <w:t xml:space="preserve">. </w:t>
      </w:r>
      <w:r>
        <w:rPr>
          <w:rFonts w:hint="eastAsia"/>
          <w:b/>
          <w:i/>
        </w:rPr>
        <w:t xml:space="preserve">IDLE UE </w:t>
      </w:r>
      <w:r w:rsidR="00C76F1A">
        <w:rPr>
          <w:b/>
          <w:i/>
        </w:rPr>
        <w:t>uses</w:t>
      </w:r>
      <w:r>
        <w:rPr>
          <w:rFonts w:hint="eastAsia"/>
          <w:b/>
          <w:i/>
        </w:rPr>
        <w:t xml:space="preserve"> the same RSSI measurement BW as RSRP.</w:t>
      </w:r>
    </w:p>
    <w:bookmarkEnd w:id="11"/>
    <w:p w:rsidR="00FD6A78" w:rsidRDefault="00EE3590">
      <w:pPr>
        <w:adjustRightInd/>
        <w:snapToGrid w:val="0"/>
        <w:spacing w:after="120"/>
        <w:jc w:val="both"/>
        <w:rPr>
          <w:szCs w:val="20"/>
        </w:rPr>
      </w:pPr>
      <w:r>
        <w:rPr>
          <w:rFonts w:hint="eastAsia"/>
          <w:szCs w:val="20"/>
        </w:rPr>
        <w:t>-------------------------</w:t>
      </w:r>
      <w:r>
        <w:rPr>
          <w:rFonts w:eastAsia="SimSun" w:hint="eastAsia"/>
          <w:szCs w:val="20"/>
        </w:rPr>
        <w:t>-------------</w:t>
      </w:r>
      <w:r>
        <w:rPr>
          <w:rFonts w:hint="eastAsia"/>
          <w:szCs w:val="20"/>
        </w:rPr>
        <w:t xml:space="preserve">Text Proposal for Section </w:t>
      </w:r>
      <w:r>
        <w:rPr>
          <w:rFonts w:eastAsia="SimSun" w:hint="eastAsia"/>
          <w:szCs w:val="20"/>
        </w:rPr>
        <w:t>5.1.3</w:t>
      </w:r>
      <w:r>
        <w:rPr>
          <w:rFonts w:hint="eastAsia"/>
          <w:szCs w:val="20"/>
        </w:rPr>
        <w:t xml:space="preserve"> in TS38.215--------------------------</w:t>
      </w:r>
      <w:r>
        <w:rPr>
          <w:rFonts w:eastAsia="SimSun" w:hint="eastAsia"/>
          <w:szCs w:val="20"/>
        </w:rPr>
        <w:t>-------------</w:t>
      </w:r>
    </w:p>
    <w:tbl>
      <w:tblPr>
        <w:tblW w:w="9346"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46"/>
      </w:tblGrid>
      <w:tr w:rsidR="00FD6A78">
        <w:tc>
          <w:tcPr>
            <w:tcW w:w="9346" w:type="dxa"/>
          </w:tcPr>
          <w:p w:rsidR="00FD6A78" w:rsidRDefault="00EE3590">
            <w:bookmarkStart w:id="12" w:name="_Toc492373195"/>
            <w:bookmarkStart w:id="13" w:name="_Toc500871213"/>
            <w:r>
              <w:t>5.1.3</w:t>
            </w:r>
            <w:r>
              <w:tab/>
              <w:t>SS reference signal received quality (SS-RSRQ)</w:t>
            </w:r>
            <w:bookmarkEnd w:id="12"/>
            <w:bookmarkEnd w:id="13"/>
          </w:p>
          <w:tbl>
            <w:tblPr>
              <w:tblW w:w="7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83"/>
              <w:gridCol w:w="6317"/>
            </w:tblGrid>
            <w:tr w:rsidR="00FD6A78">
              <w:trPr>
                <w:cantSplit/>
              </w:trPr>
              <w:tc>
                <w:tcPr>
                  <w:tcW w:w="1583" w:type="dxa"/>
                </w:tcPr>
                <w:p w:rsidR="00FD6A78" w:rsidRDefault="00EE3590">
                  <w:pPr>
                    <w:rPr>
                      <w:b/>
                    </w:rPr>
                  </w:pPr>
                  <w:r>
                    <w:rPr>
                      <w:b/>
                    </w:rPr>
                    <w:lastRenderedPageBreak/>
                    <w:t>Definition</w:t>
                  </w:r>
                </w:p>
              </w:tc>
              <w:tc>
                <w:tcPr>
                  <w:tcW w:w="6317" w:type="dxa"/>
                </w:tcPr>
                <w:p w:rsidR="00FD6A78" w:rsidRDefault="00EE3590">
                  <w:r>
                    <w:rPr>
                      <w:rFonts w:hint="eastAsia"/>
                    </w:rPr>
                    <w:t>---omitted</w:t>
                  </w:r>
                </w:p>
              </w:tc>
            </w:tr>
            <w:tr w:rsidR="00FD6A78">
              <w:trPr>
                <w:cantSplit/>
              </w:trPr>
              <w:tc>
                <w:tcPr>
                  <w:tcW w:w="1583" w:type="dxa"/>
                </w:tcPr>
                <w:p w:rsidR="00FD6A78" w:rsidRDefault="00EE3590">
                  <w:pPr>
                    <w:rPr>
                      <w:b/>
                    </w:rPr>
                  </w:pPr>
                  <w:r>
                    <w:rPr>
                      <w:b/>
                    </w:rPr>
                    <w:t>Applicable for</w:t>
                  </w:r>
                </w:p>
              </w:tc>
              <w:tc>
                <w:tcPr>
                  <w:tcW w:w="6317" w:type="dxa"/>
                </w:tcPr>
                <w:p w:rsidR="00FD6A78" w:rsidRDefault="00EE3590">
                  <w:r>
                    <w:rPr>
                      <w:rFonts w:hint="eastAsia"/>
                    </w:rPr>
                    <w:t>---omitted</w:t>
                  </w:r>
                </w:p>
              </w:tc>
            </w:tr>
          </w:tbl>
          <w:p w:rsidR="00FD6A78" w:rsidRPr="00A83159" w:rsidRDefault="00EE3590">
            <w:pPr>
              <w:rPr>
                <w:color w:val="FF0000"/>
                <w:u w:val="single"/>
              </w:rPr>
            </w:pPr>
            <w:r w:rsidRPr="00A83159">
              <w:rPr>
                <w:color w:val="FF0000"/>
                <w:u w:val="single"/>
              </w:rPr>
              <w:t>NOTE 1:</w:t>
            </w:r>
            <w:r w:rsidRPr="00A83159">
              <w:rPr>
                <w:rFonts w:hint="eastAsia"/>
                <w:color w:val="FF0000"/>
                <w:u w:val="single"/>
              </w:rPr>
              <w:t xml:space="preserve"> </w:t>
            </w:r>
            <w:r w:rsidR="009C2CAB">
              <w:rPr>
                <w:color w:val="FF0000"/>
                <w:u w:val="single"/>
              </w:rPr>
              <w:t>A c</w:t>
            </w:r>
            <w:r w:rsidRPr="00A83159">
              <w:rPr>
                <w:rFonts w:hint="eastAsia"/>
                <w:color w:val="FF0000"/>
                <w:u w:val="single"/>
              </w:rPr>
              <w:t xml:space="preserve">onnected </w:t>
            </w:r>
            <w:r w:rsidRPr="00A83159">
              <w:rPr>
                <w:rFonts w:hint="eastAsia"/>
                <w:color w:val="FF0000"/>
                <w:u w:val="single"/>
              </w:rPr>
              <w:t xml:space="preserve">UE </w:t>
            </w:r>
            <w:r w:rsidR="009C2CAB">
              <w:rPr>
                <w:color w:val="FF0000"/>
                <w:u w:val="single"/>
              </w:rPr>
              <w:t>may</w:t>
            </w:r>
            <w:r w:rsidRPr="00A83159">
              <w:rPr>
                <w:rFonts w:hint="eastAsia"/>
                <w:color w:val="FF0000"/>
                <w:u w:val="single"/>
              </w:rPr>
              <w:t xml:space="preserve"> </w:t>
            </w:r>
            <w:r w:rsidR="009C2CAB">
              <w:rPr>
                <w:color w:val="FF0000"/>
                <w:u w:val="single"/>
              </w:rPr>
              <w:t>use</w:t>
            </w:r>
            <w:r w:rsidRPr="00A83159">
              <w:rPr>
                <w:rFonts w:hint="eastAsia"/>
                <w:color w:val="FF0000"/>
                <w:u w:val="single"/>
              </w:rPr>
              <w:t xml:space="preserve"> larger RSSI measurement </w:t>
            </w:r>
            <w:r w:rsidRPr="00A83159">
              <w:rPr>
                <w:rFonts w:hint="eastAsia"/>
                <w:color w:val="FF0000"/>
                <w:u w:val="single"/>
              </w:rPr>
              <w:t xml:space="preserve">BW than </w:t>
            </w:r>
            <w:r w:rsidR="009C2CAB">
              <w:rPr>
                <w:color w:val="FF0000"/>
                <w:u w:val="single"/>
              </w:rPr>
              <w:t xml:space="preserve">for </w:t>
            </w:r>
            <w:r w:rsidRPr="00A83159">
              <w:rPr>
                <w:rFonts w:hint="eastAsia"/>
                <w:color w:val="FF0000"/>
                <w:u w:val="single"/>
              </w:rPr>
              <w:t xml:space="preserve">RSRP </w:t>
            </w:r>
            <w:r w:rsidRPr="00A83159">
              <w:rPr>
                <w:rFonts w:hint="eastAsia"/>
                <w:color w:val="FF0000"/>
                <w:u w:val="single"/>
              </w:rPr>
              <w:t xml:space="preserve">with the limitation that </w:t>
            </w:r>
            <w:r w:rsidR="009C2CAB">
              <w:rPr>
                <w:color w:val="FF0000"/>
                <w:u w:val="single"/>
              </w:rPr>
              <w:t>is does not exceed the bandwidth spanned by</w:t>
            </w:r>
            <w:r w:rsidR="009C2CAB">
              <w:rPr>
                <w:rFonts w:hint="eastAsia"/>
                <w:color w:val="FF0000"/>
                <w:u w:val="single"/>
              </w:rPr>
              <w:t xml:space="preserve"> SSB</w:t>
            </w:r>
            <w:r w:rsidRPr="00A83159">
              <w:rPr>
                <w:rFonts w:hint="eastAsia"/>
                <w:color w:val="FF0000"/>
                <w:u w:val="single"/>
              </w:rPr>
              <w:t>, initial active BWP</w:t>
            </w:r>
            <w:r w:rsidR="009C2CAB">
              <w:rPr>
                <w:color w:val="FF0000"/>
                <w:u w:val="single"/>
              </w:rPr>
              <w:t xml:space="preserve"> and</w:t>
            </w:r>
            <w:r w:rsidRPr="00A83159">
              <w:rPr>
                <w:rFonts w:hint="eastAsia"/>
                <w:color w:val="FF0000"/>
                <w:u w:val="single"/>
              </w:rPr>
              <w:t xml:space="preserve"> CSI-RS </w:t>
            </w:r>
            <w:r w:rsidRPr="00A83159">
              <w:rPr>
                <w:rFonts w:hint="eastAsia"/>
                <w:color w:val="FF0000"/>
                <w:u w:val="single"/>
              </w:rPr>
              <w:t xml:space="preserve">if it is configured in </w:t>
            </w:r>
            <w:r w:rsidR="009C2CAB">
              <w:rPr>
                <w:color w:val="FF0000"/>
                <w:u w:val="single"/>
              </w:rPr>
              <w:t xml:space="preserve">the </w:t>
            </w:r>
            <w:r w:rsidRPr="00A83159">
              <w:rPr>
                <w:rFonts w:hint="eastAsia"/>
                <w:color w:val="FF0000"/>
                <w:u w:val="single"/>
              </w:rPr>
              <w:t xml:space="preserve">measurement </w:t>
            </w:r>
            <w:r w:rsidRPr="00A83159">
              <w:rPr>
                <w:rFonts w:hint="eastAsia"/>
                <w:color w:val="FF0000"/>
                <w:u w:val="single"/>
              </w:rPr>
              <w:t xml:space="preserve">object, and the bandwidth </w:t>
            </w:r>
            <w:r w:rsidR="009C2CAB">
              <w:rPr>
                <w:color w:val="FF0000"/>
                <w:u w:val="single"/>
              </w:rPr>
              <w:t>between</w:t>
            </w:r>
            <w:r w:rsidRPr="00A83159">
              <w:rPr>
                <w:rFonts w:hint="eastAsia"/>
                <w:color w:val="FF0000"/>
                <w:u w:val="single"/>
              </w:rPr>
              <w:t xml:space="preserve"> them.</w:t>
            </w:r>
          </w:p>
          <w:p w:rsidR="00FD6A78" w:rsidRDefault="00EE3590" w:rsidP="004262D3">
            <w:r w:rsidRPr="00A83159">
              <w:rPr>
                <w:rFonts w:hint="eastAsia"/>
                <w:color w:val="FF0000"/>
                <w:u w:val="single"/>
              </w:rPr>
              <w:t xml:space="preserve">NOTE 2: </w:t>
            </w:r>
            <w:r w:rsidRPr="00A83159">
              <w:rPr>
                <w:rFonts w:hint="eastAsia"/>
                <w:color w:val="FF0000"/>
                <w:u w:val="single"/>
              </w:rPr>
              <w:t xml:space="preserve">The number of resource elements within the measurement </w:t>
            </w:r>
            <w:r w:rsidRPr="00A83159">
              <w:rPr>
                <w:rFonts w:hint="eastAsia"/>
                <w:color w:val="FF0000"/>
                <w:u w:val="single"/>
              </w:rPr>
              <w:t>pe</w:t>
            </w:r>
            <w:r w:rsidRPr="00A83159">
              <w:rPr>
                <w:rFonts w:hint="eastAsia"/>
                <w:color w:val="FF0000"/>
                <w:u w:val="single"/>
              </w:rPr>
              <w:t xml:space="preserve">riod that are used by the UE to determine </w:t>
            </w:r>
            <w:r w:rsidR="004262D3">
              <w:rPr>
                <w:color w:val="FF0000"/>
                <w:u w:val="single"/>
              </w:rPr>
              <w:t>SS-</w:t>
            </w:r>
            <w:r w:rsidRPr="00A83159">
              <w:rPr>
                <w:rFonts w:hint="eastAsia"/>
                <w:color w:val="FF0000"/>
                <w:u w:val="single"/>
              </w:rPr>
              <w:t xml:space="preserve">RSSI is left up to the UE implementation with the limitation that corresponding measurement accuracy requirements </w:t>
            </w:r>
            <w:r w:rsidR="004262D3">
              <w:rPr>
                <w:color w:val="FF0000"/>
                <w:u w:val="single"/>
              </w:rPr>
              <w:t>have to be</w:t>
            </w:r>
            <w:r w:rsidRPr="00A83159">
              <w:rPr>
                <w:rFonts w:hint="eastAsia"/>
                <w:color w:val="FF0000"/>
                <w:u w:val="single"/>
              </w:rPr>
              <w:t xml:space="preserve"> </w:t>
            </w:r>
            <w:r w:rsidRPr="00A83159">
              <w:rPr>
                <w:rFonts w:hint="eastAsia"/>
                <w:color w:val="FF0000"/>
                <w:u w:val="single"/>
              </w:rPr>
              <w:t>fulfilled and the time resource can</w:t>
            </w:r>
            <w:r w:rsidRPr="00A83159">
              <w:rPr>
                <w:rFonts w:hint="eastAsia"/>
                <w:color w:val="FF0000"/>
                <w:u w:val="single"/>
              </w:rPr>
              <w:t xml:space="preserve">not exceed the </w:t>
            </w:r>
            <w:r w:rsidRPr="00A83159">
              <w:rPr>
                <w:rFonts w:hint="eastAsia"/>
                <w:color w:val="FF0000"/>
                <w:u w:val="single"/>
              </w:rPr>
              <w:t>configured or def</w:t>
            </w:r>
            <w:r w:rsidR="004262D3">
              <w:rPr>
                <w:color w:val="FF0000"/>
                <w:u w:val="single"/>
              </w:rPr>
              <w:t xml:space="preserve">ault </w:t>
            </w:r>
            <w:r w:rsidRPr="00A83159">
              <w:rPr>
                <w:rFonts w:hint="eastAsia"/>
                <w:color w:val="FF0000"/>
                <w:u w:val="single"/>
              </w:rPr>
              <w:t xml:space="preserve">time resource </w:t>
            </w:r>
            <w:r w:rsidRPr="00A83159">
              <w:rPr>
                <w:rFonts w:hint="eastAsia"/>
                <w:color w:val="FF0000"/>
                <w:u w:val="single"/>
              </w:rPr>
              <w:t>above and the frequency resource can</w:t>
            </w:r>
            <w:r w:rsidRPr="00A83159">
              <w:rPr>
                <w:rFonts w:hint="eastAsia"/>
                <w:color w:val="FF0000"/>
                <w:u w:val="single"/>
              </w:rPr>
              <w:t xml:space="preserve">not exceed </w:t>
            </w:r>
            <w:r w:rsidRPr="00A83159">
              <w:rPr>
                <w:rFonts w:hint="eastAsia"/>
                <w:color w:val="FF0000"/>
                <w:u w:val="single"/>
              </w:rPr>
              <w:t>the defined bandwidth above.</w:t>
            </w:r>
            <w:r>
              <w:rPr>
                <w:rFonts w:hint="eastAsia"/>
              </w:rPr>
              <w:t xml:space="preserve"> </w:t>
            </w:r>
          </w:p>
        </w:tc>
      </w:tr>
    </w:tbl>
    <w:p w:rsidR="00FD6A78" w:rsidRDefault="00EE3590">
      <w:pPr>
        <w:pStyle w:val="Heading2"/>
        <w:numPr>
          <w:ilvl w:val="0"/>
          <w:numId w:val="11"/>
        </w:numPr>
        <w:rPr>
          <w:lang w:eastAsia="zh-CN"/>
        </w:rPr>
      </w:pPr>
      <w:r>
        <w:rPr>
          <w:rFonts w:hint="eastAsia"/>
          <w:lang w:val="en-US" w:eastAsia="zh-CN"/>
        </w:rPr>
        <w:lastRenderedPageBreak/>
        <w:t>SSB frequency location in PScell</w:t>
      </w:r>
    </w:p>
    <w:p w:rsidR="00FD6A78" w:rsidRDefault="00EE3590">
      <w:r>
        <w:rPr>
          <w:rFonts w:hint="eastAsia"/>
        </w:rPr>
        <w:t>In RAN1 #92, we have following agreements on SSB frequency location.</w:t>
      </w:r>
    </w:p>
    <w:tbl>
      <w:tblPr>
        <w:tblStyle w:val="TableGrid"/>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42"/>
      </w:tblGrid>
      <w:tr w:rsidR="00FD6A78">
        <w:tc>
          <w:tcPr>
            <w:tcW w:w="9242" w:type="dxa"/>
          </w:tcPr>
          <w:p w:rsidR="00FD6A78" w:rsidRDefault="00EE3590" w:rsidP="00C83087">
            <w:pPr>
              <w:spacing w:after="0"/>
              <w:rPr>
                <w:szCs w:val="20"/>
              </w:rPr>
            </w:pPr>
            <w:r>
              <w:rPr>
                <w:szCs w:val="20"/>
                <w:highlight w:val="green"/>
              </w:rPr>
              <w:t>Agreements</w:t>
            </w:r>
            <w:r>
              <w:rPr>
                <w:szCs w:val="20"/>
              </w:rPr>
              <w:t>:</w:t>
            </w:r>
          </w:p>
          <w:p w:rsidR="00FD6A78" w:rsidRDefault="00EE3590" w:rsidP="00C83087">
            <w:pPr>
              <w:pStyle w:val="Style1"/>
              <w:numPr>
                <w:ilvl w:val="0"/>
                <w:numId w:val="16"/>
              </w:numPr>
              <w:spacing w:after="0"/>
              <w:ind w:leftChars="0"/>
              <w:rPr>
                <w:rFonts w:eastAsia="Times New Roman"/>
                <w:szCs w:val="20"/>
                <w:lang w:eastAsia="ko-KR"/>
              </w:rPr>
            </w:pPr>
            <w:r>
              <w:rPr>
                <w:rFonts w:eastAsia="Times New Roman"/>
                <w:szCs w:val="20"/>
                <w:lang w:eastAsia="ko-KR"/>
              </w:rPr>
              <w:t xml:space="preserve">For reception of cell defining SSB from the target PCell, </w:t>
            </w:r>
            <w:r>
              <w:rPr>
                <w:rFonts w:eastAsia="Times New Roman"/>
                <w:szCs w:val="20"/>
                <w:lang w:eastAsia="ko-KR"/>
              </w:rPr>
              <w:t>frequency offset is not required. NR only supports cell defining SSBs of PCell that are always on the synchronization signal raster.</w:t>
            </w:r>
          </w:p>
          <w:p w:rsidR="00FD6A78" w:rsidRDefault="00EE3590" w:rsidP="00C83087">
            <w:pPr>
              <w:pStyle w:val="Style1"/>
              <w:numPr>
                <w:ilvl w:val="0"/>
                <w:numId w:val="16"/>
              </w:numPr>
              <w:spacing w:after="0"/>
              <w:ind w:leftChars="0"/>
              <w:rPr>
                <w:rFonts w:eastAsia="Times New Roman"/>
                <w:szCs w:val="20"/>
                <w:lang w:eastAsia="ko-KR"/>
              </w:rPr>
            </w:pPr>
            <w:r>
              <w:rPr>
                <w:rFonts w:eastAsia="Times New Roman"/>
                <w:szCs w:val="20"/>
                <w:lang w:eastAsia="ko-KR"/>
              </w:rPr>
              <w:t>For reception of SSB for the target SCell, frequency offset signaling will be required for SSB not on the synchronization s</w:t>
            </w:r>
            <w:r>
              <w:rPr>
                <w:rFonts w:eastAsia="Times New Roman"/>
                <w:szCs w:val="20"/>
                <w:lang w:eastAsia="ko-KR"/>
              </w:rPr>
              <w:t>ignal raster.</w:t>
            </w:r>
          </w:p>
          <w:p w:rsidR="00FD6A78" w:rsidRPr="00C83087" w:rsidRDefault="00EE3590" w:rsidP="00C83087">
            <w:pPr>
              <w:pStyle w:val="Style1"/>
              <w:numPr>
                <w:ilvl w:val="0"/>
                <w:numId w:val="16"/>
              </w:numPr>
              <w:spacing w:after="0"/>
              <w:ind w:leftChars="0"/>
              <w:rPr>
                <w:rFonts w:eastAsia="Times New Roman"/>
                <w:szCs w:val="20"/>
                <w:lang w:eastAsia="ko-KR"/>
              </w:rPr>
            </w:pPr>
            <w:r>
              <w:rPr>
                <w:rFonts w:eastAsia="Times New Roman"/>
                <w:szCs w:val="20"/>
                <w:lang w:eastAsia="ko-KR"/>
              </w:rPr>
              <w:t>FFS the case of PScell</w:t>
            </w:r>
          </w:p>
        </w:tc>
      </w:tr>
    </w:tbl>
    <w:p w:rsidR="00FD6A78" w:rsidRDefault="00EE3590" w:rsidP="001E011E">
      <w:pPr>
        <w:spacing w:before="240"/>
      </w:pPr>
      <w:r>
        <w:rPr>
          <w:rFonts w:hint="eastAsia"/>
        </w:rPr>
        <w:t>For dual connectivity operation, PScell is the cell in which UE perform</w:t>
      </w:r>
      <w:r>
        <w:t>s</w:t>
      </w:r>
      <w:r>
        <w:rPr>
          <w:rFonts w:hint="eastAsia"/>
        </w:rPr>
        <w:t xml:space="preserve"> random access to acquire</w:t>
      </w:r>
      <w:r>
        <w:t xml:space="preserve"> UL</w:t>
      </w:r>
      <w:r>
        <w:rPr>
          <w:rFonts w:hint="eastAsia"/>
        </w:rPr>
        <w:t xml:space="preserve"> timing and frequency synchronization when performing the reconfiguration with sync procedure. So it is reasonable th</w:t>
      </w:r>
      <w:r>
        <w:rPr>
          <w:rFonts w:hint="eastAsia"/>
        </w:rPr>
        <w:t xml:space="preserve">at SSB at least </w:t>
      </w:r>
      <w:r>
        <w:t>c</w:t>
      </w:r>
      <w:r>
        <w:rPr>
          <w:rFonts w:hint="eastAsia"/>
        </w:rPr>
        <w:t>ould be on the sync raster in PScell. Furthermore, it should be allowed that the SSB can be off sync raster in PScell such that it is invisible to IDLE UE. This is useful in some case</w:t>
      </w:r>
      <w:r>
        <w:t>s</w:t>
      </w:r>
      <w:r>
        <w:rPr>
          <w:rFonts w:hint="eastAsia"/>
        </w:rPr>
        <w:t xml:space="preserve">, for example when </w:t>
      </w:r>
      <w:r>
        <w:t>an</w:t>
      </w:r>
      <w:r>
        <w:rPr>
          <w:rFonts w:hint="eastAsia"/>
        </w:rPr>
        <w:t xml:space="preserve"> EN-DC only NR cell and </w:t>
      </w:r>
      <w:r>
        <w:t xml:space="preserve">a </w:t>
      </w:r>
      <w:r>
        <w:rPr>
          <w:rFonts w:hint="eastAsia"/>
        </w:rPr>
        <w:t>SA enabl</w:t>
      </w:r>
      <w:r>
        <w:rPr>
          <w:rFonts w:hint="eastAsia"/>
        </w:rPr>
        <w:t xml:space="preserve">ed NR cell is deployed simultaneously on the same frequency. In general, </w:t>
      </w:r>
      <w:r>
        <w:t xml:space="preserve">a </w:t>
      </w:r>
      <w:r>
        <w:rPr>
          <w:rFonts w:hint="eastAsia"/>
        </w:rPr>
        <w:t>UE perform</w:t>
      </w:r>
      <w:r>
        <w:t>s</w:t>
      </w:r>
      <w:r>
        <w:rPr>
          <w:rFonts w:hint="eastAsia"/>
        </w:rPr>
        <w:t xml:space="preserve"> cell ranking operation </w:t>
      </w:r>
      <w:r>
        <w:t xml:space="preserve">first </w:t>
      </w:r>
      <w:r>
        <w:rPr>
          <w:rFonts w:hint="eastAsia"/>
        </w:rPr>
        <w:t>only based on the measurement result, then determine</w:t>
      </w:r>
      <w:r>
        <w:t>s</w:t>
      </w:r>
      <w:r>
        <w:rPr>
          <w:rFonts w:hint="eastAsia"/>
        </w:rPr>
        <w:t xml:space="preserve"> the target cell based on the ranking result and tr</w:t>
      </w:r>
      <w:r>
        <w:t>ies</w:t>
      </w:r>
      <w:r>
        <w:rPr>
          <w:rFonts w:hint="eastAsia"/>
        </w:rPr>
        <w:t xml:space="preserve"> to read system information on th</w:t>
      </w:r>
      <w:r>
        <w:rPr>
          <w:rFonts w:hint="eastAsia"/>
        </w:rPr>
        <w:t>e selected cell. For the IDLE UE, it cannot know the type of NR cell (i.e. EN-DC only cell or SA enabled cell) until the system information acquisition. If the selected cell is EN-DC only cell, the UE has to try the next candidate cell, which may lead to s</w:t>
      </w:r>
      <w:r>
        <w:rPr>
          <w:rFonts w:hint="eastAsia"/>
        </w:rPr>
        <w:t>ome issues on power consumption and paging missing. In this case, keeping SSB invisible to IDLE can handle this issue. Hence, we propose:</w:t>
      </w:r>
    </w:p>
    <w:p w:rsidR="00FD6A78" w:rsidRDefault="00EE3590">
      <w:pPr>
        <w:rPr>
          <w:b/>
          <w:i/>
        </w:rPr>
      </w:pPr>
      <w:r>
        <w:rPr>
          <w:rFonts w:hint="eastAsia"/>
          <w:b/>
          <w:i/>
        </w:rPr>
        <w:t>P</w:t>
      </w:r>
      <w:r>
        <w:rPr>
          <w:b/>
          <w:i/>
        </w:rPr>
        <w:t>roposal</w:t>
      </w:r>
      <w:r>
        <w:rPr>
          <w:rFonts w:hint="eastAsia"/>
          <w:b/>
          <w:i/>
        </w:rPr>
        <w:t xml:space="preserve"> </w:t>
      </w:r>
      <w:r>
        <w:rPr>
          <w:rFonts w:hint="eastAsia"/>
          <w:b/>
          <w:i/>
        </w:rPr>
        <w:t>4</w:t>
      </w:r>
      <w:r>
        <w:rPr>
          <w:rFonts w:hint="eastAsia"/>
          <w:b/>
          <w:i/>
        </w:rPr>
        <w:t xml:space="preserve">: </w:t>
      </w:r>
      <w:r w:rsidR="001E011E">
        <w:rPr>
          <w:b/>
          <w:i/>
        </w:rPr>
        <w:t>Include</w:t>
      </w:r>
      <w:r>
        <w:rPr>
          <w:rFonts w:hint="eastAsia"/>
          <w:b/>
          <w:i/>
        </w:rPr>
        <w:t xml:space="preserve"> the following </w:t>
      </w:r>
      <w:r w:rsidR="001E011E">
        <w:rPr>
          <w:b/>
          <w:i/>
        </w:rPr>
        <w:t xml:space="preserve">in an </w:t>
      </w:r>
      <w:r>
        <w:rPr>
          <w:rFonts w:hint="eastAsia"/>
          <w:b/>
          <w:i/>
        </w:rPr>
        <w:t>LS to RAN2.</w:t>
      </w:r>
    </w:p>
    <w:p w:rsidR="00FD6A78" w:rsidRDefault="00EE3590">
      <w:pPr>
        <w:numPr>
          <w:ilvl w:val="0"/>
          <w:numId w:val="17"/>
        </w:numPr>
      </w:pPr>
      <w:r>
        <w:rPr>
          <w:rFonts w:hint="eastAsia"/>
          <w:b/>
          <w:i/>
        </w:rPr>
        <w:lastRenderedPageBreak/>
        <w:t>For reception of cell defining SSB from the target PScell, frequency offset</w:t>
      </w:r>
      <w:r>
        <w:rPr>
          <w:rFonts w:hint="eastAsia"/>
          <w:b/>
          <w:i/>
        </w:rPr>
        <w:t xml:space="preserve"> is not required.</w:t>
      </w:r>
      <w:r>
        <w:rPr>
          <w:rStyle w:val="CommentReference"/>
          <w:rFonts w:hint="eastAsia"/>
        </w:rPr>
        <w:t xml:space="preserve"> </w:t>
      </w:r>
      <w:r>
        <w:rPr>
          <w:rFonts w:hint="eastAsia"/>
          <w:b/>
          <w:i/>
        </w:rPr>
        <w:t>N</w:t>
      </w:r>
      <w:r>
        <w:rPr>
          <w:rFonts w:hint="eastAsia"/>
          <w:b/>
          <w:i/>
        </w:rPr>
        <w:t>R only supports cell defining SSBs of PSCell that are always on the synchronization signal raster.</w:t>
      </w:r>
    </w:p>
    <w:p w:rsidR="00FD6A78" w:rsidRDefault="00EE3590">
      <w:pPr>
        <w:numPr>
          <w:ilvl w:val="0"/>
          <w:numId w:val="17"/>
        </w:numPr>
      </w:pPr>
      <w:r>
        <w:rPr>
          <w:rFonts w:hint="eastAsia"/>
          <w:b/>
          <w:i/>
        </w:rPr>
        <w:t xml:space="preserve">For reception of SSB for the target PScell, frequency offset signaling will be required for SSB not on the sync signal raster. </w:t>
      </w:r>
    </w:p>
    <w:p w:rsidR="00FD6A78" w:rsidRDefault="00EE3590">
      <w:pPr>
        <w:pStyle w:val="Heading2"/>
        <w:numPr>
          <w:ilvl w:val="0"/>
          <w:numId w:val="11"/>
        </w:numPr>
        <w:rPr>
          <w:lang w:eastAsia="zh-CN"/>
        </w:rPr>
      </w:pPr>
      <w:r>
        <w:rPr>
          <w:lang w:eastAsia="zh-CN"/>
        </w:rPr>
        <w:t>Conclusion</w:t>
      </w:r>
      <w:r>
        <w:rPr>
          <w:lang w:eastAsia="zh-CN"/>
        </w:rPr>
        <w:t>s</w:t>
      </w:r>
    </w:p>
    <w:p w:rsidR="00FD6A78" w:rsidRDefault="00EE3590">
      <w:pPr>
        <w:spacing w:after="240" w:line="240" w:lineRule="auto"/>
      </w:pPr>
      <w:r>
        <w:t>The following was proposed above:</w:t>
      </w:r>
    </w:p>
    <w:p w:rsidR="00FD6A78" w:rsidRDefault="00EE3590">
      <w:pPr>
        <w:spacing w:before="240" w:line="240" w:lineRule="auto"/>
        <w:jc w:val="both"/>
        <w:rPr>
          <w:b/>
          <w:i/>
        </w:rPr>
      </w:pPr>
      <w:bookmarkStart w:id="14" w:name="OLE_LINK11"/>
      <w:r>
        <w:rPr>
          <w:rFonts w:hint="eastAsia"/>
          <w:b/>
          <w:i/>
        </w:rPr>
        <w:t>P</w:t>
      </w:r>
      <w:r>
        <w:rPr>
          <w:b/>
          <w:i/>
        </w:rPr>
        <w:t>roposal</w:t>
      </w:r>
      <w:bookmarkEnd w:id="14"/>
      <w:r>
        <w:rPr>
          <w:b/>
          <w:i/>
        </w:rPr>
        <w:t xml:space="preserve"> </w:t>
      </w:r>
      <w:r>
        <w:rPr>
          <w:rFonts w:hint="eastAsia"/>
          <w:b/>
          <w:i/>
        </w:rPr>
        <w:t>1</w:t>
      </w:r>
      <w:r>
        <w:rPr>
          <w:b/>
          <w:i/>
        </w:rPr>
        <w:t>: The beams in a set of Rx beams selected for RRM measurement on a carrier should have similar maximum Rx beamforming gain.</w:t>
      </w:r>
    </w:p>
    <w:p w:rsidR="00FD6A78" w:rsidRDefault="00EE3590">
      <w:pPr>
        <w:spacing w:before="240" w:line="240" w:lineRule="auto"/>
        <w:jc w:val="both"/>
        <w:rPr>
          <w:b/>
          <w:i/>
        </w:rPr>
      </w:pPr>
      <w:r>
        <w:rPr>
          <w:b/>
          <w:i/>
        </w:rPr>
        <w:t xml:space="preserve">Proposal </w:t>
      </w:r>
      <w:r>
        <w:rPr>
          <w:rFonts w:hint="eastAsia"/>
          <w:b/>
          <w:i/>
        </w:rPr>
        <w:t>2</w:t>
      </w:r>
      <w:r>
        <w:rPr>
          <w:b/>
          <w:i/>
        </w:rPr>
        <w:t>: C-DRX UE should not assume the configured CSI-RS resources for L3 mobility</w:t>
      </w:r>
      <w:r>
        <w:rPr>
          <w:b/>
          <w:i/>
        </w:rPr>
        <w:t xml:space="preserve"> are present</w:t>
      </w:r>
      <w:r>
        <w:rPr>
          <w:rFonts w:hint="eastAsia"/>
          <w:b/>
          <w:i/>
        </w:rPr>
        <w:t>ed</w:t>
      </w:r>
      <w:r>
        <w:rPr>
          <w:b/>
          <w:i/>
        </w:rPr>
        <w:t xml:space="preserve"> outside the active time and CSI-RS for L3 mobility is configured only within C-DRX UE’s active time.</w:t>
      </w:r>
    </w:p>
    <w:p w:rsidR="00C76F1A" w:rsidRDefault="00C76F1A">
      <w:pPr>
        <w:rPr>
          <w:b/>
          <w:i/>
        </w:rPr>
      </w:pPr>
      <w:r>
        <w:rPr>
          <w:b/>
          <w:i/>
        </w:rPr>
        <w:t>Proposal</w:t>
      </w:r>
      <w:r>
        <w:rPr>
          <w:rFonts w:hint="eastAsia"/>
          <w:b/>
          <w:i/>
        </w:rPr>
        <w:t xml:space="preserve"> 3: Connected UE </w:t>
      </w:r>
      <w:r>
        <w:rPr>
          <w:b/>
          <w:i/>
        </w:rPr>
        <w:t>may</w:t>
      </w:r>
      <w:r>
        <w:rPr>
          <w:rFonts w:hint="eastAsia"/>
          <w:b/>
          <w:i/>
        </w:rPr>
        <w:t xml:space="preserve"> </w:t>
      </w:r>
      <w:r>
        <w:rPr>
          <w:b/>
          <w:i/>
        </w:rPr>
        <w:t>use</w:t>
      </w:r>
      <w:r>
        <w:rPr>
          <w:rFonts w:hint="eastAsia"/>
          <w:b/>
          <w:i/>
        </w:rPr>
        <w:t xml:space="preserve"> larger RSSI measurement BW than </w:t>
      </w:r>
      <w:r>
        <w:rPr>
          <w:b/>
          <w:i/>
        </w:rPr>
        <w:t xml:space="preserve">for </w:t>
      </w:r>
      <w:r>
        <w:rPr>
          <w:rFonts w:hint="eastAsia"/>
          <w:b/>
          <w:i/>
        </w:rPr>
        <w:t xml:space="preserve">RSRP and the maximum available measurement BW includes SSB bandwidth, initial active BWP, CSI-RS bandwidth if it is configured in MO, and the bandwidth </w:t>
      </w:r>
      <w:r>
        <w:rPr>
          <w:b/>
          <w:i/>
        </w:rPr>
        <w:t>between</w:t>
      </w:r>
      <w:r>
        <w:rPr>
          <w:rFonts w:hint="eastAsia"/>
          <w:b/>
          <w:i/>
        </w:rPr>
        <w:t xml:space="preserve"> them. IDLE UE </w:t>
      </w:r>
      <w:r>
        <w:rPr>
          <w:b/>
          <w:i/>
        </w:rPr>
        <w:t>uses</w:t>
      </w:r>
      <w:r>
        <w:rPr>
          <w:rFonts w:hint="eastAsia"/>
          <w:b/>
          <w:i/>
        </w:rPr>
        <w:t xml:space="preserve"> the same RSSI measurement BW as RSRP.</w:t>
      </w:r>
    </w:p>
    <w:p w:rsidR="001E011E" w:rsidRPr="001E011E" w:rsidRDefault="001E011E" w:rsidP="001E011E">
      <w:pPr>
        <w:rPr>
          <w:b/>
          <w:i/>
        </w:rPr>
      </w:pPr>
      <w:bookmarkStart w:id="15" w:name="_GoBack"/>
      <w:bookmarkEnd w:id="15"/>
      <w:r w:rsidRPr="001E011E">
        <w:rPr>
          <w:rFonts w:hint="eastAsia"/>
          <w:b/>
          <w:i/>
        </w:rPr>
        <w:t>P</w:t>
      </w:r>
      <w:r w:rsidRPr="001E011E">
        <w:rPr>
          <w:b/>
          <w:i/>
        </w:rPr>
        <w:t>roposal</w:t>
      </w:r>
      <w:r w:rsidRPr="001E011E">
        <w:rPr>
          <w:rFonts w:hint="eastAsia"/>
          <w:b/>
          <w:i/>
        </w:rPr>
        <w:t xml:space="preserve"> 4: </w:t>
      </w:r>
      <w:r w:rsidRPr="001E011E">
        <w:rPr>
          <w:b/>
          <w:i/>
        </w:rPr>
        <w:t>Include</w:t>
      </w:r>
      <w:r w:rsidRPr="001E011E">
        <w:rPr>
          <w:rFonts w:hint="eastAsia"/>
          <w:b/>
          <w:i/>
        </w:rPr>
        <w:t xml:space="preserve"> the following </w:t>
      </w:r>
      <w:r w:rsidRPr="001E011E">
        <w:rPr>
          <w:b/>
          <w:i/>
        </w:rPr>
        <w:t xml:space="preserve">in an </w:t>
      </w:r>
      <w:r w:rsidRPr="001E011E">
        <w:rPr>
          <w:rFonts w:hint="eastAsia"/>
          <w:b/>
          <w:i/>
        </w:rPr>
        <w:t>LS to RAN2.</w:t>
      </w:r>
    </w:p>
    <w:p w:rsidR="00FD6A78" w:rsidRDefault="00EE3590">
      <w:pPr>
        <w:numPr>
          <w:ilvl w:val="0"/>
          <w:numId w:val="17"/>
        </w:numPr>
      </w:pPr>
      <w:r>
        <w:rPr>
          <w:rFonts w:hint="eastAsia"/>
          <w:b/>
          <w:i/>
        </w:rPr>
        <w:t>F</w:t>
      </w:r>
      <w:r>
        <w:rPr>
          <w:rFonts w:hint="eastAsia"/>
          <w:b/>
          <w:i/>
        </w:rPr>
        <w:t xml:space="preserve">or reception of cell defining SSB from the target </w:t>
      </w:r>
      <w:r>
        <w:rPr>
          <w:rFonts w:hint="eastAsia"/>
          <w:b/>
          <w:i/>
        </w:rPr>
        <w:t>PScell, frequency offset is not required.</w:t>
      </w:r>
      <w:r>
        <w:rPr>
          <w:rStyle w:val="CommentReference"/>
          <w:rFonts w:hint="eastAsia"/>
        </w:rPr>
        <w:t xml:space="preserve"> </w:t>
      </w:r>
      <w:r>
        <w:rPr>
          <w:rFonts w:hint="eastAsia"/>
          <w:b/>
          <w:i/>
        </w:rPr>
        <w:t>N</w:t>
      </w:r>
      <w:r>
        <w:rPr>
          <w:rFonts w:hint="eastAsia"/>
          <w:b/>
          <w:i/>
        </w:rPr>
        <w:t>R only supports cell defining SSBs of PSCell that are always on the synchronization signal raster.</w:t>
      </w:r>
    </w:p>
    <w:p w:rsidR="00FD6A78" w:rsidRDefault="00EE3590">
      <w:pPr>
        <w:numPr>
          <w:ilvl w:val="0"/>
          <w:numId w:val="17"/>
        </w:numPr>
        <w:rPr>
          <w:b/>
          <w:i/>
        </w:rPr>
      </w:pPr>
      <w:r>
        <w:rPr>
          <w:rFonts w:hint="eastAsia"/>
          <w:b/>
          <w:i/>
        </w:rPr>
        <w:t>For reception of SSB for the target PScell, frequency offset signaling will be required for SSB not on the sync si</w:t>
      </w:r>
      <w:r>
        <w:rPr>
          <w:rFonts w:hint="eastAsia"/>
          <w:b/>
          <w:i/>
        </w:rPr>
        <w:t>gnal raster.</w:t>
      </w:r>
    </w:p>
    <w:p w:rsidR="00FD6A78" w:rsidRDefault="00EE3590">
      <w:pPr>
        <w:pStyle w:val="Heading2"/>
        <w:rPr>
          <w:b/>
        </w:rPr>
      </w:pPr>
      <w:r>
        <w:t>References</w:t>
      </w:r>
    </w:p>
    <w:p w:rsidR="00FD6A78" w:rsidRDefault="00EE3590">
      <w:pPr>
        <w:pStyle w:val="10"/>
        <w:numPr>
          <w:ilvl w:val="0"/>
          <w:numId w:val="18"/>
        </w:numPr>
        <w:ind w:left="426" w:firstLineChars="0"/>
        <w:jc w:val="both"/>
        <w:rPr>
          <w:iCs/>
          <w:szCs w:val="20"/>
        </w:rPr>
      </w:pPr>
      <w:bookmarkStart w:id="16" w:name="OLE_LINK14"/>
      <w:bookmarkStart w:id="17" w:name="_Ref485216537"/>
      <w:r>
        <w:rPr>
          <w:rFonts w:hint="eastAsia"/>
          <w:iCs/>
          <w:szCs w:val="20"/>
        </w:rPr>
        <w:t>Chairman</w:t>
      </w:r>
      <w:r>
        <w:rPr>
          <w:iCs/>
          <w:szCs w:val="20"/>
        </w:rPr>
        <w:t>’</w:t>
      </w:r>
      <w:r>
        <w:rPr>
          <w:rFonts w:hint="eastAsia"/>
          <w:iCs/>
          <w:szCs w:val="20"/>
        </w:rPr>
        <w:t>s notes RAN1#NR AH3, 2017-09</w:t>
      </w:r>
    </w:p>
    <w:p w:rsidR="00FD6A78" w:rsidRDefault="00EE3590">
      <w:pPr>
        <w:pStyle w:val="10"/>
        <w:numPr>
          <w:ilvl w:val="0"/>
          <w:numId w:val="18"/>
        </w:numPr>
        <w:ind w:left="426" w:firstLineChars="0"/>
        <w:jc w:val="both"/>
        <w:rPr>
          <w:iCs/>
          <w:szCs w:val="20"/>
        </w:rPr>
      </w:pPr>
      <w:r>
        <w:rPr>
          <w:iCs/>
          <w:szCs w:val="20"/>
        </w:rPr>
        <w:t>Chairman’s notes RAN1</w:t>
      </w:r>
      <w:bookmarkEnd w:id="16"/>
      <w:r>
        <w:rPr>
          <w:iCs/>
          <w:szCs w:val="20"/>
        </w:rPr>
        <w:t>#</w:t>
      </w:r>
      <w:r>
        <w:rPr>
          <w:rFonts w:hint="eastAsia"/>
          <w:iCs/>
          <w:szCs w:val="20"/>
        </w:rPr>
        <w:t>91</w:t>
      </w:r>
      <w:r>
        <w:rPr>
          <w:iCs/>
          <w:szCs w:val="20"/>
        </w:rPr>
        <w:t>, 2017-</w:t>
      </w:r>
      <w:bookmarkEnd w:id="17"/>
      <w:r>
        <w:rPr>
          <w:rFonts w:hint="eastAsia"/>
          <w:iCs/>
          <w:szCs w:val="20"/>
        </w:rPr>
        <w:t>11</w:t>
      </w:r>
    </w:p>
    <w:p w:rsidR="00FD6A78" w:rsidRDefault="00EE3590">
      <w:pPr>
        <w:pStyle w:val="10"/>
        <w:numPr>
          <w:ilvl w:val="0"/>
          <w:numId w:val="18"/>
        </w:numPr>
        <w:ind w:left="426" w:firstLineChars="0"/>
        <w:jc w:val="both"/>
        <w:rPr>
          <w:iCs/>
          <w:szCs w:val="20"/>
        </w:rPr>
      </w:pPr>
      <w:r>
        <w:rPr>
          <w:iCs/>
          <w:szCs w:val="20"/>
        </w:rPr>
        <w:t>Chairman’s notes RAN1#</w:t>
      </w:r>
      <w:r>
        <w:rPr>
          <w:rFonts w:hint="eastAsia"/>
          <w:iCs/>
          <w:szCs w:val="20"/>
        </w:rPr>
        <w:t>90</w:t>
      </w:r>
      <w:r>
        <w:rPr>
          <w:iCs/>
          <w:szCs w:val="20"/>
        </w:rPr>
        <w:t>, 2017-0</w:t>
      </w:r>
      <w:r>
        <w:rPr>
          <w:rFonts w:hint="eastAsia"/>
          <w:iCs/>
          <w:szCs w:val="20"/>
        </w:rPr>
        <w:t>8</w:t>
      </w:r>
    </w:p>
    <w:p w:rsidR="00FD6A78" w:rsidRDefault="00EE3590">
      <w:pPr>
        <w:pStyle w:val="10"/>
        <w:numPr>
          <w:ilvl w:val="0"/>
          <w:numId w:val="18"/>
        </w:numPr>
        <w:ind w:left="426" w:firstLineChars="0"/>
        <w:jc w:val="both"/>
        <w:rPr>
          <w:iCs/>
          <w:szCs w:val="20"/>
        </w:rPr>
      </w:pPr>
      <w:r>
        <w:rPr>
          <w:iCs/>
          <w:szCs w:val="20"/>
        </w:rPr>
        <w:t>Chairman’s notes RAN1#</w:t>
      </w:r>
      <w:r>
        <w:rPr>
          <w:rFonts w:hint="eastAsia"/>
          <w:iCs/>
          <w:szCs w:val="20"/>
        </w:rPr>
        <w:t>90b</w:t>
      </w:r>
      <w:r>
        <w:rPr>
          <w:iCs/>
          <w:szCs w:val="20"/>
        </w:rPr>
        <w:t>, 2017-</w:t>
      </w:r>
      <w:r>
        <w:rPr>
          <w:rFonts w:hint="eastAsia"/>
          <w:iCs/>
          <w:szCs w:val="20"/>
        </w:rPr>
        <w:t>10</w:t>
      </w:r>
    </w:p>
    <w:p w:rsidR="00FD6A78" w:rsidRDefault="00EE3590">
      <w:pPr>
        <w:pStyle w:val="10"/>
        <w:numPr>
          <w:ilvl w:val="0"/>
          <w:numId w:val="18"/>
        </w:numPr>
        <w:ind w:left="426" w:firstLineChars="0"/>
        <w:jc w:val="both"/>
        <w:rPr>
          <w:iCs/>
          <w:szCs w:val="20"/>
        </w:rPr>
      </w:pPr>
      <w:r>
        <w:rPr>
          <w:rFonts w:hint="eastAsia"/>
          <w:iCs/>
          <w:szCs w:val="20"/>
        </w:rPr>
        <w:t>Chairman</w:t>
      </w:r>
      <w:r>
        <w:rPr>
          <w:iCs/>
          <w:szCs w:val="20"/>
        </w:rPr>
        <w:t>’</w:t>
      </w:r>
      <w:r>
        <w:rPr>
          <w:rFonts w:hint="eastAsia"/>
          <w:iCs/>
          <w:szCs w:val="20"/>
        </w:rPr>
        <w:t>s notes RAN1 1801, 2018-01</w:t>
      </w:r>
    </w:p>
    <w:p w:rsidR="00FD6A78" w:rsidRDefault="00FD6A78">
      <w:pPr>
        <w:pStyle w:val="ListParagraph1"/>
        <w:numPr>
          <w:ilvl w:val="255"/>
          <w:numId w:val="0"/>
        </w:numPr>
        <w:ind w:firstLineChars="200" w:firstLine="400"/>
        <w:jc w:val="both"/>
        <w:rPr>
          <w:lang w:eastAsia="en-US"/>
        </w:rPr>
      </w:pPr>
    </w:p>
    <w:sectPr w:rsidR="00FD6A78">
      <w:headerReference w:type="default" r:id="rId9"/>
      <w:footerReference w:type="even" r:id="rId10"/>
      <w:footerReference w:type="default" r:id="rId11"/>
      <w:pgSz w:w="11906" w:h="16838"/>
      <w:pgMar w:top="1440" w:right="1440" w:bottom="1440" w:left="144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3590" w:rsidRDefault="00EE3590">
      <w:pPr>
        <w:spacing w:after="0" w:line="240" w:lineRule="auto"/>
      </w:pPr>
      <w:r>
        <w:separator/>
      </w:r>
    </w:p>
  </w:endnote>
  <w:endnote w:type="continuationSeparator" w:id="0">
    <w:p w:rsidR="00EE3590" w:rsidRDefault="00EE35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KaiTi_GB2312">
    <w:panose1 w:val="02010609060101010101"/>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AFF" w:usb1="C0007843" w:usb2="00000009" w:usb3="00000000" w:csb0="000001FF" w:csb1="00000000"/>
  </w:font>
  <w:font w:name="STFangsong">
    <w:altName w:val="Arial Unicode MS"/>
    <w:charset w:val="86"/>
    <w:family w:val="roman"/>
    <w:pitch w:val="default"/>
    <w:sig w:usb0="00000000"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6A78" w:rsidRDefault="00EE359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D6A78" w:rsidRDefault="00FD6A7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6A78" w:rsidRDefault="00EE3590">
    <w:pPr>
      <w:pStyle w:val="Footer"/>
      <w:ind w:right="360"/>
      <w:jc w:val="both"/>
      <w:rPr>
        <w:rFonts w:ascii="SimSun" w:hAnsi="SimSun"/>
      </w:rPr>
    </w:pPr>
    <w:r>
      <w:rPr>
        <w:rFonts w:ascii="SimSun" w:hAnsi="SimSun" w:hint="eastAsia"/>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3590" w:rsidRDefault="00EE3590">
      <w:pPr>
        <w:spacing w:after="0" w:line="240" w:lineRule="auto"/>
      </w:pPr>
      <w:r>
        <w:separator/>
      </w:r>
    </w:p>
  </w:footnote>
  <w:footnote w:type="continuationSeparator" w:id="0">
    <w:p w:rsidR="00EE3590" w:rsidRDefault="00EE359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6A78" w:rsidRDefault="00FD6A78">
    <w:pPr>
      <w:jc w:val="distribute"/>
      <w:rPr>
        <w:rFonts w:eastAsia="STFangsong"/>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C470E5"/>
    <w:multiLevelType w:val="multilevel"/>
    <w:tmpl w:val="13C470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69B700E"/>
    <w:multiLevelType w:val="multilevel"/>
    <w:tmpl w:val="169B700E"/>
    <w:lvl w:ilvl="0">
      <w:start w:val="1"/>
      <w:numFmt w:val="decimal"/>
      <w:lvlText w:val="[%1]"/>
      <w:lvlJc w:val="left"/>
      <w:pPr>
        <w:ind w:left="808" w:hanging="360"/>
      </w:pPr>
      <w:rPr>
        <w:rFonts w:hint="default"/>
      </w:rPr>
    </w:lvl>
    <w:lvl w:ilvl="1">
      <w:start w:val="1"/>
      <w:numFmt w:val="lowerLetter"/>
      <w:lvlText w:val="%2."/>
      <w:lvlJc w:val="left"/>
      <w:pPr>
        <w:ind w:left="1528" w:hanging="360"/>
      </w:pPr>
    </w:lvl>
    <w:lvl w:ilvl="2">
      <w:start w:val="1"/>
      <w:numFmt w:val="lowerRoman"/>
      <w:lvlText w:val="%3."/>
      <w:lvlJc w:val="right"/>
      <w:pPr>
        <w:ind w:left="2248" w:hanging="180"/>
      </w:pPr>
    </w:lvl>
    <w:lvl w:ilvl="3">
      <w:start w:val="1"/>
      <w:numFmt w:val="decimal"/>
      <w:lvlText w:val="%4."/>
      <w:lvlJc w:val="left"/>
      <w:pPr>
        <w:ind w:left="2968" w:hanging="360"/>
      </w:pPr>
    </w:lvl>
    <w:lvl w:ilvl="4">
      <w:start w:val="1"/>
      <w:numFmt w:val="lowerLetter"/>
      <w:lvlText w:val="%5."/>
      <w:lvlJc w:val="left"/>
      <w:pPr>
        <w:ind w:left="3688" w:hanging="360"/>
      </w:pPr>
    </w:lvl>
    <w:lvl w:ilvl="5">
      <w:start w:val="1"/>
      <w:numFmt w:val="lowerRoman"/>
      <w:lvlText w:val="%6."/>
      <w:lvlJc w:val="right"/>
      <w:pPr>
        <w:ind w:left="4408" w:hanging="180"/>
      </w:pPr>
    </w:lvl>
    <w:lvl w:ilvl="6">
      <w:start w:val="1"/>
      <w:numFmt w:val="decimal"/>
      <w:lvlText w:val="%7."/>
      <w:lvlJc w:val="left"/>
      <w:pPr>
        <w:ind w:left="5128" w:hanging="360"/>
      </w:pPr>
    </w:lvl>
    <w:lvl w:ilvl="7">
      <w:start w:val="1"/>
      <w:numFmt w:val="lowerLetter"/>
      <w:lvlText w:val="%8."/>
      <w:lvlJc w:val="left"/>
      <w:pPr>
        <w:ind w:left="5848" w:hanging="360"/>
      </w:pPr>
    </w:lvl>
    <w:lvl w:ilvl="8">
      <w:start w:val="1"/>
      <w:numFmt w:val="lowerRoman"/>
      <w:lvlText w:val="%9."/>
      <w:lvlJc w:val="right"/>
      <w:pPr>
        <w:ind w:left="6568" w:hanging="180"/>
      </w:pPr>
    </w:lvl>
  </w:abstractNum>
  <w:abstractNum w:abstractNumId="2" w15:restartNumberingAfterBreak="0">
    <w:nsid w:val="313748C2"/>
    <w:multiLevelType w:val="multilevel"/>
    <w:tmpl w:val="313748C2"/>
    <w:lvl w:ilvl="0">
      <w:start w:val="1"/>
      <w:numFmt w:val="bullet"/>
      <w:pStyle w:val="Bulle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58316C2"/>
    <w:multiLevelType w:val="multilevel"/>
    <w:tmpl w:val="358316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Times New Roman" w:eastAsia="Times New Roman"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6"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9"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0" w15:restartNumberingAfterBreak="0">
    <w:nsid w:val="5AC2214C"/>
    <w:multiLevelType w:val="singleLevel"/>
    <w:tmpl w:val="5AC2214C"/>
    <w:lvl w:ilvl="0">
      <w:start w:val="1"/>
      <w:numFmt w:val="bullet"/>
      <w:lvlText w:val=""/>
      <w:lvlJc w:val="left"/>
      <w:pPr>
        <w:ind w:left="420" w:hanging="420"/>
      </w:pPr>
      <w:rPr>
        <w:rFonts w:ascii="Wingdings" w:hAnsi="Wingdings" w:hint="default"/>
      </w:rPr>
    </w:lvl>
  </w:abstractNum>
  <w:abstractNum w:abstractNumId="11" w15:restartNumberingAfterBreak="0">
    <w:nsid w:val="5F521A3E"/>
    <w:multiLevelType w:val="multilevel"/>
    <w:tmpl w:val="5F521A3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5F9346EA"/>
    <w:multiLevelType w:val="multilevel"/>
    <w:tmpl w:val="5F9346EA"/>
    <w:lvl w:ilvl="0">
      <w:start w:val="1"/>
      <w:numFmt w:val="bullet"/>
      <w:lvlText w:val="-"/>
      <w:lvlJc w:val="left"/>
      <w:pPr>
        <w:tabs>
          <w:tab w:val="left" w:pos="720"/>
        </w:tabs>
        <w:ind w:left="720" w:hanging="360"/>
      </w:pPr>
      <w:rPr>
        <w:rFonts w:ascii="Calibri" w:hAnsi="Calibri" w:hint="default"/>
      </w:rPr>
    </w:lvl>
    <w:lvl w:ilvl="1">
      <w:start w:val="2629"/>
      <w:numFmt w:val="bullet"/>
      <w:lvlText w:val="o"/>
      <w:lvlJc w:val="left"/>
      <w:pPr>
        <w:tabs>
          <w:tab w:val="left" w:pos="1440"/>
        </w:tabs>
        <w:ind w:left="1440" w:hanging="360"/>
      </w:pPr>
      <w:rPr>
        <w:rFonts w:ascii="Courier New" w:hAnsi="Courier New" w:hint="default"/>
      </w:rPr>
    </w:lvl>
    <w:lvl w:ilvl="2">
      <w:start w:val="2629"/>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Calibri" w:hAnsi="Calibri" w:hint="default"/>
      </w:rPr>
    </w:lvl>
    <w:lvl w:ilvl="4">
      <w:start w:val="1"/>
      <w:numFmt w:val="bullet"/>
      <w:lvlText w:val="-"/>
      <w:lvlJc w:val="left"/>
      <w:pPr>
        <w:tabs>
          <w:tab w:val="left" w:pos="3600"/>
        </w:tabs>
        <w:ind w:left="3600" w:hanging="360"/>
      </w:pPr>
      <w:rPr>
        <w:rFonts w:ascii="Calibri" w:hAnsi="Calibri" w:hint="default"/>
      </w:rPr>
    </w:lvl>
    <w:lvl w:ilvl="5">
      <w:start w:val="1"/>
      <w:numFmt w:val="bullet"/>
      <w:lvlText w:val="-"/>
      <w:lvlJc w:val="left"/>
      <w:pPr>
        <w:tabs>
          <w:tab w:val="left" w:pos="4320"/>
        </w:tabs>
        <w:ind w:left="4320" w:hanging="360"/>
      </w:pPr>
      <w:rPr>
        <w:rFonts w:ascii="Calibri" w:hAnsi="Calibri" w:hint="default"/>
      </w:rPr>
    </w:lvl>
    <w:lvl w:ilvl="6">
      <w:start w:val="1"/>
      <w:numFmt w:val="bullet"/>
      <w:lvlText w:val="-"/>
      <w:lvlJc w:val="left"/>
      <w:pPr>
        <w:tabs>
          <w:tab w:val="left" w:pos="5040"/>
        </w:tabs>
        <w:ind w:left="5040" w:hanging="360"/>
      </w:pPr>
      <w:rPr>
        <w:rFonts w:ascii="Calibri" w:hAnsi="Calibri" w:hint="default"/>
      </w:rPr>
    </w:lvl>
    <w:lvl w:ilvl="7">
      <w:start w:val="1"/>
      <w:numFmt w:val="bullet"/>
      <w:lvlText w:val="-"/>
      <w:lvlJc w:val="left"/>
      <w:pPr>
        <w:tabs>
          <w:tab w:val="left" w:pos="5760"/>
        </w:tabs>
        <w:ind w:left="5760" w:hanging="360"/>
      </w:pPr>
      <w:rPr>
        <w:rFonts w:ascii="Calibri" w:hAnsi="Calibri" w:hint="default"/>
      </w:rPr>
    </w:lvl>
    <w:lvl w:ilvl="8">
      <w:start w:val="1"/>
      <w:numFmt w:val="bullet"/>
      <w:lvlText w:val="-"/>
      <w:lvlJc w:val="left"/>
      <w:pPr>
        <w:tabs>
          <w:tab w:val="left" w:pos="6480"/>
        </w:tabs>
        <w:ind w:left="6480" w:hanging="360"/>
      </w:pPr>
      <w:rPr>
        <w:rFonts w:ascii="Calibri" w:hAnsi="Calibri" w:hint="default"/>
      </w:rPr>
    </w:lvl>
  </w:abstractNum>
  <w:abstractNum w:abstractNumId="13" w15:restartNumberingAfterBreak="0">
    <w:nsid w:val="617B6B6C"/>
    <w:multiLevelType w:val="multilevel"/>
    <w:tmpl w:val="617B6B6C"/>
    <w:lvl w:ilvl="0">
      <w:start w:val="3"/>
      <w:numFmt w:val="bullet"/>
      <w:lvlText w:val=""/>
      <w:lvlJc w:val="left"/>
      <w:pPr>
        <w:ind w:left="720" w:hanging="360"/>
      </w:pPr>
      <w:rPr>
        <w:rFonts w:ascii="Symbol" w:eastAsia="Malgun Gothic"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F6B3CBF"/>
    <w:multiLevelType w:val="multilevel"/>
    <w:tmpl w:val="6F6B3CBF"/>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16"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6"/>
  </w:num>
  <w:num w:numId="2">
    <w:abstractNumId w:val="6"/>
  </w:num>
  <w:num w:numId="3">
    <w:abstractNumId w:val="2"/>
  </w:num>
  <w:num w:numId="4">
    <w:abstractNumId w:val="4"/>
  </w:num>
  <w:num w:numId="5">
    <w:abstractNumId w:val="7"/>
  </w:num>
  <w:num w:numId="6">
    <w:abstractNumId w:val="8"/>
  </w:num>
  <w:num w:numId="7">
    <w:abstractNumId w:val="17"/>
  </w:num>
  <w:num w:numId="8">
    <w:abstractNumId w:val="9"/>
  </w:num>
  <w:num w:numId="9">
    <w:abstractNumId w:val="15"/>
  </w:num>
  <w:num w:numId="10">
    <w:abstractNumId w:val="5"/>
  </w:num>
  <w:num w:numId="11">
    <w:abstractNumId w:val="11"/>
  </w:num>
  <w:num w:numId="12">
    <w:abstractNumId w:val="14"/>
  </w:num>
  <w:num w:numId="13">
    <w:abstractNumId w:val="12"/>
  </w:num>
  <w:num w:numId="14">
    <w:abstractNumId w:val="0"/>
  </w:num>
  <w:num w:numId="15">
    <w:abstractNumId w:val="13"/>
  </w:num>
  <w:num w:numId="16">
    <w:abstractNumId w:val="3"/>
  </w:num>
  <w:num w:numId="17">
    <w:abstractNumId w:val="10"/>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defaultTabStop w:val="420"/>
  <w:hyphenationZone w:val="425"/>
  <w:drawingGridHorizontalSpacing w:val="10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doNotUseIndentAsNumberingTabStop/>
    <w:useAltKinsokuLineBreakRules/>
    <w:compatSetting w:name="compatibilityMode" w:uri="http://schemas.microsoft.com/office/word" w:val="12"/>
  </w:compat>
  <w:rsids>
    <w:rsidRoot w:val="00D56DBA"/>
    <w:rsid w:val="000002D5"/>
    <w:rsid w:val="000003ED"/>
    <w:rsid w:val="00002E9B"/>
    <w:rsid w:val="00004D9B"/>
    <w:rsid w:val="00005A6E"/>
    <w:rsid w:val="00007324"/>
    <w:rsid w:val="00014964"/>
    <w:rsid w:val="00014C80"/>
    <w:rsid w:val="00014F0D"/>
    <w:rsid w:val="00015582"/>
    <w:rsid w:val="0001694E"/>
    <w:rsid w:val="0001696F"/>
    <w:rsid w:val="00023E7F"/>
    <w:rsid w:val="0002532C"/>
    <w:rsid w:val="00027F39"/>
    <w:rsid w:val="000314BE"/>
    <w:rsid w:val="00031B50"/>
    <w:rsid w:val="0003612C"/>
    <w:rsid w:val="000406B7"/>
    <w:rsid w:val="000411C0"/>
    <w:rsid w:val="00041CF2"/>
    <w:rsid w:val="0004434E"/>
    <w:rsid w:val="0004471A"/>
    <w:rsid w:val="00051194"/>
    <w:rsid w:val="00051696"/>
    <w:rsid w:val="00052635"/>
    <w:rsid w:val="00052B94"/>
    <w:rsid w:val="00053328"/>
    <w:rsid w:val="00055C73"/>
    <w:rsid w:val="000605BA"/>
    <w:rsid w:val="00060703"/>
    <w:rsid w:val="00060E49"/>
    <w:rsid w:val="000624CA"/>
    <w:rsid w:val="00062F96"/>
    <w:rsid w:val="000650EB"/>
    <w:rsid w:val="00065E37"/>
    <w:rsid w:val="0006799E"/>
    <w:rsid w:val="00070277"/>
    <w:rsid w:val="00070497"/>
    <w:rsid w:val="000704D9"/>
    <w:rsid w:val="0007080B"/>
    <w:rsid w:val="000709EF"/>
    <w:rsid w:val="00070EBD"/>
    <w:rsid w:val="00071281"/>
    <w:rsid w:val="0007169D"/>
    <w:rsid w:val="000724F7"/>
    <w:rsid w:val="00072A71"/>
    <w:rsid w:val="0007415F"/>
    <w:rsid w:val="000753C1"/>
    <w:rsid w:val="00075E59"/>
    <w:rsid w:val="00077251"/>
    <w:rsid w:val="00077BAE"/>
    <w:rsid w:val="00081796"/>
    <w:rsid w:val="00081FD6"/>
    <w:rsid w:val="000838FC"/>
    <w:rsid w:val="00083A58"/>
    <w:rsid w:val="00083F29"/>
    <w:rsid w:val="00083F98"/>
    <w:rsid w:val="000840B8"/>
    <w:rsid w:val="00086A29"/>
    <w:rsid w:val="00087364"/>
    <w:rsid w:val="00090E70"/>
    <w:rsid w:val="00091B52"/>
    <w:rsid w:val="00092939"/>
    <w:rsid w:val="00095581"/>
    <w:rsid w:val="00095947"/>
    <w:rsid w:val="00096569"/>
    <w:rsid w:val="000966AB"/>
    <w:rsid w:val="0009782B"/>
    <w:rsid w:val="000A01F5"/>
    <w:rsid w:val="000A27B9"/>
    <w:rsid w:val="000A2DC7"/>
    <w:rsid w:val="000A2EBC"/>
    <w:rsid w:val="000A32E0"/>
    <w:rsid w:val="000A502D"/>
    <w:rsid w:val="000A795C"/>
    <w:rsid w:val="000B15C9"/>
    <w:rsid w:val="000B2582"/>
    <w:rsid w:val="000B3420"/>
    <w:rsid w:val="000B5C7B"/>
    <w:rsid w:val="000B7207"/>
    <w:rsid w:val="000B7610"/>
    <w:rsid w:val="000C1E08"/>
    <w:rsid w:val="000C6B91"/>
    <w:rsid w:val="000C721B"/>
    <w:rsid w:val="000D5FF3"/>
    <w:rsid w:val="000D64BB"/>
    <w:rsid w:val="000D65D7"/>
    <w:rsid w:val="000D68C4"/>
    <w:rsid w:val="000D760C"/>
    <w:rsid w:val="000D793E"/>
    <w:rsid w:val="000E13C1"/>
    <w:rsid w:val="000E1937"/>
    <w:rsid w:val="000E2F2E"/>
    <w:rsid w:val="000E3FBD"/>
    <w:rsid w:val="000E44B7"/>
    <w:rsid w:val="000F2AB2"/>
    <w:rsid w:val="000F407E"/>
    <w:rsid w:val="000F4F1E"/>
    <w:rsid w:val="000F4F40"/>
    <w:rsid w:val="00100B78"/>
    <w:rsid w:val="0010212F"/>
    <w:rsid w:val="001039AC"/>
    <w:rsid w:val="001072DE"/>
    <w:rsid w:val="00111185"/>
    <w:rsid w:val="00112AC8"/>
    <w:rsid w:val="0011367A"/>
    <w:rsid w:val="001146A0"/>
    <w:rsid w:val="00116121"/>
    <w:rsid w:val="0011709C"/>
    <w:rsid w:val="00117508"/>
    <w:rsid w:val="001179D7"/>
    <w:rsid w:val="0012178E"/>
    <w:rsid w:val="00121834"/>
    <w:rsid w:val="00123655"/>
    <w:rsid w:val="00126145"/>
    <w:rsid w:val="00127D7C"/>
    <w:rsid w:val="001318B4"/>
    <w:rsid w:val="00132828"/>
    <w:rsid w:val="00133880"/>
    <w:rsid w:val="00136836"/>
    <w:rsid w:val="00140521"/>
    <w:rsid w:val="00140F02"/>
    <w:rsid w:val="00142EE8"/>
    <w:rsid w:val="0014399F"/>
    <w:rsid w:val="00143E06"/>
    <w:rsid w:val="00144065"/>
    <w:rsid w:val="001442F6"/>
    <w:rsid w:val="00145121"/>
    <w:rsid w:val="0014740A"/>
    <w:rsid w:val="001475A2"/>
    <w:rsid w:val="001477A7"/>
    <w:rsid w:val="00150610"/>
    <w:rsid w:val="00151481"/>
    <w:rsid w:val="00152F27"/>
    <w:rsid w:val="00154C97"/>
    <w:rsid w:val="00155514"/>
    <w:rsid w:val="00157DF3"/>
    <w:rsid w:val="00161014"/>
    <w:rsid w:val="00161A9A"/>
    <w:rsid w:val="00164066"/>
    <w:rsid w:val="0016721B"/>
    <w:rsid w:val="00170048"/>
    <w:rsid w:val="00170B55"/>
    <w:rsid w:val="00171139"/>
    <w:rsid w:val="001721E6"/>
    <w:rsid w:val="001742D5"/>
    <w:rsid w:val="00174436"/>
    <w:rsid w:val="00175199"/>
    <w:rsid w:val="001767E6"/>
    <w:rsid w:val="0018036E"/>
    <w:rsid w:val="00180466"/>
    <w:rsid w:val="001825DA"/>
    <w:rsid w:val="00183A36"/>
    <w:rsid w:val="001841A8"/>
    <w:rsid w:val="00184AF5"/>
    <w:rsid w:val="001856E7"/>
    <w:rsid w:val="00185733"/>
    <w:rsid w:val="00185B0F"/>
    <w:rsid w:val="00187397"/>
    <w:rsid w:val="00190A8D"/>
    <w:rsid w:val="001945DC"/>
    <w:rsid w:val="00194BDB"/>
    <w:rsid w:val="0019542C"/>
    <w:rsid w:val="00195D7A"/>
    <w:rsid w:val="00196645"/>
    <w:rsid w:val="001A29FE"/>
    <w:rsid w:val="001A5421"/>
    <w:rsid w:val="001A674C"/>
    <w:rsid w:val="001A718F"/>
    <w:rsid w:val="001B21A1"/>
    <w:rsid w:val="001B2CDE"/>
    <w:rsid w:val="001B2CE5"/>
    <w:rsid w:val="001B48B3"/>
    <w:rsid w:val="001B594D"/>
    <w:rsid w:val="001B7B19"/>
    <w:rsid w:val="001B7CE7"/>
    <w:rsid w:val="001C05BA"/>
    <w:rsid w:val="001C06FA"/>
    <w:rsid w:val="001C2A1C"/>
    <w:rsid w:val="001C37C0"/>
    <w:rsid w:val="001C3DF5"/>
    <w:rsid w:val="001D072E"/>
    <w:rsid w:val="001D1BAF"/>
    <w:rsid w:val="001D20A0"/>
    <w:rsid w:val="001D3F01"/>
    <w:rsid w:val="001D5F96"/>
    <w:rsid w:val="001D6048"/>
    <w:rsid w:val="001D7190"/>
    <w:rsid w:val="001E011E"/>
    <w:rsid w:val="001E090F"/>
    <w:rsid w:val="001E0A05"/>
    <w:rsid w:val="001E0CFA"/>
    <w:rsid w:val="001E4852"/>
    <w:rsid w:val="001E6124"/>
    <w:rsid w:val="001E65DD"/>
    <w:rsid w:val="001E6819"/>
    <w:rsid w:val="001E78A8"/>
    <w:rsid w:val="001E7A14"/>
    <w:rsid w:val="001F048F"/>
    <w:rsid w:val="001F0617"/>
    <w:rsid w:val="001F57BD"/>
    <w:rsid w:val="001F5B0C"/>
    <w:rsid w:val="001F5FA0"/>
    <w:rsid w:val="001F703D"/>
    <w:rsid w:val="001F7D46"/>
    <w:rsid w:val="00201E0A"/>
    <w:rsid w:val="00202154"/>
    <w:rsid w:val="0020218A"/>
    <w:rsid w:val="002049B8"/>
    <w:rsid w:val="0020686F"/>
    <w:rsid w:val="002102C1"/>
    <w:rsid w:val="002123D6"/>
    <w:rsid w:val="00214D7D"/>
    <w:rsid w:val="0021536D"/>
    <w:rsid w:val="00215816"/>
    <w:rsid w:val="00215F64"/>
    <w:rsid w:val="00217556"/>
    <w:rsid w:val="002178EE"/>
    <w:rsid w:val="00220CE0"/>
    <w:rsid w:val="00221120"/>
    <w:rsid w:val="00224213"/>
    <w:rsid w:val="00224645"/>
    <w:rsid w:val="0022556B"/>
    <w:rsid w:val="0022597F"/>
    <w:rsid w:val="00225C26"/>
    <w:rsid w:val="00226D96"/>
    <w:rsid w:val="0022720E"/>
    <w:rsid w:val="002274A1"/>
    <w:rsid w:val="00227FD4"/>
    <w:rsid w:val="002328D6"/>
    <w:rsid w:val="00233288"/>
    <w:rsid w:val="002333B7"/>
    <w:rsid w:val="00234117"/>
    <w:rsid w:val="00234250"/>
    <w:rsid w:val="002363A9"/>
    <w:rsid w:val="00236BA1"/>
    <w:rsid w:val="0023798F"/>
    <w:rsid w:val="00244D42"/>
    <w:rsid w:val="0024567E"/>
    <w:rsid w:val="002456CE"/>
    <w:rsid w:val="00247311"/>
    <w:rsid w:val="00247F79"/>
    <w:rsid w:val="002519B7"/>
    <w:rsid w:val="00251E7C"/>
    <w:rsid w:val="002525F2"/>
    <w:rsid w:val="0025287B"/>
    <w:rsid w:val="002530C6"/>
    <w:rsid w:val="002533B8"/>
    <w:rsid w:val="00253440"/>
    <w:rsid w:val="0025650E"/>
    <w:rsid w:val="002641EA"/>
    <w:rsid w:val="00266730"/>
    <w:rsid w:val="00267558"/>
    <w:rsid w:val="0026790F"/>
    <w:rsid w:val="00271BFE"/>
    <w:rsid w:val="00272467"/>
    <w:rsid w:val="002724C1"/>
    <w:rsid w:val="0027255D"/>
    <w:rsid w:val="00272AD2"/>
    <w:rsid w:val="00272B00"/>
    <w:rsid w:val="00273A29"/>
    <w:rsid w:val="00273DE9"/>
    <w:rsid w:val="00274701"/>
    <w:rsid w:val="00275D0E"/>
    <w:rsid w:val="002769A3"/>
    <w:rsid w:val="0027765B"/>
    <w:rsid w:val="00283F82"/>
    <w:rsid w:val="0028413E"/>
    <w:rsid w:val="00284B7D"/>
    <w:rsid w:val="00285137"/>
    <w:rsid w:val="00287DDB"/>
    <w:rsid w:val="0029127B"/>
    <w:rsid w:val="002937D9"/>
    <w:rsid w:val="002938A5"/>
    <w:rsid w:val="00294907"/>
    <w:rsid w:val="00295775"/>
    <w:rsid w:val="002960F4"/>
    <w:rsid w:val="00296698"/>
    <w:rsid w:val="002973B9"/>
    <w:rsid w:val="002973C9"/>
    <w:rsid w:val="002974D4"/>
    <w:rsid w:val="002A2FA8"/>
    <w:rsid w:val="002A3C50"/>
    <w:rsid w:val="002A3E5A"/>
    <w:rsid w:val="002A54A2"/>
    <w:rsid w:val="002A580E"/>
    <w:rsid w:val="002A62F7"/>
    <w:rsid w:val="002A6E14"/>
    <w:rsid w:val="002B09BE"/>
    <w:rsid w:val="002B40F3"/>
    <w:rsid w:val="002B4D7C"/>
    <w:rsid w:val="002B62A3"/>
    <w:rsid w:val="002B66F7"/>
    <w:rsid w:val="002B6BAA"/>
    <w:rsid w:val="002B7DE8"/>
    <w:rsid w:val="002C09CF"/>
    <w:rsid w:val="002C1206"/>
    <w:rsid w:val="002C2792"/>
    <w:rsid w:val="002C28B3"/>
    <w:rsid w:val="002C32E5"/>
    <w:rsid w:val="002C368B"/>
    <w:rsid w:val="002C370A"/>
    <w:rsid w:val="002C478D"/>
    <w:rsid w:val="002C58B2"/>
    <w:rsid w:val="002C7B26"/>
    <w:rsid w:val="002D02D4"/>
    <w:rsid w:val="002D0728"/>
    <w:rsid w:val="002D10A8"/>
    <w:rsid w:val="002D35FA"/>
    <w:rsid w:val="002D38D1"/>
    <w:rsid w:val="002D3FEE"/>
    <w:rsid w:val="002D5BFF"/>
    <w:rsid w:val="002D6B6C"/>
    <w:rsid w:val="002E12C1"/>
    <w:rsid w:val="002E441D"/>
    <w:rsid w:val="002E4C97"/>
    <w:rsid w:val="002E5332"/>
    <w:rsid w:val="002E6FD7"/>
    <w:rsid w:val="002E794D"/>
    <w:rsid w:val="002F0126"/>
    <w:rsid w:val="002F0B40"/>
    <w:rsid w:val="002F2FF2"/>
    <w:rsid w:val="002F3759"/>
    <w:rsid w:val="002F5517"/>
    <w:rsid w:val="002F6E8E"/>
    <w:rsid w:val="002F7C7C"/>
    <w:rsid w:val="003014EB"/>
    <w:rsid w:val="00304E41"/>
    <w:rsid w:val="00305907"/>
    <w:rsid w:val="0030773F"/>
    <w:rsid w:val="00310227"/>
    <w:rsid w:val="00310A97"/>
    <w:rsid w:val="00312681"/>
    <w:rsid w:val="003126CC"/>
    <w:rsid w:val="003128D3"/>
    <w:rsid w:val="00312C1A"/>
    <w:rsid w:val="00312DD1"/>
    <w:rsid w:val="00313E5D"/>
    <w:rsid w:val="003151C1"/>
    <w:rsid w:val="0031570F"/>
    <w:rsid w:val="003162A2"/>
    <w:rsid w:val="00317337"/>
    <w:rsid w:val="00320818"/>
    <w:rsid w:val="00321F48"/>
    <w:rsid w:val="00323309"/>
    <w:rsid w:val="003260A8"/>
    <w:rsid w:val="00326600"/>
    <w:rsid w:val="00330B7F"/>
    <w:rsid w:val="0033176D"/>
    <w:rsid w:val="00333E28"/>
    <w:rsid w:val="003340AF"/>
    <w:rsid w:val="00337150"/>
    <w:rsid w:val="0033751D"/>
    <w:rsid w:val="00341B32"/>
    <w:rsid w:val="00346CE0"/>
    <w:rsid w:val="003504B5"/>
    <w:rsid w:val="00351ED4"/>
    <w:rsid w:val="003533A7"/>
    <w:rsid w:val="00353C62"/>
    <w:rsid w:val="00354E35"/>
    <w:rsid w:val="00356CD7"/>
    <w:rsid w:val="00356D53"/>
    <w:rsid w:val="00360683"/>
    <w:rsid w:val="003631E5"/>
    <w:rsid w:val="003664A9"/>
    <w:rsid w:val="00367F59"/>
    <w:rsid w:val="00373017"/>
    <w:rsid w:val="00377306"/>
    <w:rsid w:val="003811CA"/>
    <w:rsid w:val="00383282"/>
    <w:rsid w:val="0038528B"/>
    <w:rsid w:val="00386553"/>
    <w:rsid w:val="00386EFC"/>
    <w:rsid w:val="0039092A"/>
    <w:rsid w:val="0039096E"/>
    <w:rsid w:val="00391673"/>
    <w:rsid w:val="00392963"/>
    <w:rsid w:val="003935A6"/>
    <w:rsid w:val="00394680"/>
    <w:rsid w:val="003946D4"/>
    <w:rsid w:val="0039600F"/>
    <w:rsid w:val="003962AF"/>
    <w:rsid w:val="003969B2"/>
    <w:rsid w:val="003A13E4"/>
    <w:rsid w:val="003A299A"/>
    <w:rsid w:val="003A2A06"/>
    <w:rsid w:val="003A3800"/>
    <w:rsid w:val="003A4BC6"/>
    <w:rsid w:val="003A4CF0"/>
    <w:rsid w:val="003A54C5"/>
    <w:rsid w:val="003A6500"/>
    <w:rsid w:val="003B0021"/>
    <w:rsid w:val="003B0808"/>
    <w:rsid w:val="003B3883"/>
    <w:rsid w:val="003B40ED"/>
    <w:rsid w:val="003B4151"/>
    <w:rsid w:val="003B46C8"/>
    <w:rsid w:val="003B5CF4"/>
    <w:rsid w:val="003C18A9"/>
    <w:rsid w:val="003C27E8"/>
    <w:rsid w:val="003C361A"/>
    <w:rsid w:val="003C3674"/>
    <w:rsid w:val="003C3FCC"/>
    <w:rsid w:val="003C70DA"/>
    <w:rsid w:val="003C7996"/>
    <w:rsid w:val="003C7F12"/>
    <w:rsid w:val="003D2633"/>
    <w:rsid w:val="003D2D35"/>
    <w:rsid w:val="003D3730"/>
    <w:rsid w:val="003D3EDC"/>
    <w:rsid w:val="003D472E"/>
    <w:rsid w:val="003D4CBE"/>
    <w:rsid w:val="003D7320"/>
    <w:rsid w:val="003E0A5A"/>
    <w:rsid w:val="003E33B1"/>
    <w:rsid w:val="003F043F"/>
    <w:rsid w:val="003F1D01"/>
    <w:rsid w:val="003F28BC"/>
    <w:rsid w:val="003F448B"/>
    <w:rsid w:val="003F546E"/>
    <w:rsid w:val="003F58F6"/>
    <w:rsid w:val="004000BE"/>
    <w:rsid w:val="004019E1"/>
    <w:rsid w:val="00401A8A"/>
    <w:rsid w:val="00401F9A"/>
    <w:rsid w:val="004043F0"/>
    <w:rsid w:val="0040477F"/>
    <w:rsid w:val="00405E21"/>
    <w:rsid w:val="0040663A"/>
    <w:rsid w:val="004074BD"/>
    <w:rsid w:val="00411AA7"/>
    <w:rsid w:val="00412643"/>
    <w:rsid w:val="00412AFA"/>
    <w:rsid w:val="00413229"/>
    <w:rsid w:val="004137FF"/>
    <w:rsid w:val="004143B4"/>
    <w:rsid w:val="004147B5"/>
    <w:rsid w:val="00414D93"/>
    <w:rsid w:val="004163D1"/>
    <w:rsid w:val="00420162"/>
    <w:rsid w:val="00420445"/>
    <w:rsid w:val="00420822"/>
    <w:rsid w:val="0042159B"/>
    <w:rsid w:val="00423369"/>
    <w:rsid w:val="00423C2D"/>
    <w:rsid w:val="00425DF0"/>
    <w:rsid w:val="004262D3"/>
    <w:rsid w:val="004265A0"/>
    <w:rsid w:val="00426D49"/>
    <w:rsid w:val="00427746"/>
    <w:rsid w:val="00427917"/>
    <w:rsid w:val="00432BCA"/>
    <w:rsid w:val="004331D7"/>
    <w:rsid w:val="00435AD0"/>
    <w:rsid w:val="004375F4"/>
    <w:rsid w:val="004404DB"/>
    <w:rsid w:val="00441AA1"/>
    <w:rsid w:val="004428A3"/>
    <w:rsid w:val="00442B95"/>
    <w:rsid w:val="00443CA7"/>
    <w:rsid w:val="00444E65"/>
    <w:rsid w:val="00446005"/>
    <w:rsid w:val="00446AE1"/>
    <w:rsid w:val="00447379"/>
    <w:rsid w:val="0044782C"/>
    <w:rsid w:val="00451934"/>
    <w:rsid w:val="00454E69"/>
    <w:rsid w:val="0046088D"/>
    <w:rsid w:val="00461C5A"/>
    <w:rsid w:val="0046454E"/>
    <w:rsid w:val="004656EE"/>
    <w:rsid w:val="00466205"/>
    <w:rsid w:val="00466A01"/>
    <w:rsid w:val="00476687"/>
    <w:rsid w:val="00477C38"/>
    <w:rsid w:val="0048006F"/>
    <w:rsid w:val="0048204D"/>
    <w:rsid w:val="004860DF"/>
    <w:rsid w:val="004877DF"/>
    <w:rsid w:val="00487887"/>
    <w:rsid w:val="0049275B"/>
    <w:rsid w:val="00493C58"/>
    <w:rsid w:val="00496761"/>
    <w:rsid w:val="00496C3B"/>
    <w:rsid w:val="00496CF4"/>
    <w:rsid w:val="004976F3"/>
    <w:rsid w:val="004A0A1F"/>
    <w:rsid w:val="004A52C5"/>
    <w:rsid w:val="004A7DD0"/>
    <w:rsid w:val="004B0201"/>
    <w:rsid w:val="004B321C"/>
    <w:rsid w:val="004B77E3"/>
    <w:rsid w:val="004C0DB9"/>
    <w:rsid w:val="004C1005"/>
    <w:rsid w:val="004C145A"/>
    <w:rsid w:val="004C17E9"/>
    <w:rsid w:val="004C3D99"/>
    <w:rsid w:val="004C46E1"/>
    <w:rsid w:val="004C5861"/>
    <w:rsid w:val="004C5904"/>
    <w:rsid w:val="004C63EE"/>
    <w:rsid w:val="004C6A8B"/>
    <w:rsid w:val="004D10DB"/>
    <w:rsid w:val="004D15BB"/>
    <w:rsid w:val="004D1EE6"/>
    <w:rsid w:val="004D28B9"/>
    <w:rsid w:val="004D3881"/>
    <w:rsid w:val="004D3A83"/>
    <w:rsid w:val="004D6142"/>
    <w:rsid w:val="004D659F"/>
    <w:rsid w:val="004E3ED2"/>
    <w:rsid w:val="004E45F0"/>
    <w:rsid w:val="004E47E2"/>
    <w:rsid w:val="004E5133"/>
    <w:rsid w:val="004E6CD1"/>
    <w:rsid w:val="004E72AC"/>
    <w:rsid w:val="004E78E8"/>
    <w:rsid w:val="004F1E6B"/>
    <w:rsid w:val="004F23D9"/>
    <w:rsid w:val="004F32B2"/>
    <w:rsid w:val="004F4788"/>
    <w:rsid w:val="004F6D2F"/>
    <w:rsid w:val="00501BD7"/>
    <w:rsid w:val="00503289"/>
    <w:rsid w:val="00504BCA"/>
    <w:rsid w:val="00504C60"/>
    <w:rsid w:val="00506A83"/>
    <w:rsid w:val="00506DC9"/>
    <w:rsid w:val="0051029C"/>
    <w:rsid w:val="00513F6E"/>
    <w:rsid w:val="00515626"/>
    <w:rsid w:val="00521828"/>
    <w:rsid w:val="005220E0"/>
    <w:rsid w:val="00522BE2"/>
    <w:rsid w:val="005253C8"/>
    <w:rsid w:val="0052599D"/>
    <w:rsid w:val="00526223"/>
    <w:rsid w:val="005274F3"/>
    <w:rsid w:val="00530886"/>
    <w:rsid w:val="00532A42"/>
    <w:rsid w:val="00532C95"/>
    <w:rsid w:val="00532D9C"/>
    <w:rsid w:val="005343AC"/>
    <w:rsid w:val="00535E08"/>
    <w:rsid w:val="005363C8"/>
    <w:rsid w:val="00536B5C"/>
    <w:rsid w:val="00546F7A"/>
    <w:rsid w:val="00550DFF"/>
    <w:rsid w:val="00550F30"/>
    <w:rsid w:val="00551D99"/>
    <w:rsid w:val="00553F2B"/>
    <w:rsid w:val="00555AF4"/>
    <w:rsid w:val="00555AFA"/>
    <w:rsid w:val="005573A0"/>
    <w:rsid w:val="00557A2B"/>
    <w:rsid w:val="00564E4E"/>
    <w:rsid w:val="00565697"/>
    <w:rsid w:val="0056599C"/>
    <w:rsid w:val="00565F51"/>
    <w:rsid w:val="00566C02"/>
    <w:rsid w:val="00566D96"/>
    <w:rsid w:val="0057083E"/>
    <w:rsid w:val="00570FDA"/>
    <w:rsid w:val="00574D84"/>
    <w:rsid w:val="005761E3"/>
    <w:rsid w:val="0057681B"/>
    <w:rsid w:val="0057799E"/>
    <w:rsid w:val="00580ED6"/>
    <w:rsid w:val="00582975"/>
    <w:rsid w:val="005833B6"/>
    <w:rsid w:val="0058346E"/>
    <w:rsid w:val="00584FEA"/>
    <w:rsid w:val="00585079"/>
    <w:rsid w:val="00586E42"/>
    <w:rsid w:val="00587EC0"/>
    <w:rsid w:val="00590621"/>
    <w:rsid w:val="00590FE0"/>
    <w:rsid w:val="005941A7"/>
    <w:rsid w:val="00594E1C"/>
    <w:rsid w:val="00595124"/>
    <w:rsid w:val="0059566C"/>
    <w:rsid w:val="00595DA5"/>
    <w:rsid w:val="005A0289"/>
    <w:rsid w:val="005A22CF"/>
    <w:rsid w:val="005A41EA"/>
    <w:rsid w:val="005A6174"/>
    <w:rsid w:val="005B000C"/>
    <w:rsid w:val="005B0B97"/>
    <w:rsid w:val="005B391E"/>
    <w:rsid w:val="005B3EF1"/>
    <w:rsid w:val="005B56A7"/>
    <w:rsid w:val="005B5D93"/>
    <w:rsid w:val="005B6C81"/>
    <w:rsid w:val="005C15A0"/>
    <w:rsid w:val="005C37EF"/>
    <w:rsid w:val="005D06C2"/>
    <w:rsid w:val="005D074A"/>
    <w:rsid w:val="005D2D7B"/>
    <w:rsid w:val="005D4B24"/>
    <w:rsid w:val="005D6743"/>
    <w:rsid w:val="005D680C"/>
    <w:rsid w:val="005E048F"/>
    <w:rsid w:val="005E2AE9"/>
    <w:rsid w:val="005E3142"/>
    <w:rsid w:val="005F0BCE"/>
    <w:rsid w:val="005F2183"/>
    <w:rsid w:val="005F33A3"/>
    <w:rsid w:val="005F34F7"/>
    <w:rsid w:val="005F54EB"/>
    <w:rsid w:val="005F56A6"/>
    <w:rsid w:val="006012C6"/>
    <w:rsid w:val="00602802"/>
    <w:rsid w:val="0060538B"/>
    <w:rsid w:val="00612F9F"/>
    <w:rsid w:val="00613EFD"/>
    <w:rsid w:val="00614401"/>
    <w:rsid w:val="006154BA"/>
    <w:rsid w:val="00617400"/>
    <w:rsid w:val="0061756D"/>
    <w:rsid w:val="00617630"/>
    <w:rsid w:val="00617F55"/>
    <w:rsid w:val="00620346"/>
    <w:rsid w:val="00620555"/>
    <w:rsid w:val="006221A9"/>
    <w:rsid w:val="00624BB7"/>
    <w:rsid w:val="00625409"/>
    <w:rsid w:val="0062638D"/>
    <w:rsid w:val="00630F1E"/>
    <w:rsid w:val="00631FF1"/>
    <w:rsid w:val="0063642D"/>
    <w:rsid w:val="0064134B"/>
    <w:rsid w:val="00641942"/>
    <w:rsid w:val="006506EE"/>
    <w:rsid w:val="00650B77"/>
    <w:rsid w:val="00652B56"/>
    <w:rsid w:val="00653245"/>
    <w:rsid w:val="00656384"/>
    <w:rsid w:val="00657662"/>
    <w:rsid w:val="00657CCF"/>
    <w:rsid w:val="006653D4"/>
    <w:rsid w:val="00666A15"/>
    <w:rsid w:val="00666E6D"/>
    <w:rsid w:val="00667F6E"/>
    <w:rsid w:val="0067028F"/>
    <w:rsid w:val="00670FA6"/>
    <w:rsid w:val="00671904"/>
    <w:rsid w:val="006722CE"/>
    <w:rsid w:val="00673458"/>
    <w:rsid w:val="00673C52"/>
    <w:rsid w:val="0067540F"/>
    <w:rsid w:val="00676281"/>
    <w:rsid w:val="00677F9F"/>
    <w:rsid w:val="00682611"/>
    <w:rsid w:val="00682E96"/>
    <w:rsid w:val="006851A4"/>
    <w:rsid w:val="00690BB8"/>
    <w:rsid w:val="00692574"/>
    <w:rsid w:val="0069278C"/>
    <w:rsid w:val="00693A87"/>
    <w:rsid w:val="00694A8E"/>
    <w:rsid w:val="00696B73"/>
    <w:rsid w:val="0069721F"/>
    <w:rsid w:val="006A00D0"/>
    <w:rsid w:val="006A185C"/>
    <w:rsid w:val="006A4230"/>
    <w:rsid w:val="006A42F6"/>
    <w:rsid w:val="006A5B40"/>
    <w:rsid w:val="006A6E0F"/>
    <w:rsid w:val="006B007F"/>
    <w:rsid w:val="006B176F"/>
    <w:rsid w:val="006B2E5E"/>
    <w:rsid w:val="006B45BB"/>
    <w:rsid w:val="006B48F1"/>
    <w:rsid w:val="006B5C5D"/>
    <w:rsid w:val="006B77B1"/>
    <w:rsid w:val="006C2467"/>
    <w:rsid w:val="006C2AB7"/>
    <w:rsid w:val="006C4DEE"/>
    <w:rsid w:val="006C60A2"/>
    <w:rsid w:val="006C720A"/>
    <w:rsid w:val="006C7454"/>
    <w:rsid w:val="006C7E7C"/>
    <w:rsid w:val="006D072C"/>
    <w:rsid w:val="006D0752"/>
    <w:rsid w:val="006D158A"/>
    <w:rsid w:val="006D20FE"/>
    <w:rsid w:val="006D3FD8"/>
    <w:rsid w:val="006D3FDD"/>
    <w:rsid w:val="006D43C6"/>
    <w:rsid w:val="006D4C4D"/>
    <w:rsid w:val="006D512F"/>
    <w:rsid w:val="006D52EC"/>
    <w:rsid w:val="006D7CA8"/>
    <w:rsid w:val="006E4FFF"/>
    <w:rsid w:val="006E5253"/>
    <w:rsid w:val="006E6B9A"/>
    <w:rsid w:val="006F0107"/>
    <w:rsid w:val="006F0F9F"/>
    <w:rsid w:val="006F4B51"/>
    <w:rsid w:val="006F5508"/>
    <w:rsid w:val="006F5DED"/>
    <w:rsid w:val="00700D5A"/>
    <w:rsid w:val="00701EF9"/>
    <w:rsid w:val="00702C87"/>
    <w:rsid w:val="0070480D"/>
    <w:rsid w:val="007048C3"/>
    <w:rsid w:val="00705286"/>
    <w:rsid w:val="007056DE"/>
    <w:rsid w:val="007057D5"/>
    <w:rsid w:val="00705C78"/>
    <w:rsid w:val="007062F7"/>
    <w:rsid w:val="00710C7C"/>
    <w:rsid w:val="00711D33"/>
    <w:rsid w:val="00711DD1"/>
    <w:rsid w:val="00712655"/>
    <w:rsid w:val="00712FC3"/>
    <w:rsid w:val="007132D3"/>
    <w:rsid w:val="00713CC9"/>
    <w:rsid w:val="00720AC2"/>
    <w:rsid w:val="00723A10"/>
    <w:rsid w:val="00724B15"/>
    <w:rsid w:val="00726156"/>
    <w:rsid w:val="007315AC"/>
    <w:rsid w:val="00732383"/>
    <w:rsid w:val="00732E84"/>
    <w:rsid w:val="007338BB"/>
    <w:rsid w:val="00733BDE"/>
    <w:rsid w:val="00737957"/>
    <w:rsid w:val="00742180"/>
    <w:rsid w:val="00742F6E"/>
    <w:rsid w:val="007477F6"/>
    <w:rsid w:val="0075003C"/>
    <w:rsid w:val="0075182E"/>
    <w:rsid w:val="00752F61"/>
    <w:rsid w:val="00754C81"/>
    <w:rsid w:val="007561F9"/>
    <w:rsid w:val="00756D67"/>
    <w:rsid w:val="00757C50"/>
    <w:rsid w:val="00760049"/>
    <w:rsid w:val="00760131"/>
    <w:rsid w:val="00760A3F"/>
    <w:rsid w:val="00761F1C"/>
    <w:rsid w:val="00762C40"/>
    <w:rsid w:val="00763560"/>
    <w:rsid w:val="0076369E"/>
    <w:rsid w:val="00763935"/>
    <w:rsid w:val="00765BB9"/>
    <w:rsid w:val="00765F0F"/>
    <w:rsid w:val="00766C46"/>
    <w:rsid w:val="00766FA3"/>
    <w:rsid w:val="00767B6F"/>
    <w:rsid w:val="00771468"/>
    <w:rsid w:val="00772D0C"/>
    <w:rsid w:val="00773E97"/>
    <w:rsid w:val="00776A1A"/>
    <w:rsid w:val="00776CA7"/>
    <w:rsid w:val="00781226"/>
    <w:rsid w:val="007812A0"/>
    <w:rsid w:val="00784191"/>
    <w:rsid w:val="00784B28"/>
    <w:rsid w:val="0078762A"/>
    <w:rsid w:val="007911DF"/>
    <w:rsid w:val="00791354"/>
    <w:rsid w:val="0079178D"/>
    <w:rsid w:val="00791A5D"/>
    <w:rsid w:val="00792173"/>
    <w:rsid w:val="00792B4E"/>
    <w:rsid w:val="00793083"/>
    <w:rsid w:val="00793203"/>
    <w:rsid w:val="007960C4"/>
    <w:rsid w:val="0079666E"/>
    <w:rsid w:val="0079669E"/>
    <w:rsid w:val="00796A2A"/>
    <w:rsid w:val="007970E5"/>
    <w:rsid w:val="007A01CA"/>
    <w:rsid w:val="007A124D"/>
    <w:rsid w:val="007A134E"/>
    <w:rsid w:val="007A2A69"/>
    <w:rsid w:val="007A2D26"/>
    <w:rsid w:val="007A412D"/>
    <w:rsid w:val="007A4A70"/>
    <w:rsid w:val="007A6A83"/>
    <w:rsid w:val="007B059C"/>
    <w:rsid w:val="007B10A8"/>
    <w:rsid w:val="007B1DB5"/>
    <w:rsid w:val="007B2934"/>
    <w:rsid w:val="007B546D"/>
    <w:rsid w:val="007B7386"/>
    <w:rsid w:val="007C143D"/>
    <w:rsid w:val="007C3178"/>
    <w:rsid w:val="007C33E4"/>
    <w:rsid w:val="007C5E33"/>
    <w:rsid w:val="007D3894"/>
    <w:rsid w:val="007D3E2E"/>
    <w:rsid w:val="007D78C8"/>
    <w:rsid w:val="007E04D4"/>
    <w:rsid w:val="007E058D"/>
    <w:rsid w:val="007E267A"/>
    <w:rsid w:val="007E2A74"/>
    <w:rsid w:val="007E5CF8"/>
    <w:rsid w:val="007E76BF"/>
    <w:rsid w:val="007E771D"/>
    <w:rsid w:val="007F10BA"/>
    <w:rsid w:val="007F143F"/>
    <w:rsid w:val="007F3EF2"/>
    <w:rsid w:val="007F538E"/>
    <w:rsid w:val="007F691D"/>
    <w:rsid w:val="008010A5"/>
    <w:rsid w:val="00801948"/>
    <w:rsid w:val="00804085"/>
    <w:rsid w:val="00804288"/>
    <w:rsid w:val="008042AF"/>
    <w:rsid w:val="0080681C"/>
    <w:rsid w:val="00807778"/>
    <w:rsid w:val="0080786E"/>
    <w:rsid w:val="00812352"/>
    <w:rsid w:val="00813CD3"/>
    <w:rsid w:val="0081518A"/>
    <w:rsid w:val="00815E75"/>
    <w:rsid w:val="00816B86"/>
    <w:rsid w:val="00816F96"/>
    <w:rsid w:val="00821502"/>
    <w:rsid w:val="00823E65"/>
    <w:rsid w:val="008244E5"/>
    <w:rsid w:val="00824762"/>
    <w:rsid w:val="0082624D"/>
    <w:rsid w:val="008339F9"/>
    <w:rsid w:val="0083545E"/>
    <w:rsid w:val="00836060"/>
    <w:rsid w:val="00836189"/>
    <w:rsid w:val="00836840"/>
    <w:rsid w:val="008374D9"/>
    <w:rsid w:val="00840AB6"/>
    <w:rsid w:val="00842222"/>
    <w:rsid w:val="00842932"/>
    <w:rsid w:val="008459AF"/>
    <w:rsid w:val="00846CBF"/>
    <w:rsid w:val="00846FAB"/>
    <w:rsid w:val="00850219"/>
    <w:rsid w:val="008505E8"/>
    <w:rsid w:val="00852480"/>
    <w:rsid w:val="00852D38"/>
    <w:rsid w:val="00853203"/>
    <w:rsid w:val="00853251"/>
    <w:rsid w:val="008535A0"/>
    <w:rsid w:val="00854869"/>
    <w:rsid w:val="008553DA"/>
    <w:rsid w:val="00856CC3"/>
    <w:rsid w:val="0085736B"/>
    <w:rsid w:val="0086050D"/>
    <w:rsid w:val="008620C2"/>
    <w:rsid w:val="00865DE0"/>
    <w:rsid w:val="00866033"/>
    <w:rsid w:val="00870BF0"/>
    <w:rsid w:val="00870FE7"/>
    <w:rsid w:val="008716FA"/>
    <w:rsid w:val="00871D7E"/>
    <w:rsid w:val="008721F4"/>
    <w:rsid w:val="00872250"/>
    <w:rsid w:val="008725F3"/>
    <w:rsid w:val="00872C28"/>
    <w:rsid w:val="00874050"/>
    <w:rsid w:val="00876247"/>
    <w:rsid w:val="008809EC"/>
    <w:rsid w:val="00881A67"/>
    <w:rsid w:val="00884252"/>
    <w:rsid w:val="0088624E"/>
    <w:rsid w:val="00886503"/>
    <w:rsid w:val="00887DF7"/>
    <w:rsid w:val="00892039"/>
    <w:rsid w:val="00892A32"/>
    <w:rsid w:val="00893B8E"/>
    <w:rsid w:val="0089560B"/>
    <w:rsid w:val="0089612C"/>
    <w:rsid w:val="00897F2F"/>
    <w:rsid w:val="008A0730"/>
    <w:rsid w:val="008A1ED0"/>
    <w:rsid w:val="008A1F1C"/>
    <w:rsid w:val="008A2594"/>
    <w:rsid w:val="008A34A6"/>
    <w:rsid w:val="008A4707"/>
    <w:rsid w:val="008A4BA4"/>
    <w:rsid w:val="008A5BDD"/>
    <w:rsid w:val="008A5F17"/>
    <w:rsid w:val="008B09B0"/>
    <w:rsid w:val="008B277E"/>
    <w:rsid w:val="008B2FDC"/>
    <w:rsid w:val="008B6B21"/>
    <w:rsid w:val="008B6C31"/>
    <w:rsid w:val="008C2ADD"/>
    <w:rsid w:val="008C2B14"/>
    <w:rsid w:val="008C4C00"/>
    <w:rsid w:val="008C4EB6"/>
    <w:rsid w:val="008C6E52"/>
    <w:rsid w:val="008D0722"/>
    <w:rsid w:val="008D251E"/>
    <w:rsid w:val="008D2554"/>
    <w:rsid w:val="008D2CF0"/>
    <w:rsid w:val="008D347B"/>
    <w:rsid w:val="008D3EF6"/>
    <w:rsid w:val="008E090D"/>
    <w:rsid w:val="008E1348"/>
    <w:rsid w:val="008E27D5"/>
    <w:rsid w:val="008E2C8D"/>
    <w:rsid w:val="008E4F19"/>
    <w:rsid w:val="008E51A4"/>
    <w:rsid w:val="008E6896"/>
    <w:rsid w:val="008E6C24"/>
    <w:rsid w:val="008F03A6"/>
    <w:rsid w:val="008F5BBE"/>
    <w:rsid w:val="009005E0"/>
    <w:rsid w:val="0090352C"/>
    <w:rsid w:val="0090427E"/>
    <w:rsid w:val="0090516B"/>
    <w:rsid w:val="00905828"/>
    <w:rsid w:val="00905C53"/>
    <w:rsid w:val="00906156"/>
    <w:rsid w:val="009108D2"/>
    <w:rsid w:val="00913E51"/>
    <w:rsid w:val="009146DD"/>
    <w:rsid w:val="009157DC"/>
    <w:rsid w:val="00915D34"/>
    <w:rsid w:val="00916155"/>
    <w:rsid w:val="00916A11"/>
    <w:rsid w:val="00916CA6"/>
    <w:rsid w:val="009172E7"/>
    <w:rsid w:val="009214F2"/>
    <w:rsid w:val="00921D45"/>
    <w:rsid w:val="00922614"/>
    <w:rsid w:val="00923F47"/>
    <w:rsid w:val="00930CFC"/>
    <w:rsid w:val="00931C9D"/>
    <w:rsid w:val="00932248"/>
    <w:rsid w:val="00932BEF"/>
    <w:rsid w:val="00934221"/>
    <w:rsid w:val="009345A5"/>
    <w:rsid w:val="0093734D"/>
    <w:rsid w:val="009402E9"/>
    <w:rsid w:val="00942836"/>
    <w:rsid w:val="0094304B"/>
    <w:rsid w:val="009433CB"/>
    <w:rsid w:val="009438D0"/>
    <w:rsid w:val="00943FE8"/>
    <w:rsid w:val="00947FE1"/>
    <w:rsid w:val="0095082C"/>
    <w:rsid w:val="009516DF"/>
    <w:rsid w:val="00951938"/>
    <w:rsid w:val="00953E08"/>
    <w:rsid w:val="0096003B"/>
    <w:rsid w:val="009625EF"/>
    <w:rsid w:val="009628AF"/>
    <w:rsid w:val="0096292F"/>
    <w:rsid w:val="009648BC"/>
    <w:rsid w:val="00971496"/>
    <w:rsid w:val="00971DDC"/>
    <w:rsid w:val="0097265A"/>
    <w:rsid w:val="00972F70"/>
    <w:rsid w:val="0097320D"/>
    <w:rsid w:val="009745AB"/>
    <w:rsid w:val="00974ECD"/>
    <w:rsid w:val="009752FB"/>
    <w:rsid w:val="009810AE"/>
    <w:rsid w:val="00983C2C"/>
    <w:rsid w:val="009854F3"/>
    <w:rsid w:val="009871A7"/>
    <w:rsid w:val="00987AB6"/>
    <w:rsid w:val="00991070"/>
    <w:rsid w:val="00991963"/>
    <w:rsid w:val="00992DCD"/>
    <w:rsid w:val="009952B3"/>
    <w:rsid w:val="00996DDA"/>
    <w:rsid w:val="009A181F"/>
    <w:rsid w:val="009A1C7D"/>
    <w:rsid w:val="009A3971"/>
    <w:rsid w:val="009A5D9D"/>
    <w:rsid w:val="009A6C21"/>
    <w:rsid w:val="009B147D"/>
    <w:rsid w:val="009B2AA7"/>
    <w:rsid w:val="009B4D79"/>
    <w:rsid w:val="009B54AA"/>
    <w:rsid w:val="009B5573"/>
    <w:rsid w:val="009C044E"/>
    <w:rsid w:val="009C1507"/>
    <w:rsid w:val="009C2CAB"/>
    <w:rsid w:val="009C4726"/>
    <w:rsid w:val="009C4BD7"/>
    <w:rsid w:val="009C701D"/>
    <w:rsid w:val="009C78C8"/>
    <w:rsid w:val="009C7FB5"/>
    <w:rsid w:val="009D03F9"/>
    <w:rsid w:val="009D1A30"/>
    <w:rsid w:val="009D1EE1"/>
    <w:rsid w:val="009D2D92"/>
    <w:rsid w:val="009D31B7"/>
    <w:rsid w:val="009D464B"/>
    <w:rsid w:val="009D4E27"/>
    <w:rsid w:val="009D61BB"/>
    <w:rsid w:val="009D7EE2"/>
    <w:rsid w:val="009E0835"/>
    <w:rsid w:val="009E27A5"/>
    <w:rsid w:val="009E2BBA"/>
    <w:rsid w:val="009E30B4"/>
    <w:rsid w:val="009E555F"/>
    <w:rsid w:val="009E748B"/>
    <w:rsid w:val="009F1C45"/>
    <w:rsid w:val="009F35E1"/>
    <w:rsid w:val="009F4300"/>
    <w:rsid w:val="009F5202"/>
    <w:rsid w:val="009F548D"/>
    <w:rsid w:val="009F5AF4"/>
    <w:rsid w:val="009F6F2F"/>
    <w:rsid w:val="00A02E6B"/>
    <w:rsid w:val="00A0363B"/>
    <w:rsid w:val="00A03DA2"/>
    <w:rsid w:val="00A044DF"/>
    <w:rsid w:val="00A07A4C"/>
    <w:rsid w:val="00A07D64"/>
    <w:rsid w:val="00A11B04"/>
    <w:rsid w:val="00A16D4F"/>
    <w:rsid w:val="00A173FB"/>
    <w:rsid w:val="00A17BD3"/>
    <w:rsid w:val="00A22250"/>
    <w:rsid w:val="00A22F3F"/>
    <w:rsid w:val="00A237B2"/>
    <w:rsid w:val="00A24CCA"/>
    <w:rsid w:val="00A24F87"/>
    <w:rsid w:val="00A25CF2"/>
    <w:rsid w:val="00A26629"/>
    <w:rsid w:val="00A279D4"/>
    <w:rsid w:val="00A27B2A"/>
    <w:rsid w:val="00A31718"/>
    <w:rsid w:val="00A31F96"/>
    <w:rsid w:val="00A3215B"/>
    <w:rsid w:val="00A34767"/>
    <w:rsid w:val="00A411EE"/>
    <w:rsid w:val="00A4219D"/>
    <w:rsid w:val="00A42EB5"/>
    <w:rsid w:val="00A43B75"/>
    <w:rsid w:val="00A464CF"/>
    <w:rsid w:val="00A4728B"/>
    <w:rsid w:val="00A472E9"/>
    <w:rsid w:val="00A476D8"/>
    <w:rsid w:val="00A47F49"/>
    <w:rsid w:val="00A508F9"/>
    <w:rsid w:val="00A51137"/>
    <w:rsid w:val="00A515D6"/>
    <w:rsid w:val="00A52561"/>
    <w:rsid w:val="00A52FC5"/>
    <w:rsid w:val="00A53FC5"/>
    <w:rsid w:val="00A540F3"/>
    <w:rsid w:val="00A54F01"/>
    <w:rsid w:val="00A55C85"/>
    <w:rsid w:val="00A55F27"/>
    <w:rsid w:val="00A55FA6"/>
    <w:rsid w:val="00A569A4"/>
    <w:rsid w:val="00A57168"/>
    <w:rsid w:val="00A57D7C"/>
    <w:rsid w:val="00A62B1A"/>
    <w:rsid w:val="00A63B04"/>
    <w:rsid w:val="00A64548"/>
    <w:rsid w:val="00A6459C"/>
    <w:rsid w:val="00A6678D"/>
    <w:rsid w:val="00A71BD4"/>
    <w:rsid w:val="00A72B9C"/>
    <w:rsid w:val="00A7317C"/>
    <w:rsid w:val="00A7473A"/>
    <w:rsid w:val="00A76243"/>
    <w:rsid w:val="00A762D5"/>
    <w:rsid w:val="00A76CC3"/>
    <w:rsid w:val="00A773F5"/>
    <w:rsid w:val="00A805A8"/>
    <w:rsid w:val="00A80B01"/>
    <w:rsid w:val="00A83159"/>
    <w:rsid w:val="00A83D20"/>
    <w:rsid w:val="00A8433B"/>
    <w:rsid w:val="00A84CE5"/>
    <w:rsid w:val="00A84D84"/>
    <w:rsid w:val="00A853DD"/>
    <w:rsid w:val="00A877B9"/>
    <w:rsid w:val="00A91ACA"/>
    <w:rsid w:val="00A93646"/>
    <w:rsid w:val="00A9379A"/>
    <w:rsid w:val="00A944DA"/>
    <w:rsid w:val="00A945E2"/>
    <w:rsid w:val="00A94F9B"/>
    <w:rsid w:val="00A95088"/>
    <w:rsid w:val="00A95E61"/>
    <w:rsid w:val="00A9638F"/>
    <w:rsid w:val="00AA2D50"/>
    <w:rsid w:val="00AA3CA4"/>
    <w:rsid w:val="00AB0940"/>
    <w:rsid w:val="00AB0FB3"/>
    <w:rsid w:val="00AB1474"/>
    <w:rsid w:val="00AB4EFA"/>
    <w:rsid w:val="00AC16A2"/>
    <w:rsid w:val="00AC24D4"/>
    <w:rsid w:val="00AC2BD8"/>
    <w:rsid w:val="00AC4276"/>
    <w:rsid w:val="00AC4AAA"/>
    <w:rsid w:val="00AC5A41"/>
    <w:rsid w:val="00AC68A1"/>
    <w:rsid w:val="00AC7216"/>
    <w:rsid w:val="00AC75B1"/>
    <w:rsid w:val="00AD0C4F"/>
    <w:rsid w:val="00AD20A2"/>
    <w:rsid w:val="00AD3030"/>
    <w:rsid w:val="00AD54E8"/>
    <w:rsid w:val="00AD5E2B"/>
    <w:rsid w:val="00AD5EB6"/>
    <w:rsid w:val="00AD668A"/>
    <w:rsid w:val="00AD7B4E"/>
    <w:rsid w:val="00AE052F"/>
    <w:rsid w:val="00AE26C5"/>
    <w:rsid w:val="00AE3567"/>
    <w:rsid w:val="00AE3C0F"/>
    <w:rsid w:val="00AE4560"/>
    <w:rsid w:val="00AE4706"/>
    <w:rsid w:val="00AE6A29"/>
    <w:rsid w:val="00AE6AE8"/>
    <w:rsid w:val="00AE743A"/>
    <w:rsid w:val="00AE775A"/>
    <w:rsid w:val="00AE7C57"/>
    <w:rsid w:val="00AF035C"/>
    <w:rsid w:val="00AF18EF"/>
    <w:rsid w:val="00AF1A64"/>
    <w:rsid w:val="00AF3B2C"/>
    <w:rsid w:val="00AF3BF9"/>
    <w:rsid w:val="00AF4CEB"/>
    <w:rsid w:val="00AF7396"/>
    <w:rsid w:val="00B03B2F"/>
    <w:rsid w:val="00B03BCC"/>
    <w:rsid w:val="00B043AB"/>
    <w:rsid w:val="00B05888"/>
    <w:rsid w:val="00B07901"/>
    <w:rsid w:val="00B1029B"/>
    <w:rsid w:val="00B107DB"/>
    <w:rsid w:val="00B1120E"/>
    <w:rsid w:val="00B12666"/>
    <w:rsid w:val="00B139DE"/>
    <w:rsid w:val="00B16C2A"/>
    <w:rsid w:val="00B22638"/>
    <w:rsid w:val="00B243F4"/>
    <w:rsid w:val="00B24CFC"/>
    <w:rsid w:val="00B25060"/>
    <w:rsid w:val="00B26A4A"/>
    <w:rsid w:val="00B26DD1"/>
    <w:rsid w:val="00B31627"/>
    <w:rsid w:val="00B31DEC"/>
    <w:rsid w:val="00B32C30"/>
    <w:rsid w:val="00B35602"/>
    <w:rsid w:val="00B37427"/>
    <w:rsid w:val="00B40B53"/>
    <w:rsid w:val="00B42AE6"/>
    <w:rsid w:val="00B435F5"/>
    <w:rsid w:val="00B44E9F"/>
    <w:rsid w:val="00B454F4"/>
    <w:rsid w:val="00B46077"/>
    <w:rsid w:val="00B50CDC"/>
    <w:rsid w:val="00B50FD8"/>
    <w:rsid w:val="00B533B9"/>
    <w:rsid w:val="00B53A0C"/>
    <w:rsid w:val="00B5527C"/>
    <w:rsid w:val="00B55FA9"/>
    <w:rsid w:val="00B56B1F"/>
    <w:rsid w:val="00B578C5"/>
    <w:rsid w:val="00B57C29"/>
    <w:rsid w:val="00B60DCF"/>
    <w:rsid w:val="00B61268"/>
    <w:rsid w:val="00B65945"/>
    <w:rsid w:val="00B67AF4"/>
    <w:rsid w:val="00B72D05"/>
    <w:rsid w:val="00B73E13"/>
    <w:rsid w:val="00B76024"/>
    <w:rsid w:val="00B765A4"/>
    <w:rsid w:val="00B76DCE"/>
    <w:rsid w:val="00B816F5"/>
    <w:rsid w:val="00B82BFD"/>
    <w:rsid w:val="00B8312D"/>
    <w:rsid w:val="00B834F3"/>
    <w:rsid w:val="00B83E85"/>
    <w:rsid w:val="00B846EC"/>
    <w:rsid w:val="00B86BDA"/>
    <w:rsid w:val="00B87244"/>
    <w:rsid w:val="00B87640"/>
    <w:rsid w:val="00B87F06"/>
    <w:rsid w:val="00B907D3"/>
    <w:rsid w:val="00B93DCC"/>
    <w:rsid w:val="00B95ADA"/>
    <w:rsid w:val="00B960F2"/>
    <w:rsid w:val="00BA14B7"/>
    <w:rsid w:val="00BA1C72"/>
    <w:rsid w:val="00BA245E"/>
    <w:rsid w:val="00BA48BD"/>
    <w:rsid w:val="00BB070C"/>
    <w:rsid w:val="00BB0DB8"/>
    <w:rsid w:val="00BB223E"/>
    <w:rsid w:val="00BB5D7F"/>
    <w:rsid w:val="00BB6344"/>
    <w:rsid w:val="00BC0F95"/>
    <w:rsid w:val="00BC15B0"/>
    <w:rsid w:val="00BC1F67"/>
    <w:rsid w:val="00BC2EC5"/>
    <w:rsid w:val="00BC3330"/>
    <w:rsid w:val="00BC7528"/>
    <w:rsid w:val="00BC7924"/>
    <w:rsid w:val="00BD1F36"/>
    <w:rsid w:val="00BD285A"/>
    <w:rsid w:val="00BD42C1"/>
    <w:rsid w:val="00BD4AC8"/>
    <w:rsid w:val="00BD5AB5"/>
    <w:rsid w:val="00BE24EB"/>
    <w:rsid w:val="00BE2E7D"/>
    <w:rsid w:val="00BE6CB0"/>
    <w:rsid w:val="00BE7AD0"/>
    <w:rsid w:val="00BF04D4"/>
    <w:rsid w:val="00BF074A"/>
    <w:rsid w:val="00BF11AE"/>
    <w:rsid w:val="00BF2C7E"/>
    <w:rsid w:val="00BF4E61"/>
    <w:rsid w:val="00BF5CF3"/>
    <w:rsid w:val="00C00590"/>
    <w:rsid w:val="00C01D44"/>
    <w:rsid w:val="00C02744"/>
    <w:rsid w:val="00C0297C"/>
    <w:rsid w:val="00C02F16"/>
    <w:rsid w:val="00C030FD"/>
    <w:rsid w:val="00C04975"/>
    <w:rsid w:val="00C04E92"/>
    <w:rsid w:val="00C062F6"/>
    <w:rsid w:val="00C10492"/>
    <w:rsid w:val="00C115D4"/>
    <w:rsid w:val="00C118BF"/>
    <w:rsid w:val="00C12A7E"/>
    <w:rsid w:val="00C15FEF"/>
    <w:rsid w:val="00C16D62"/>
    <w:rsid w:val="00C24819"/>
    <w:rsid w:val="00C30433"/>
    <w:rsid w:val="00C30640"/>
    <w:rsid w:val="00C3079E"/>
    <w:rsid w:val="00C33A56"/>
    <w:rsid w:val="00C33CBA"/>
    <w:rsid w:val="00C349CF"/>
    <w:rsid w:val="00C42297"/>
    <w:rsid w:val="00C44689"/>
    <w:rsid w:val="00C45F4C"/>
    <w:rsid w:val="00C47ABD"/>
    <w:rsid w:val="00C50168"/>
    <w:rsid w:val="00C50FB7"/>
    <w:rsid w:val="00C516B7"/>
    <w:rsid w:val="00C53622"/>
    <w:rsid w:val="00C54982"/>
    <w:rsid w:val="00C5567E"/>
    <w:rsid w:val="00C5588E"/>
    <w:rsid w:val="00C573D9"/>
    <w:rsid w:val="00C66B5A"/>
    <w:rsid w:val="00C67F74"/>
    <w:rsid w:val="00C7277F"/>
    <w:rsid w:val="00C73478"/>
    <w:rsid w:val="00C749A1"/>
    <w:rsid w:val="00C74F47"/>
    <w:rsid w:val="00C766A6"/>
    <w:rsid w:val="00C76F1A"/>
    <w:rsid w:val="00C81BB1"/>
    <w:rsid w:val="00C83087"/>
    <w:rsid w:val="00C845F9"/>
    <w:rsid w:val="00C8562D"/>
    <w:rsid w:val="00C86B00"/>
    <w:rsid w:val="00C86B68"/>
    <w:rsid w:val="00C90416"/>
    <w:rsid w:val="00C9201F"/>
    <w:rsid w:val="00C93EDD"/>
    <w:rsid w:val="00C953EF"/>
    <w:rsid w:val="00C95DD5"/>
    <w:rsid w:val="00C97311"/>
    <w:rsid w:val="00CA1AEB"/>
    <w:rsid w:val="00CA32E5"/>
    <w:rsid w:val="00CA4F19"/>
    <w:rsid w:val="00CA5EFF"/>
    <w:rsid w:val="00CA6D69"/>
    <w:rsid w:val="00CA744F"/>
    <w:rsid w:val="00CA7B1E"/>
    <w:rsid w:val="00CB0EE0"/>
    <w:rsid w:val="00CB10FA"/>
    <w:rsid w:val="00CB13D1"/>
    <w:rsid w:val="00CB1E38"/>
    <w:rsid w:val="00CB23E1"/>
    <w:rsid w:val="00CB5784"/>
    <w:rsid w:val="00CB7C7C"/>
    <w:rsid w:val="00CC0088"/>
    <w:rsid w:val="00CC024C"/>
    <w:rsid w:val="00CC29FA"/>
    <w:rsid w:val="00CC2AB5"/>
    <w:rsid w:val="00CC39FD"/>
    <w:rsid w:val="00CC502E"/>
    <w:rsid w:val="00CC7F0B"/>
    <w:rsid w:val="00CD18FB"/>
    <w:rsid w:val="00CD3037"/>
    <w:rsid w:val="00CD329D"/>
    <w:rsid w:val="00CD3FBE"/>
    <w:rsid w:val="00CD478F"/>
    <w:rsid w:val="00CD7D6E"/>
    <w:rsid w:val="00CE1B6E"/>
    <w:rsid w:val="00CE4DE5"/>
    <w:rsid w:val="00CE6174"/>
    <w:rsid w:val="00CF00C8"/>
    <w:rsid w:val="00CF16DE"/>
    <w:rsid w:val="00CF356A"/>
    <w:rsid w:val="00CF398A"/>
    <w:rsid w:val="00CF527B"/>
    <w:rsid w:val="00D00BD8"/>
    <w:rsid w:val="00D02F5A"/>
    <w:rsid w:val="00D0360C"/>
    <w:rsid w:val="00D04B88"/>
    <w:rsid w:val="00D06B3F"/>
    <w:rsid w:val="00D078F4"/>
    <w:rsid w:val="00D07D4A"/>
    <w:rsid w:val="00D10075"/>
    <w:rsid w:val="00D12160"/>
    <w:rsid w:val="00D15157"/>
    <w:rsid w:val="00D15C08"/>
    <w:rsid w:val="00D15C3A"/>
    <w:rsid w:val="00D15E25"/>
    <w:rsid w:val="00D16AB7"/>
    <w:rsid w:val="00D2092D"/>
    <w:rsid w:val="00D21A5C"/>
    <w:rsid w:val="00D22A73"/>
    <w:rsid w:val="00D22B56"/>
    <w:rsid w:val="00D2405C"/>
    <w:rsid w:val="00D25CA2"/>
    <w:rsid w:val="00D26398"/>
    <w:rsid w:val="00D2647C"/>
    <w:rsid w:val="00D273EF"/>
    <w:rsid w:val="00D2780E"/>
    <w:rsid w:val="00D32A1B"/>
    <w:rsid w:val="00D3302E"/>
    <w:rsid w:val="00D34F0F"/>
    <w:rsid w:val="00D37C6E"/>
    <w:rsid w:val="00D45706"/>
    <w:rsid w:val="00D462B9"/>
    <w:rsid w:val="00D51AB5"/>
    <w:rsid w:val="00D51DA9"/>
    <w:rsid w:val="00D5308D"/>
    <w:rsid w:val="00D53D01"/>
    <w:rsid w:val="00D56DBA"/>
    <w:rsid w:val="00D57553"/>
    <w:rsid w:val="00D62003"/>
    <w:rsid w:val="00D63DEA"/>
    <w:rsid w:val="00D66CDA"/>
    <w:rsid w:val="00D66EC2"/>
    <w:rsid w:val="00D673E0"/>
    <w:rsid w:val="00D70674"/>
    <w:rsid w:val="00D7074E"/>
    <w:rsid w:val="00D70E91"/>
    <w:rsid w:val="00D714C3"/>
    <w:rsid w:val="00D72C08"/>
    <w:rsid w:val="00D72F23"/>
    <w:rsid w:val="00D743AA"/>
    <w:rsid w:val="00D76E1B"/>
    <w:rsid w:val="00D776E9"/>
    <w:rsid w:val="00D8248D"/>
    <w:rsid w:val="00D82A53"/>
    <w:rsid w:val="00D83034"/>
    <w:rsid w:val="00D849D4"/>
    <w:rsid w:val="00D85273"/>
    <w:rsid w:val="00D859DF"/>
    <w:rsid w:val="00D85C61"/>
    <w:rsid w:val="00D876F7"/>
    <w:rsid w:val="00D9131C"/>
    <w:rsid w:val="00D91B7C"/>
    <w:rsid w:val="00D91F23"/>
    <w:rsid w:val="00D93AC6"/>
    <w:rsid w:val="00D93B0C"/>
    <w:rsid w:val="00D93D1F"/>
    <w:rsid w:val="00D966A9"/>
    <w:rsid w:val="00D96FEA"/>
    <w:rsid w:val="00DA12AB"/>
    <w:rsid w:val="00DA19C6"/>
    <w:rsid w:val="00DA307E"/>
    <w:rsid w:val="00DA4ADA"/>
    <w:rsid w:val="00DA5597"/>
    <w:rsid w:val="00DA7C4F"/>
    <w:rsid w:val="00DA7D2F"/>
    <w:rsid w:val="00DA7D4E"/>
    <w:rsid w:val="00DB1E11"/>
    <w:rsid w:val="00DB292F"/>
    <w:rsid w:val="00DB3AE4"/>
    <w:rsid w:val="00DB5B00"/>
    <w:rsid w:val="00DC1F87"/>
    <w:rsid w:val="00DC254A"/>
    <w:rsid w:val="00DC4081"/>
    <w:rsid w:val="00DD201C"/>
    <w:rsid w:val="00DD2AFC"/>
    <w:rsid w:val="00DD34F8"/>
    <w:rsid w:val="00DD38EA"/>
    <w:rsid w:val="00DD646B"/>
    <w:rsid w:val="00DD71A4"/>
    <w:rsid w:val="00DD785D"/>
    <w:rsid w:val="00DE0E7D"/>
    <w:rsid w:val="00DE1E17"/>
    <w:rsid w:val="00DE31A3"/>
    <w:rsid w:val="00DE4466"/>
    <w:rsid w:val="00DE54C5"/>
    <w:rsid w:val="00DE6E54"/>
    <w:rsid w:val="00DE7CCB"/>
    <w:rsid w:val="00DF0BD1"/>
    <w:rsid w:val="00DF219B"/>
    <w:rsid w:val="00DF25FD"/>
    <w:rsid w:val="00DF482D"/>
    <w:rsid w:val="00DF56D1"/>
    <w:rsid w:val="00DF65B2"/>
    <w:rsid w:val="00DF6FEC"/>
    <w:rsid w:val="00E0055C"/>
    <w:rsid w:val="00E00801"/>
    <w:rsid w:val="00E02718"/>
    <w:rsid w:val="00E0278A"/>
    <w:rsid w:val="00E03A4D"/>
    <w:rsid w:val="00E03DF4"/>
    <w:rsid w:val="00E051E3"/>
    <w:rsid w:val="00E05567"/>
    <w:rsid w:val="00E06260"/>
    <w:rsid w:val="00E06906"/>
    <w:rsid w:val="00E069B4"/>
    <w:rsid w:val="00E077EB"/>
    <w:rsid w:val="00E07960"/>
    <w:rsid w:val="00E07B15"/>
    <w:rsid w:val="00E125B7"/>
    <w:rsid w:val="00E1495E"/>
    <w:rsid w:val="00E14E7A"/>
    <w:rsid w:val="00E14F87"/>
    <w:rsid w:val="00E153F6"/>
    <w:rsid w:val="00E160A8"/>
    <w:rsid w:val="00E164F6"/>
    <w:rsid w:val="00E174D1"/>
    <w:rsid w:val="00E20171"/>
    <w:rsid w:val="00E20904"/>
    <w:rsid w:val="00E21D8D"/>
    <w:rsid w:val="00E22B11"/>
    <w:rsid w:val="00E3121B"/>
    <w:rsid w:val="00E31405"/>
    <w:rsid w:val="00E32ACC"/>
    <w:rsid w:val="00E3415B"/>
    <w:rsid w:val="00E34CA4"/>
    <w:rsid w:val="00E35457"/>
    <w:rsid w:val="00E35B00"/>
    <w:rsid w:val="00E3603F"/>
    <w:rsid w:val="00E367EE"/>
    <w:rsid w:val="00E4164A"/>
    <w:rsid w:val="00E43842"/>
    <w:rsid w:val="00E43AE7"/>
    <w:rsid w:val="00E4405C"/>
    <w:rsid w:val="00E4509B"/>
    <w:rsid w:val="00E4633B"/>
    <w:rsid w:val="00E47699"/>
    <w:rsid w:val="00E47AE4"/>
    <w:rsid w:val="00E52E3C"/>
    <w:rsid w:val="00E53CC2"/>
    <w:rsid w:val="00E540F5"/>
    <w:rsid w:val="00E569C1"/>
    <w:rsid w:val="00E570E1"/>
    <w:rsid w:val="00E57329"/>
    <w:rsid w:val="00E61115"/>
    <w:rsid w:val="00E6253B"/>
    <w:rsid w:val="00E631F7"/>
    <w:rsid w:val="00E669B4"/>
    <w:rsid w:val="00E75AF8"/>
    <w:rsid w:val="00E76174"/>
    <w:rsid w:val="00E77CC4"/>
    <w:rsid w:val="00E80D8D"/>
    <w:rsid w:val="00E83ECC"/>
    <w:rsid w:val="00E87771"/>
    <w:rsid w:val="00E91BDE"/>
    <w:rsid w:val="00E92072"/>
    <w:rsid w:val="00E943EE"/>
    <w:rsid w:val="00E95BF2"/>
    <w:rsid w:val="00E97D96"/>
    <w:rsid w:val="00EA13D1"/>
    <w:rsid w:val="00EA4B8A"/>
    <w:rsid w:val="00EA5073"/>
    <w:rsid w:val="00EA5B9D"/>
    <w:rsid w:val="00EA622C"/>
    <w:rsid w:val="00EB0370"/>
    <w:rsid w:val="00EB362D"/>
    <w:rsid w:val="00EB434B"/>
    <w:rsid w:val="00EB5904"/>
    <w:rsid w:val="00EB6F8D"/>
    <w:rsid w:val="00EC162F"/>
    <w:rsid w:val="00EC1A79"/>
    <w:rsid w:val="00EC363B"/>
    <w:rsid w:val="00EC3E5A"/>
    <w:rsid w:val="00ED1A2D"/>
    <w:rsid w:val="00ED2C69"/>
    <w:rsid w:val="00ED600D"/>
    <w:rsid w:val="00ED640C"/>
    <w:rsid w:val="00ED6A98"/>
    <w:rsid w:val="00ED7545"/>
    <w:rsid w:val="00EE01E9"/>
    <w:rsid w:val="00EE3590"/>
    <w:rsid w:val="00EE5769"/>
    <w:rsid w:val="00EE6CB7"/>
    <w:rsid w:val="00EF09A6"/>
    <w:rsid w:val="00EF48F6"/>
    <w:rsid w:val="00EF4D67"/>
    <w:rsid w:val="00EF59B8"/>
    <w:rsid w:val="00EF6E23"/>
    <w:rsid w:val="00EF6EFD"/>
    <w:rsid w:val="00F001B4"/>
    <w:rsid w:val="00F00B49"/>
    <w:rsid w:val="00F00FAE"/>
    <w:rsid w:val="00F01A21"/>
    <w:rsid w:val="00F01BCE"/>
    <w:rsid w:val="00F03CF7"/>
    <w:rsid w:val="00F055EA"/>
    <w:rsid w:val="00F10506"/>
    <w:rsid w:val="00F1145E"/>
    <w:rsid w:val="00F12491"/>
    <w:rsid w:val="00F1510A"/>
    <w:rsid w:val="00F15DDF"/>
    <w:rsid w:val="00F1735C"/>
    <w:rsid w:val="00F17791"/>
    <w:rsid w:val="00F17CE5"/>
    <w:rsid w:val="00F2040B"/>
    <w:rsid w:val="00F21F00"/>
    <w:rsid w:val="00F22144"/>
    <w:rsid w:val="00F23FF7"/>
    <w:rsid w:val="00F24AEF"/>
    <w:rsid w:val="00F313F6"/>
    <w:rsid w:val="00F3170B"/>
    <w:rsid w:val="00F32506"/>
    <w:rsid w:val="00F40727"/>
    <w:rsid w:val="00F422C3"/>
    <w:rsid w:val="00F423D3"/>
    <w:rsid w:val="00F42709"/>
    <w:rsid w:val="00F43013"/>
    <w:rsid w:val="00F44478"/>
    <w:rsid w:val="00F45B8B"/>
    <w:rsid w:val="00F52317"/>
    <w:rsid w:val="00F56558"/>
    <w:rsid w:val="00F57978"/>
    <w:rsid w:val="00F57C13"/>
    <w:rsid w:val="00F610CA"/>
    <w:rsid w:val="00F627BA"/>
    <w:rsid w:val="00F644FF"/>
    <w:rsid w:val="00F7227E"/>
    <w:rsid w:val="00F7238F"/>
    <w:rsid w:val="00F8225E"/>
    <w:rsid w:val="00F822E9"/>
    <w:rsid w:val="00F82C44"/>
    <w:rsid w:val="00F90C2D"/>
    <w:rsid w:val="00F924D8"/>
    <w:rsid w:val="00F96864"/>
    <w:rsid w:val="00F97224"/>
    <w:rsid w:val="00F974BF"/>
    <w:rsid w:val="00FA10BA"/>
    <w:rsid w:val="00FA43C3"/>
    <w:rsid w:val="00FA4444"/>
    <w:rsid w:val="00FA5603"/>
    <w:rsid w:val="00FA6853"/>
    <w:rsid w:val="00FA755D"/>
    <w:rsid w:val="00FA75B7"/>
    <w:rsid w:val="00FB01B6"/>
    <w:rsid w:val="00FB1555"/>
    <w:rsid w:val="00FB29EF"/>
    <w:rsid w:val="00FB390A"/>
    <w:rsid w:val="00FB412A"/>
    <w:rsid w:val="00FB4DFB"/>
    <w:rsid w:val="00FB7DA0"/>
    <w:rsid w:val="00FC35D7"/>
    <w:rsid w:val="00FC4E76"/>
    <w:rsid w:val="00FC4F4F"/>
    <w:rsid w:val="00FC74EF"/>
    <w:rsid w:val="00FC7AC7"/>
    <w:rsid w:val="00FC7B21"/>
    <w:rsid w:val="00FD0AF1"/>
    <w:rsid w:val="00FD1CFB"/>
    <w:rsid w:val="00FD6A78"/>
    <w:rsid w:val="00FD6B97"/>
    <w:rsid w:val="00FE0878"/>
    <w:rsid w:val="00FE18BD"/>
    <w:rsid w:val="00FE1A1C"/>
    <w:rsid w:val="00FE2656"/>
    <w:rsid w:val="00FE2682"/>
    <w:rsid w:val="00FE351A"/>
    <w:rsid w:val="00FE49FA"/>
    <w:rsid w:val="00FE5A94"/>
    <w:rsid w:val="00FF0AAD"/>
    <w:rsid w:val="00FF107D"/>
    <w:rsid w:val="00FF2308"/>
    <w:rsid w:val="00FF4401"/>
    <w:rsid w:val="00FF6A6C"/>
    <w:rsid w:val="014F4BED"/>
    <w:rsid w:val="017B11D4"/>
    <w:rsid w:val="028F3B97"/>
    <w:rsid w:val="0459269F"/>
    <w:rsid w:val="04906D33"/>
    <w:rsid w:val="054112F8"/>
    <w:rsid w:val="06D738DD"/>
    <w:rsid w:val="06FF51B1"/>
    <w:rsid w:val="07D72026"/>
    <w:rsid w:val="07EA35B6"/>
    <w:rsid w:val="08056D69"/>
    <w:rsid w:val="09B42268"/>
    <w:rsid w:val="0AEA2AC2"/>
    <w:rsid w:val="0C897076"/>
    <w:rsid w:val="0CAC0D84"/>
    <w:rsid w:val="0CFD3BEA"/>
    <w:rsid w:val="0D2E3E5D"/>
    <w:rsid w:val="0D596FF0"/>
    <w:rsid w:val="0DC47CB0"/>
    <w:rsid w:val="0DF26FEA"/>
    <w:rsid w:val="11FD55DE"/>
    <w:rsid w:val="11FD6802"/>
    <w:rsid w:val="121F3C8F"/>
    <w:rsid w:val="124A112A"/>
    <w:rsid w:val="1345480C"/>
    <w:rsid w:val="14D84C0C"/>
    <w:rsid w:val="150D65C1"/>
    <w:rsid w:val="169635CD"/>
    <w:rsid w:val="16DB0889"/>
    <w:rsid w:val="189E3B8C"/>
    <w:rsid w:val="1AC83A25"/>
    <w:rsid w:val="1B073FF2"/>
    <w:rsid w:val="1B15615E"/>
    <w:rsid w:val="1C675562"/>
    <w:rsid w:val="1CA72649"/>
    <w:rsid w:val="1D280F70"/>
    <w:rsid w:val="1D965D9B"/>
    <w:rsid w:val="1EA62506"/>
    <w:rsid w:val="227116A1"/>
    <w:rsid w:val="233930BC"/>
    <w:rsid w:val="237211FF"/>
    <w:rsid w:val="23AC3F25"/>
    <w:rsid w:val="245406D4"/>
    <w:rsid w:val="259C4254"/>
    <w:rsid w:val="25D634C0"/>
    <w:rsid w:val="267232BD"/>
    <w:rsid w:val="26D16895"/>
    <w:rsid w:val="27527B8D"/>
    <w:rsid w:val="286F3C73"/>
    <w:rsid w:val="287A13A3"/>
    <w:rsid w:val="29012737"/>
    <w:rsid w:val="29BD1D18"/>
    <w:rsid w:val="2B092617"/>
    <w:rsid w:val="2B450CF3"/>
    <w:rsid w:val="2B781B6F"/>
    <w:rsid w:val="2B9D5F02"/>
    <w:rsid w:val="2BE833AA"/>
    <w:rsid w:val="2C1E5D1C"/>
    <w:rsid w:val="2C5366FD"/>
    <w:rsid w:val="2E1C4E7A"/>
    <w:rsid w:val="2E5524D2"/>
    <w:rsid w:val="2FCE23B4"/>
    <w:rsid w:val="2FE11440"/>
    <w:rsid w:val="30092CC2"/>
    <w:rsid w:val="30987D2D"/>
    <w:rsid w:val="31727168"/>
    <w:rsid w:val="31830893"/>
    <w:rsid w:val="31E21B78"/>
    <w:rsid w:val="336D27EB"/>
    <w:rsid w:val="348D2E92"/>
    <w:rsid w:val="34A54EE2"/>
    <w:rsid w:val="362254E7"/>
    <w:rsid w:val="36796E2E"/>
    <w:rsid w:val="369A3349"/>
    <w:rsid w:val="386F66EB"/>
    <w:rsid w:val="38911812"/>
    <w:rsid w:val="3B2220F5"/>
    <w:rsid w:val="3B42557C"/>
    <w:rsid w:val="3BB6252D"/>
    <w:rsid w:val="3BBF5426"/>
    <w:rsid w:val="3DE06EFD"/>
    <w:rsid w:val="3E4032C2"/>
    <w:rsid w:val="3E824B3E"/>
    <w:rsid w:val="3E9313B5"/>
    <w:rsid w:val="3E964105"/>
    <w:rsid w:val="3F18786F"/>
    <w:rsid w:val="3FB03D5F"/>
    <w:rsid w:val="3FB23C0A"/>
    <w:rsid w:val="408876F4"/>
    <w:rsid w:val="409C5503"/>
    <w:rsid w:val="412B5D8F"/>
    <w:rsid w:val="4134343E"/>
    <w:rsid w:val="4197347F"/>
    <w:rsid w:val="41FC60C0"/>
    <w:rsid w:val="42717674"/>
    <w:rsid w:val="43D56994"/>
    <w:rsid w:val="44244859"/>
    <w:rsid w:val="44C70D28"/>
    <w:rsid w:val="45642AE6"/>
    <w:rsid w:val="461C1543"/>
    <w:rsid w:val="46CA02A1"/>
    <w:rsid w:val="47574851"/>
    <w:rsid w:val="47D009BC"/>
    <w:rsid w:val="48942E8C"/>
    <w:rsid w:val="49974833"/>
    <w:rsid w:val="49F71B89"/>
    <w:rsid w:val="4A733C53"/>
    <w:rsid w:val="4ABA01CF"/>
    <w:rsid w:val="4B202B1B"/>
    <w:rsid w:val="4BCA0A71"/>
    <w:rsid w:val="4DA0447F"/>
    <w:rsid w:val="4E925AB1"/>
    <w:rsid w:val="4EA93FCA"/>
    <w:rsid w:val="4ECB6A56"/>
    <w:rsid w:val="4F1A565C"/>
    <w:rsid w:val="4F6E40EE"/>
    <w:rsid w:val="4FCF3A23"/>
    <w:rsid w:val="502C2BC6"/>
    <w:rsid w:val="50841015"/>
    <w:rsid w:val="50965AD7"/>
    <w:rsid w:val="50DD33D4"/>
    <w:rsid w:val="51BA31F3"/>
    <w:rsid w:val="525F0769"/>
    <w:rsid w:val="531320EE"/>
    <w:rsid w:val="545579E4"/>
    <w:rsid w:val="54952069"/>
    <w:rsid w:val="54E9612A"/>
    <w:rsid w:val="550C1990"/>
    <w:rsid w:val="573723F3"/>
    <w:rsid w:val="58CE1745"/>
    <w:rsid w:val="59414A38"/>
    <w:rsid w:val="59930380"/>
    <w:rsid w:val="59F53DE9"/>
    <w:rsid w:val="5A3E20F7"/>
    <w:rsid w:val="5B8F08CA"/>
    <w:rsid w:val="5C1E64D2"/>
    <w:rsid w:val="5D455D0B"/>
    <w:rsid w:val="5DA62B2D"/>
    <w:rsid w:val="5DE3228A"/>
    <w:rsid w:val="5F57642D"/>
    <w:rsid w:val="5F922B15"/>
    <w:rsid w:val="5FFA7CDD"/>
    <w:rsid w:val="60C7603F"/>
    <w:rsid w:val="6194215B"/>
    <w:rsid w:val="62E02EA8"/>
    <w:rsid w:val="63A34945"/>
    <w:rsid w:val="656F7F6B"/>
    <w:rsid w:val="658348B0"/>
    <w:rsid w:val="664946EC"/>
    <w:rsid w:val="67E46A44"/>
    <w:rsid w:val="67FF31A8"/>
    <w:rsid w:val="694A2434"/>
    <w:rsid w:val="69797C2C"/>
    <w:rsid w:val="6A80198E"/>
    <w:rsid w:val="6AFE7C60"/>
    <w:rsid w:val="6B5437DD"/>
    <w:rsid w:val="6B80229B"/>
    <w:rsid w:val="6C6F6BDB"/>
    <w:rsid w:val="6CCA6BE0"/>
    <w:rsid w:val="6E994BBA"/>
    <w:rsid w:val="6F257C47"/>
    <w:rsid w:val="6F9645D3"/>
    <w:rsid w:val="6FB13745"/>
    <w:rsid w:val="6FF0262C"/>
    <w:rsid w:val="70A74631"/>
    <w:rsid w:val="70B17FBA"/>
    <w:rsid w:val="71994182"/>
    <w:rsid w:val="733156C3"/>
    <w:rsid w:val="734616B3"/>
    <w:rsid w:val="73462C81"/>
    <w:rsid w:val="73CB0276"/>
    <w:rsid w:val="742456FE"/>
    <w:rsid w:val="744C71AF"/>
    <w:rsid w:val="75A95E94"/>
    <w:rsid w:val="77D13FD1"/>
    <w:rsid w:val="781B0FDA"/>
    <w:rsid w:val="78AB7F24"/>
    <w:rsid w:val="796B7AAF"/>
    <w:rsid w:val="796F04F9"/>
    <w:rsid w:val="7A0069A7"/>
    <w:rsid w:val="7AB411E8"/>
    <w:rsid w:val="7AED1E1D"/>
    <w:rsid w:val="7CA05880"/>
    <w:rsid w:val="7CAA6F9D"/>
    <w:rsid w:val="7CBE3500"/>
    <w:rsid w:val="7D7A1AFA"/>
    <w:rsid w:val="7E0B0E89"/>
    <w:rsid w:val="7E612140"/>
    <w:rsid w:val="7EEB05F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E4DCD04-F244-403D-B766-62D7A3EA1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semiHidden="1" w:qFormat="1"/>
    <w:lsdException w:name="annotation text" w:unhideWhenUsed="1"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nhideWhenUsed="1" w:qFormat="1"/>
    <w:lsdException w:name="line number" w:qFormat="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qFormat="1"/>
    <w:lsdException w:name="FollowedHyperlink" w:qFormat="1"/>
    <w:lsdException w:name="Strong" w:qFormat="1"/>
    <w:lsdException w:name="Emphasis" w:qFormat="1"/>
    <w:lsdException w:name="Document Map" w:uiPriority="99" w:unhideWhenUsed="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qFormat="1"/>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qFormat="1"/>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djustRightInd w:val="0"/>
      <w:spacing w:after="200" w:line="300" w:lineRule="auto"/>
    </w:pPr>
    <w:rPr>
      <w:rFonts w:ascii="Times New Roman" w:eastAsiaTheme="minorEastAsia" w:hAnsi="Times New Roman"/>
      <w:szCs w:val="22"/>
      <w:lang w:eastAsia="zh-CN"/>
    </w:rPr>
  </w:style>
  <w:style w:type="paragraph" w:styleId="Heading1">
    <w:name w:val="heading 1"/>
    <w:next w:val="Normal"/>
    <w:link w:val="Heading1Char"/>
    <w:qFormat/>
    <w:pPr>
      <w:keepNext/>
      <w:keepLines/>
      <w:pBdr>
        <w:top w:val="single" w:sz="12" w:space="3" w:color="auto"/>
      </w:pBdr>
      <w:spacing w:before="240" w:after="180" w:line="276" w:lineRule="auto"/>
      <w:ind w:left="1134" w:hanging="1134"/>
      <w:outlineLvl w:val="0"/>
    </w:pPr>
    <w:rPr>
      <w:rFonts w:ascii="Arial" w:eastAsiaTheme="minorEastAsia"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adjustRightInd/>
      <w:spacing w:after="180" w:line="240" w:lineRule="auto"/>
      <w:ind w:left="568" w:hanging="284"/>
    </w:pPr>
    <w:rPr>
      <w:szCs w:val="20"/>
      <w:lang w:val="en-GB" w:eastAsia="en-US"/>
    </w:rPr>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nhideWhenUsed/>
    <w:qFormat/>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after="200" w:line="276" w:lineRule="auto"/>
      <w:ind w:left="567" w:right="425" w:hanging="567"/>
    </w:pPr>
    <w:rPr>
      <w:rFonts w:ascii="Times New Roman" w:eastAsiaTheme="minorEastAsia"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beforeLines="35" w:line="460" w:lineRule="exact"/>
      <w:ind w:firstLineChars="200" w:firstLine="200"/>
      <w:jc w:val="both"/>
      <w:textAlignment w:val="baseline"/>
    </w:pPr>
    <w:rPr>
      <w:rFonts w:eastAsia="KaiTi_GB2312"/>
      <w:snapToGrid w:val="0"/>
      <w:sz w:val="28"/>
      <w:szCs w:val="28"/>
    </w:rPr>
  </w:style>
  <w:style w:type="paragraph" w:styleId="Caption">
    <w:name w:val="caption"/>
    <w:basedOn w:val="Normal"/>
    <w:next w:val="Normal"/>
    <w:link w:val="CaptionChar"/>
    <w:qFormat/>
    <w:pPr>
      <w:adjustRightInd/>
      <w:spacing w:before="120" w:after="120" w:line="240" w:lineRule="auto"/>
    </w:pPr>
    <w:rPr>
      <w:b/>
      <w:szCs w:val="20"/>
      <w:lang w:val="en-GB" w:eastAsia="en-US"/>
    </w:rPr>
  </w:style>
  <w:style w:type="paragraph" w:styleId="DocumentMap">
    <w:name w:val="Document Map"/>
    <w:basedOn w:val="Normal"/>
    <w:link w:val="DocumentMapChar"/>
    <w:uiPriority w:val="99"/>
    <w:unhideWhenUsed/>
    <w:qFormat/>
    <w:rPr>
      <w:rFonts w:ascii="SimSun"/>
      <w:sz w:val="18"/>
      <w:szCs w:val="18"/>
    </w:rPr>
  </w:style>
  <w:style w:type="paragraph" w:styleId="BodyText">
    <w:name w:val="Body Text"/>
    <w:basedOn w:val="Normal"/>
    <w:link w:val="BodyTextChar"/>
    <w:qFormat/>
    <w:pPr>
      <w:adjustRightInd/>
      <w:spacing w:after="180" w:line="240" w:lineRule="auto"/>
    </w:pPr>
    <w:rPr>
      <w:szCs w:val="20"/>
      <w:lang w:val="en-GB" w:eastAsia="en-US"/>
    </w:rPr>
  </w:style>
  <w:style w:type="paragraph" w:styleId="PlainText">
    <w:name w:val="Plain Text"/>
    <w:basedOn w:val="Normal"/>
    <w:link w:val="PlainTextChar"/>
    <w:uiPriority w:val="99"/>
    <w:qFormat/>
    <w:pPr>
      <w:adjustRightInd/>
      <w:spacing w:after="180" w:line="240" w:lineRule="auto"/>
    </w:pPr>
    <w:rPr>
      <w:rFonts w:ascii="Courier New" w:hAnsi="Courier New"/>
      <w:szCs w:val="20"/>
      <w:lang w:val="nb-NO" w:eastAsia="en-US"/>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autoSpaceDE w:val="0"/>
      <w:autoSpaceDN w:val="0"/>
      <w:spacing w:line="240" w:lineRule="auto"/>
      <w:jc w:val="both"/>
      <w:textAlignment w:val="baseline"/>
    </w:pPr>
    <w:rPr>
      <w:rFonts w:eastAsia="Times New Roman"/>
      <w:szCs w:val="20"/>
    </w:rPr>
  </w:style>
  <w:style w:type="paragraph" w:styleId="BodyTextIndent2">
    <w:name w:val="Body Text Indent 2"/>
    <w:basedOn w:val="Normal"/>
    <w:link w:val="BodyTextIndent2Char"/>
    <w:qFormat/>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paragraph" w:styleId="BalloonText">
    <w:name w:val="Balloon Text"/>
    <w:basedOn w:val="Normal"/>
    <w:link w:val="BalloonTextChar"/>
    <w:uiPriority w:val="99"/>
    <w:unhideWhenUsed/>
    <w:qFormat/>
    <w:rPr>
      <w:sz w:val="18"/>
      <w:szCs w:val="18"/>
    </w:rPr>
  </w:style>
  <w:style w:type="paragraph" w:styleId="Footer">
    <w:name w:val="footer"/>
    <w:basedOn w:val="Normal"/>
    <w:link w:val="FooterChar"/>
    <w:qFormat/>
    <w:pPr>
      <w:tabs>
        <w:tab w:val="center" w:pos="4153"/>
        <w:tab w:val="right" w:pos="8306"/>
      </w:tabs>
      <w:snapToGrid w:val="0"/>
    </w:pPr>
    <w:rPr>
      <w:sz w:val="18"/>
      <w:szCs w:val="18"/>
    </w:rPr>
  </w:style>
  <w:style w:type="paragraph" w:styleId="Header">
    <w:name w:val="header"/>
    <w:basedOn w:val="Normal"/>
    <w:link w:val="HeaderChar"/>
    <w:qFormat/>
    <w:pPr>
      <w:pBdr>
        <w:bottom w:val="single" w:sz="6" w:space="1" w:color="auto"/>
      </w:pBdr>
      <w:tabs>
        <w:tab w:val="center" w:pos="4153"/>
        <w:tab w:val="right" w:pos="8306"/>
      </w:tabs>
      <w:snapToGrid w:val="0"/>
      <w:jc w:val="center"/>
    </w:pPr>
    <w:rPr>
      <w:sz w:val="18"/>
      <w:szCs w:val="18"/>
    </w:rPr>
  </w:style>
  <w:style w:type="paragraph" w:styleId="IndexHeading">
    <w:name w:val="index heading"/>
    <w:basedOn w:val="Normal"/>
    <w:next w:val="Normal"/>
    <w:qFormat/>
    <w:pPr>
      <w:pBdr>
        <w:top w:val="single" w:sz="12" w:space="0" w:color="auto"/>
      </w:pBdr>
      <w:adjustRightInd/>
      <w:spacing w:before="360" w:after="240" w:line="240" w:lineRule="auto"/>
    </w:pPr>
    <w:rPr>
      <w:b/>
      <w:i/>
      <w:sz w:val="26"/>
      <w:szCs w:val="20"/>
      <w:lang w:val="en-GB" w:eastAsia="en-US"/>
    </w:rPr>
  </w:style>
  <w:style w:type="paragraph" w:styleId="FootnoteText">
    <w:name w:val="footnote text"/>
    <w:basedOn w:val="Normal"/>
    <w:link w:val="FootnoteTextChar"/>
    <w:semiHidden/>
    <w:qFormat/>
    <w:pPr>
      <w:keepLines/>
      <w:adjustRightInd/>
      <w:spacing w:line="240" w:lineRule="auto"/>
      <w:ind w:left="454" w:hanging="454"/>
    </w:pPr>
    <w:rPr>
      <w:sz w:val="16"/>
      <w:szCs w:val="20"/>
      <w:lang w:val="en-GB"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spacing w:line="240" w:lineRule="auto"/>
      <w:ind w:left="1080"/>
      <w:textAlignment w:val="baseline"/>
    </w:pPr>
    <w:rPr>
      <w:szCs w:val="20"/>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paragraph" w:styleId="NormalWeb">
    <w:name w:val="Normal (Web)"/>
    <w:basedOn w:val="Normal"/>
    <w:uiPriority w:val="99"/>
    <w:qFormat/>
    <w:pPr>
      <w:adjustRightInd/>
      <w:spacing w:before="100" w:beforeAutospacing="1" w:after="100" w:afterAutospacing="1" w:line="240" w:lineRule="auto"/>
    </w:pPr>
    <w:rPr>
      <w:rFonts w:eastAsia="Batang"/>
      <w:sz w:val="24"/>
      <w:szCs w:val="24"/>
      <w:lang w:eastAsia="ko-KR"/>
    </w:rPr>
  </w:style>
  <w:style w:type="paragraph" w:styleId="Index1">
    <w:name w:val="index 1"/>
    <w:basedOn w:val="Normal"/>
    <w:next w:val="Normal"/>
    <w:semiHidden/>
    <w:qFormat/>
    <w:pPr>
      <w:keepLines/>
      <w:adjustRightInd/>
      <w:spacing w:line="240" w:lineRule="auto"/>
    </w:pPr>
    <w:rPr>
      <w:szCs w:val="20"/>
      <w:lang w:val="en-GB" w:eastAsia="en-US"/>
    </w:rPr>
  </w:style>
  <w:style w:type="paragraph" w:styleId="Index2">
    <w:name w:val="index 2"/>
    <w:basedOn w:val="Index1"/>
    <w:next w:val="Normal"/>
    <w:semiHidden/>
    <w:qFormat/>
    <w:pPr>
      <w:ind w:left="284"/>
    </w:pPr>
  </w:style>
  <w:style w:type="character" w:styleId="Strong">
    <w:name w:val="Strong"/>
    <w:qFormat/>
    <w:rPr>
      <w:rFonts w:ascii="Arial" w:eastAsia="SimSun" w:hAnsi="Arial" w:cs="Arial"/>
      <w:b/>
      <w:bCs/>
      <w:color w:val="0000FF"/>
      <w:kern w:val="2"/>
      <w:lang w:val="en-US" w:eastAsia="zh-CN" w:bidi="ar-SA"/>
    </w:rPr>
  </w:style>
  <w:style w:type="character" w:styleId="PageNumber">
    <w:name w:val="page number"/>
    <w:basedOn w:val="DefaultParagraphFont"/>
    <w:semiHidden/>
    <w:qFormat/>
  </w:style>
  <w:style w:type="character" w:styleId="FollowedHyperlink">
    <w:name w:val="FollowedHyperlink"/>
    <w:qFormat/>
    <w:rPr>
      <w:color w:val="800080"/>
      <w:u w:val="single"/>
    </w:rPr>
  </w:style>
  <w:style w:type="character" w:styleId="Emphasis">
    <w:name w:val="Emphasis"/>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qFormat/>
    <w:rPr>
      <w:color w:val="0000FF"/>
      <w:u w:val="single"/>
    </w:rPr>
  </w:style>
  <w:style w:type="character" w:styleId="CommentReference">
    <w:name w:val="annotation reference"/>
    <w:basedOn w:val="DefaultParagraphFont"/>
    <w:unhideWhenUsed/>
    <w:qFormat/>
    <w:rPr>
      <w:sz w:val="21"/>
      <w:szCs w:val="21"/>
    </w:rPr>
  </w:style>
  <w:style w:type="character" w:styleId="FootnoteReference">
    <w:name w:val="footnote reference"/>
    <w:semiHidden/>
    <w:qFormat/>
    <w:rPr>
      <w:b/>
      <w:position w:val="6"/>
      <w:sz w:val="16"/>
    </w:rPr>
  </w:style>
  <w:style w:type="table" w:styleId="TableGrid">
    <w:name w:val="Table Grid"/>
    <w:basedOn w:val="TableNormal"/>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MediumShading2-Accent2">
    <w:name w:val="Medium Shading 2 Accent 2"/>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B2B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B2B2" w:themeFill="accent2"/>
      </w:tcPr>
    </w:tblStylePr>
    <w:tblStylePr w:type="lastCol">
      <w:rPr>
        <w:b/>
        <w:bCs/>
        <w:color w:val="FFFFFF" w:themeColor="background1"/>
      </w:rPr>
      <w:tblPr/>
      <w:tcPr>
        <w:tcBorders>
          <w:left w:val="nil"/>
          <w:right w:val="nil"/>
          <w:insideH w:val="nil"/>
          <w:insideV w:val="nil"/>
        </w:tcBorders>
        <w:shd w:val="clear" w:color="auto" w:fill="B2B2B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2-Accent1">
    <w:name w:val="Medium Grid 2 Accent 1"/>
    <w:basedOn w:val="TableNormal"/>
    <w:uiPriority w:val="68"/>
    <w:qFormat/>
    <w:rPr>
      <w:rFonts w:asciiTheme="majorHAnsi" w:eastAsiaTheme="majorEastAsia" w:hAnsiTheme="majorHAnsi" w:cstheme="majorBidi"/>
      <w:color w:val="000000" w:themeColor="text1"/>
    </w:rPr>
    <w:tblPr>
      <w:tblBorders>
        <w:top w:val="single" w:sz="8" w:space="0" w:color="DDDDDD" w:themeColor="accent1"/>
        <w:left w:val="single" w:sz="8" w:space="0" w:color="DDDDDD" w:themeColor="accent1"/>
        <w:bottom w:val="single" w:sz="8" w:space="0" w:color="DDDDDD" w:themeColor="accent1"/>
        <w:right w:val="single" w:sz="8" w:space="0" w:color="DDDDDD" w:themeColor="accent1"/>
        <w:insideH w:val="single" w:sz="8" w:space="0" w:color="DDDDDD" w:themeColor="accent1"/>
        <w:insideV w:val="single" w:sz="8" w:space="0" w:color="DDDDDD" w:themeColor="accent1"/>
      </w:tblBorders>
    </w:tblPr>
    <w:tcPr>
      <w:shd w:val="clear" w:color="auto" w:fill="F6F6F6" w:themeFill="accent1" w:themeFillTint="3F"/>
    </w:tcPr>
    <w:tblStylePr w:type="firstRow">
      <w:rPr>
        <w:b/>
        <w:bCs/>
        <w:color w:val="000000" w:themeColor="text1"/>
      </w:rPr>
      <w:tblPr/>
      <w:tcPr>
        <w:shd w:val="clear" w:color="auto" w:fill="FBFB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8F8F8" w:themeFill="accent1" w:themeFillTint="33"/>
      </w:tcPr>
    </w:tblStylePr>
    <w:tblStylePr w:type="band1Vert">
      <w:tblPr/>
      <w:tcPr>
        <w:shd w:val="clear" w:color="auto" w:fill="EEEEEE" w:themeFill="accent1" w:themeFillTint="7F"/>
      </w:tcPr>
    </w:tblStylePr>
    <w:tblStylePr w:type="band1Horz">
      <w:tblPr/>
      <w:tcPr>
        <w:tcBorders>
          <w:insideH w:val="single" w:sz="6" w:space="0" w:color="auto"/>
          <w:insideV w:val="single" w:sz="6" w:space="0" w:color="auto"/>
        </w:tcBorders>
        <w:shd w:val="clear" w:color="auto" w:fill="EEEEEE" w:themeFill="accent1"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qFormat/>
    <w:rPr>
      <w:rFonts w:asciiTheme="majorHAnsi" w:eastAsiaTheme="majorEastAsia" w:hAnsiTheme="majorHAnsi" w:cstheme="majorBidi"/>
      <w:color w:val="000000" w:themeColor="text1"/>
    </w:rPr>
    <w:tblPr>
      <w:tblBorders>
        <w:top w:val="single" w:sz="8" w:space="0" w:color="5F5F5F" w:themeColor="accent5"/>
        <w:left w:val="single" w:sz="8" w:space="0" w:color="5F5F5F" w:themeColor="accent5"/>
        <w:bottom w:val="single" w:sz="8" w:space="0" w:color="5F5F5F" w:themeColor="accent5"/>
        <w:right w:val="single" w:sz="8" w:space="0" w:color="5F5F5F" w:themeColor="accent5"/>
        <w:insideH w:val="single" w:sz="8" w:space="0" w:color="5F5F5F" w:themeColor="accent5"/>
        <w:insideV w:val="single" w:sz="8" w:space="0" w:color="5F5F5F" w:themeColor="accent5"/>
      </w:tblBorders>
    </w:tblPr>
    <w:tcPr>
      <w:shd w:val="clear" w:color="auto" w:fill="D7D7D7" w:themeFill="accent5" w:themeFillTint="3F"/>
    </w:tcPr>
    <w:tblStylePr w:type="firstRow">
      <w:rPr>
        <w:b/>
        <w:bCs/>
        <w:color w:val="000000" w:themeColor="text1"/>
      </w:rPr>
      <w:tblPr/>
      <w:tcPr>
        <w:shd w:val="clear" w:color="auto" w:fill="EFEFEF"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DFDF" w:themeFill="accent5" w:themeFillTint="33"/>
      </w:tcPr>
    </w:tblStylePr>
    <w:tblStylePr w:type="band1Vert">
      <w:tblPr/>
      <w:tcPr>
        <w:shd w:val="clear" w:color="auto" w:fill="AFAFAF" w:themeFill="accent5" w:themeFillTint="7F"/>
      </w:tcPr>
    </w:tblStylePr>
    <w:tblStylePr w:type="band1Horz">
      <w:tblPr/>
      <w:tcPr>
        <w:tcBorders>
          <w:insideH w:val="single" w:sz="6" w:space="0" w:color="auto"/>
          <w:insideV w:val="single" w:sz="6" w:space="0" w:color="auto"/>
        </w:tcBorders>
        <w:shd w:val="clear" w:color="auto" w:fill="AFAFAF" w:themeFill="accent5" w:themeFillTint="7F"/>
      </w:tcPr>
    </w:tblStylePr>
    <w:tblStylePr w:type="nwCell">
      <w:tblPr/>
      <w:tcPr>
        <w:shd w:val="clear" w:color="auto" w:fill="FFFFFF" w:themeFill="background1"/>
      </w:tcPr>
    </w:tblStylePr>
  </w:style>
  <w:style w:type="character" w:customStyle="1" w:styleId="BalloonTextChar">
    <w:name w:val="Balloon Text Char"/>
    <w:basedOn w:val="DefaultParagraphFont"/>
    <w:link w:val="BalloonText"/>
    <w:uiPriority w:val="99"/>
    <w:semiHidden/>
    <w:qFormat/>
    <w:rPr>
      <w:kern w:val="2"/>
      <w:sz w:val="18"/>
      <w:szCs w:val="18"/>
    </w:rPr>
  </w:style>
  <w:style w:type="paragraph" w:customStyle="1" w:styleId="ListParagraph1">
    <w:name w:val="List Paragraph1"/>
    <w:basedOn w:val="Normal"/>
    <w:link w:val="ListParagraphChar"/>
    <w:uiPriority w:val="99"/>
    <w:unhideWhenUsed/>
    <w:qFormat/>
    <w:pPr>
      <w:ind w:firstLineChars="200" w:firstLine="420"/>
    </w:pPr>
  </w:style>
  <w:style w:type="character" w:customStyle="1" w:styleId="PlaceholderText1">
    <w:name w:val="Placeholder Text1"/>
    <w:basedOn w:val="DefaultParagraphFont"/>
    <w:uiPriority w:val="99"/>
    <w:unhideWhenUsed/>
    <w:qFormat/>
    <w:rPr>
      <w:color w:val="808080"/>
    </w:rPr>
  </w:style>
  <w:style w:type="character" w:customStyle="1" w:styleId="DocumentMapChar">
    <w:name w:val="Document Map Char"/>
    <w:basedOn w:val="DefaultParagraphFont"/>
    <w:link w:val="DocumentMap"/>
    <w:uiPriority w:val="99"/>
    <w:semiHidden/>
    <w:qFormat/>
    <w:rPr>
      <w:rFonts w:ascii="SimSun"/>
      <w:sz w:val="18"/>
      <w:szCs w:val="18"/>
    </w:rPr>
  </w:style>
  <w:style w:type="character" w:customStyle="1" w:styleId="CommentTextChar">
    <w:name w:val="Comment Text Char"/>
    <w:basedOn w:val="DefaultParagraphFont"/>
    <w:link w:val="CommentText"/>
    <w:qFormat/>
    <w:rPr>
      <w:szCs w:val="22"/>
    </w:rPr>
  </w:style>
  <w:style w:type="character" w:customStyle="1" w:styleId="CommentSubjectChar">
    <w:name w:val="Comment Subject Char"/>
    <w:basedOn w:val="CommentTextChar"/>
    <w:link w:val="CommentSubject"/>
    <w:uiPriority w:val="99"/>
    <w:qFormat/>
    <w:rPr>
      <w:b/>
      <w:bCs/>
      <w:szCs w:val="22"/>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basedOn w:val="DefaultParagraphFont"/>
    <w:link w:val="Heading9"/>
    <w:qFormat/>
    <w:rPr>
      <w:rFonts w:ascii="Arial" w:hAnsi="Arial"/>
      <w:sz w:val="36"/>
      <w:lang w:val="en-GB" w:eastAsia="en-US"/>
    </w:rPr>
  </w:style>
  <w:style w:type="paragraph" w:customStyle="1" w:styleId="EQ">
    <w:name w:val="EQ"/>
    <w:basedOn w:val="Normal"/>
    <w:next w:val="Normal"/>
    <w:qFormat/>
    <w:pPr>
      <w:keepLines/>
      <w:tabs>
        <w:tab w:val="center" w:pos="4536"/>
        <w:tab w:val="right" w:pos="9072"/>
      </w:tabs>
      <w:adjustRightInd/>
      <w:spacing w:after="180" w:line="240" w:lineRule="auto"/>
    </w:pPr>
    <w:rPr>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spacing w:after="200" w:line="276" w:lineRule="auto"/>
    </w:pPr>
    <w:rPr>
      <w:rFonts w:ascii="Arial" w:eastAsiaTheme="minorEastAsia" w:hAnsi="Arial"/>
      <w:sz w:val="32"/>
      <w:lang w:val="en-GB"/>
    </w:rPr>
  </w:style>
  <w:style w:type="paragraph" w:customStyle="1" w:styleId="TT">
    <w:name w:val="TT"/>
    <w:basedOn w:val="Heading1"/>
    <w:next w:val="Normal"/>
    <w:qFormat/>
    <w:pPr>
      <w:outlineLvl w:val="9"/>
    </w:pPr>
  </w:style>
  <w:style w:type="character" w:customStyle="1" w:styleId="FootnoteTextChar">
    <w:name w:val="Footnote Text Char"/>
    <w:basedOn w:val="DefaultParagraphFont"/>
    <w:link w:val="FootnoteText"/>
    <w:semiHidden/>
    <w:qFormat/>
    <w:rPr>
      <w:sz w:val="1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adjustRightInd/>
      <w:spacing w:after="180" w:line="240" w:lineRule="auto"/>
      <w:ind w:left="1135" w:hanging="851"/>
    </w:pPr>
    <w:rPr>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eastAsiaTheme="minorEastAsia" w:hAnsi="Courier New"/>
      <w:sz w:val="16"/>
      <w:lang w:val="en-GB"/>
    </w:rPr>
  </w:style>
  <w:style w:type="paragraph" w:customStyle="1" w:styleId="TAR">
    <w:name w:val="TAR"/>
    <w:basedOn w:val="TAL"/>
    <w:qFormat/>
    <w:pPr>
      <w:jc w:val="right"/>
    </w:pPr>
  </w:style>
  <w:style w:type="paragraph" w:customStyle="1" w:styleId="TAL">
    <w:name w:val="TAL"/>
    <w:basedOn w:val="Normal"/>
    <w:link w:val="TALCar"/>
    <w:qFormat/>
    <w:pPr>
      <w:keepNext/>
      <w:keepLines/>
      <w:adjustRightInd/>
      <w:spacing w:line="240" w:lineRule="auto"/>
    </w:pPr>
    <w:rPr>
      <w:rFonts w:ascii="Arial" w:hAnsi="Arial"/>
      <w:sz w:val="18"/>
      <w:szCs w:val="20"/>
      <w:lang w:eastAsia="en-US"/>
    </w:r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LD">
    <w:name w:val="LD"/>
    <w:qFormat/>
    <w:pPr>
      <w:keepNext/>
      <w:keepLines/>
      <w:spacing w:after="200" w:line="180" w:lineRule="exact"/>
    </w:pPr>
    <w:rPr>
      <w:rFonts w:ascii="Courier New" w:eastAsiaTheme="minorEastAsia" w:hAnsi="Courier New"/>
      <w:lang w:val="en-GB"/>
    </w:rPr>
  </w:style>
  <w:style w:type="paragraph" w:customStyle="1" w:styleId="EX">
    <w:name w:val="EX"/>
    <w:basedOn w:val="Normal"/>
    <w:qFormat/>
    <w:pPr>
      <w:keepLines/>
      <w:adjustRightInd/>
      <w:spacing w:after="180" w:line="240" w:lineRule="auto"/>
      <w:ind w:left="1702" w:hanging="1418"/>
    </w:pPr>
    <w:rPr>
      <w:szCs w:val="20"/>
      <w:lang w:val="en-GB" w:eastAsia="en-US"/>
    </w:rPr>
  </w:style>
  <w:style w:type="paragraph" w:customStyle="1" w:styleId="FP">
    <w:name w:val="FP"/>
    <w:basedOn w:val="Normal"/>
    <w:qFormat/>
    <w:pPr>
      <w:adjustRightInd/>
      <w:spacing w:line="240" w:lineRule="auto"/>
    </w:pPr>
    <w:rPr>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adjustRightInd/>
      <w:spacing w:before="60" w:after="180" w:line="240" w:lineRule="auto"/>
      <w:jc w:val="center"/>
    </w:pPr>
    <w:rPr>
      <w:rFonts w:ascii="Arial" w:hAnsi="Arial"/>
      <w:b/>
      <w:szCs w:val="20"/>
      <w:lang w:val="en-GB" w:eastAsia="en-US"/>
    </w:r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eastAsiaTheme="minorEastAsia" w:hAnsi="Arial"/>
      <w:sz w:val="40"/>
      <w:lang w:val="en-GB"/>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eastAsiaTheme="minorEastAsia" w:hAnsi="Arial"/>
      <w:i/>
      <w:lang w:val="en-GB"/>
    </w:rPr>
  </w:style>
  <w:style w:type="paragraph" w:customStyle="1" w:styleId="ZT">
    <w:name w:val="ZT"/>
    <w:qFormat/>
    <w:pPr>
      <w:framePr w:wrap="notBeside" w:hAnchor="margin" w:yAlign="center"/>
      <w:widowControl w:val="0"/>
      <w:spacing w:after="200" w:line="240" w:lineRule="atLeast"/>
      <w:jc w:val="right"/>
    </w:pPr>
    <w:rPr>
      <w:rFonts w:ascii="Arial" w:eastAsiaTheme="minorEastAsia" w:hAnsi="Arial"/>
      <w:b/>
      <w:sz w:val="34"/>
      <w:lang w:val="en-GB"/>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eastAsiaTheme="minorEastAsia"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200" w:line="276" w:lineRule="auto"/>
    </w:pPr>
    <w:rPr>
      <w:rFonts w:ascii="Arial" w:eastAsiaTheme="minorEastAsia"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200" w:line="276" w:lineRule="auto"/>
      <w:jc w:val="right"/>
    </w:pPr>
    <w:rPr>
      <w:rFonts w:ascii="Arial" w:eastAsiaTheme="minorEastAsia" w:hAnsi="Arial"/>
      <w:lang w:val="en-GB"/>
    </w:rPr>
  </w:style>
  <w:style w:type="paragraph" w:customStyle="1" w:styleId="B2">
    <w:name w:val="B2"/>
    <w:basedOn w:val="List2"/>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adjustRightInd/>
      <w:spacing w:after="180" w:line="240" w:lineRule="auto"/>
      <w:ind w:left="851"/>
    </w:pPr>
    <w:rPr>
      <w:szCs w:val="20"/>
      <w:lang w:val="en-GB" w:eastAsia="en-US"/>
    </w:rPr>
  </w:style>
  <w:style w:type="paragraph" w:customStyle="1" w:styleId="INDENT2">
    <w:name w:val="INDENT2"/>
    <w:basedOn w:val="Normal"/>
    <w:qFormat/>
    <w:pPr>
      <w:adjustRightInd/>
      <w:spacing w:after="180" w:line="240" w:lineRule="auto"/>
      <w:ind w:left="1135" w:hanging="284"/>
    </w:pPr>
    <w:rPr>
      <w:szCs w:val="20"/>
      <w:lang w:val="en-GB" w:eastAsia="en-US"/>
    </w:rPr>
  </w:style>
  <w:style w:type="paragraph" w:customStyle="1" w:styleId="INDENT3">
    <w:name w:val="INDENT3"/>
    <w:basedOn w:val="Normal"/>
    <w:qFormat/>
    <w:pPr>
      <w:adjustRightInd/>
      <w:spacing w:after="180" w:line="240" w:lineRule="auto"/>
      <w:ind w:left="1701" w:hanging="567"/>
    </w:pPr>
    <w:rPr>
      <w:szCs w:val="20"/>
      <w:lang w:val="en-GB" w:eastAsia="en-US"/>
    </w:rPr>
  </w:style>
  <w:style w:type="paragraph" w:customStyle="1" w:styleId="FigureTitle">
    <w:name w:val="Figure_Title"/>
    <w:basedOn w:val="Normal"/>
    <w:next w:val="Normal"/>
    <w:qFormat/>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Normal"/>
    <w:qFormat/>
    <w:pPr>
      <w:keepNext/>
      <w:keepLines/>
      <w:adjustRightInd/>
      <w:spacing w:after="180" w:line="240" w:lineRule="auto"/>
    </w:pPr>
    <w:rPr>
      <w:b/>
      <w:szCs w:val="20"/>
      <w:lang w:val="en-GB" w:eastAsia="en-US"/>
    </w:rPr>
  </w:style>
  <w:style w:type="paragraph" w:customStyle="1" w:styleId="enumlev2">
    <w:name w:val="enumlev2"/>
    <w:basedOn w:val="Normal"/>
    <w:qFormat/>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Normal"/>
    <w:qFormat/>
    <w:pPr>
      <w:keepNext/>
      <w:keepLines/>
      <w:adjustRightInd/>
      <w:spacing w:before="240" w:after="180" w:line="240" w:lineRule="auto"/>
      <w:ind w:left="1418"/>
    </w:pPr>
    <w:rPr>
      <w:rFonts w:ascii="Arial" w:hAnsi="Arial"/>
      <w:b/>
      <w:sz w:val="36"/>
      <w:szCs w:val="20"/>
      <w:lang w:eastAsia="en-US"/>
    </w:rPr>
  </w:style>
  <w:style w:type="character" w:customStyle="1" w:styleId="PlainTextChar">
    <w:name w:val="Plain Text Char"/>
    <w:basedOn w:val="DefaultParagraphFont"/>
    <w:link w:val="PlainText"/>
    <w:uiPriority w:val="99"/>
    <w:qFormat/>
    <w:rPr>
      <w:rFonts w:ascii="Courier New" w:hAnsi="Courier New"/>
      <w:lang w:val="nb-NO" w:eastAsia="en-US"/>
    </w:rPr>
  </w:style>
  <w:style w:type="paragraph" w:customStyle="1" w:styleId="TAJ">
    <w:name w:val="TAJ"/>
    <w:basedOn w:val="TH"/>
    <w:qFormat/>
  </w:style>
  <w:style w:type="character" w:customStyle="1" w:styleId="BodyTextChar">
    <w:name w:val="Body Text Char"/>
    <w:basedOn w:val="DefaultParagraphFont"/>
    <w:link w:val="BodyText"/>
    <w:qFormat/>
    <w:rPr>
      <w:lang w:val="en-GB" w:eastAsia="en-US"/>
    </w:rPr>
  </w:style>
  <w:style w:type="paragraph" w:customStyle="1" w:styleId="Guidance">
    <w:name w:val="Guidance"/>
    <w:basedOn w:val="Normal"/>
    <w:qFormat/>
    <w:pPr>
      <w:adjustRightInd/>
      <w:spacing w:after="180" w:line="240" w:lineRule="auto"/>
    </w:pPr>
    <w:rPr>
      <w:i/>
      <w:color w:val="0000FF"/>
      <w:szCs w:val="20"/>
      <w:lang w:val="en-GB" w:eastAsia="en-US"/>
    </w:rPr>
  </w:style>
  <w:style w:type="paragraph" w:customStyle="1" w:styleId="CharCharCharCharCharChar">
    <w:name w:val="Char Char Char Char Char Char"/>
    <w:semiHidden/>
    <w:qFormat/>
    <w:pPr>
      <w:keepNext/>
      <w:numPr>
        <w:numId w:val="1"/>
      </w:numPr>
      <w:autoSpaceDE w:val="0"/>
      <w:autoSpaceDN w:val="0"/>
      <w:adjustRightInd w:val="0"/>
      <w:spacing w:before="60" w:after="60" w:line="276" w:lineRule="auto"/>
      <w:jc w:val="both"/>
    </w:pPr>
    <w:rPr>
      <w:rFonts w:ascii="Arial" w:eastAsiaTheme="minorEastAsia" w:hAnsi="Arial" w:cs="Arial"/>
      <w:color w:val="0000FF"/>
      <w:kern w:val="2"/>
      <w:lang w:eastAsia="zh-CN"/>
    </w:rPr>
  </w:style>
  <w:style w:type="paragraph" w:customStyle="1" w:styleId="CRCoverPage">
    <w:name w:val="CR Cover Page"/>
    <w:next w:val="Normal"/>
    <w:qFormat/>
    <w:pPr>
      <w:spacing w:after="120" w:line="276" w:lineRule="auto"/>
    </w:pPr>
    <w:rPr>
      <w:rFonts w:ascii="Arial" w:eastAsia="MS Mincho" w:hAnsi="Arial"/>
      <w:lang w:val="en-GB" w:eastAsia="de-DE"/>
    </w:rPr>
  </w:style>
  <w:style w:type="paragraph" w:customStyle="1" w:styleId="Reference">
    <w:name w:val="Reference"/>
    <w:basedOn w:val="Normal"/>
    <w:qFormat/>
    <w:pPr>
      <w:keepLines/>
      <w:tabs>
        <w:tab w:val="left" w:pos="720"/>
      </w:tabs>
      <w:adjustRightInd/>
      <w:spacing w:line="240" w:lineRule="auto"/>
      <w:ind w:left="720" w:hanging="360"/>
      <w:jc w:val="both"/>
    </w:pPr>
    <w:rPr>
      <w:sz w:val="18"/>
      <w:szCs w:val="20"/>
      <w:lang w:eastAsia="en-US"/>
    </w:rPr>
  </w:style>
  <w:style w:type="paragraph" w:customStyle="1" w:styleId="NumberedList">
    <w:name w:val="Numbered List"/>
    <w:basedOn w:val="Normal"/>
    <w:qFormat/>
    <w:pPr>
      <w:numPr>
        <w:numId w:val="2"/>
      </w:numPr>
      <w:adjustRightInd/>
      <w:spacing w:line="240" w:lineRule="auto"/>
      <w:jc w:val="both"/>
    </w:pPr>
    <w:rPr>
      <w:rFonts w:eastAsia="MS Mincho"/>
      <w:szCs w:val="20"/>
      <w:lang w:val="en-GB" w:eastAsia="en-US"/>
    </w:rPr>
  </w:style>
  <w:style w:type="paragraph" w:customStyle="1" w:styleId="Figure">
    <w:name w:val="Figure"/>
    <w:basedOn w:val="Normal"/>
    <w:next w:val="Normal"/>
    <w:qFormat/>
    <w:pPr>
      <w:keepNext/>
      <w:adjustRightInd/>
      <w:spacing w:before="60" w:after="60" w:line="240" w:lineRule="auto"/>
      <w:jc w:val="center"/>
    </w:pPr>
    <w:rPr>
      <w:sz w:val="22"/>
      <w:szCs w:val="20"/>
      <w:lang w:eastAsia="en-US"/>
    </w:rPr>
  </w:style>
  <w:style w:type="paragraph" w:customStyle="1" w:styleId="FigureCaption">
    <w:name w:val="Figure Caption"/>
    <w:basedOn w:val="Normal"/>
    <w:qFormat/>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Normal"/>
    <w:next w:val="Normal"/>
    <w:qFormat/>
    <w:pPr>
      <w:adjustRightInd/>
      <w:spacing w:before="120" w:after="120" w:line="240" w:lineRule="atLeast"/>
      <w:jc w:val="right"/>
    </w:pPr>
    <w:rPr>
      <w:sz w:val="22"/>
      <w:szCs w:val="20"/>
      <w:lang w:eastAsia="en-US"/>
    </w:rPr>
  </w:style>
  <w:style w:type="paragraph" w:customStyle="1" w:styleId="multifig">
    <w:name w:val="multifig"/>
    <w:basedOn w:val="Normal"/>
    <w:qFormat/>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Normal"/>
    <w:qFormat/>
    <w:pPr>
      <w:keepNext/>
      <w:tabs>
        <w:tab w:val="left" w:pos="936"/>
      </w:tabs>
      <w:adjustRightInd/>
      <w:spacing w:before="120" w:after="60" w:line="240" w:lineRule="auto"/>
      <w:ind w:left="936" w:hanging="936"/>
      <w:jc w:val="both"/>
    </w:pPr>
    <w:rPr>
      <w:sz w:val="22"/>
      <w:szCs w:val="20"/>
      <w:lang w:eastAsia="en-US"/>
    </w:rPr>
  </w:style>
  <w:style w:type="paragraph" w:customStyle="1" w:styleId="EquationNumbered">
    <w:name w:val="Equation Numbered"/>
    <w:basedOn w:val="Normal"/>
    <w:qFormat/>
    <w:pPr>
      <w:tabs>
        <w:tab w:val="center" w:pos="4320"/>
        <w:tab w:val="right" w:pos="8640"/>
      </w:tabs>
      <w:adjustRightInd/>
      <w:spacing w:before="60" w:after="60" w:line="300" w:lineRule="atLeast"/>
    </w:pPr>
    <w:rPr>
      <w:sz w:val="22"/>
      <w:szCs w:val="20"/>
      <w:lang w:eastAsia="en-US"/>
    </w:rPr>
  </w:style>
  <w:style w:type="paragraph" w:customStyle="1" w:styleId="Style10ptChar">
    <w:name w:val="Style 10 pt Char"/>
    <w:basedOn w:val="Normal"/>
    <w:qFormat/>
    <w:pPr>
      <w:adjustRightInd/>
      <w:spacing w:before="120" w:line="240" w:lineRule="exact"/>
      <w:jc w:val="both"/>
    </w:pPr>
    <w:rPr>
      <w:rFonts w:eastAsia="MS Mincho"/>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adjustRightInd/>
      <w:spacing w:before="60" w:after="60" w:line="240" w:lineRule="exact"/>
      <w:jc w:val="both"/>
    </w:pPr>
    <w:rPr>
      <w:rFonts w:eastAsia="MS Mincho"/>
      <w:b/>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eastAsia="ko-KR"/>
    </w:rPr>
  </w:style>
  <w:style w:type="paragraph" w:customStyle="1" w:styleId="Bullet">
    <w:name w:val="Bullet"/>
    <w:basedOn w:val="Normal"/>
    <w:qFormat/>
    <w:pPr>
      <w:numPr>
        <w:numId w:val="3"/>
      </w:numPr>
      <w:adjustRightInd/>
      <w:spacing w:line="240" w:lineRule="auto"/>
    </w:pPr>
    <w:rPr>
      <w:sz w:val="24"/>
      <w:szCs w:val="24"/>
      <w:lang w:eastAsia="en-US"/>
    </w:rPr>
  </w:style>
  <w:style w:type="character" w:customStyle="1" w:styleId="FigureCaption1">
    <w:name w:val="Figure Caption1"/>
    <w:qFormat/>
    <w:rPr>
      <w:rFonts w:ascii="Arial" w:eastAsia="????" w:hAnsi="Arial" w:cs="Arial"/>
      <w:color w:val="0000FF"/>
      <w:kern w:val="2"/>
      <w:lang w:val="en-US" w:eastAsia="en-US" w:bidi="ar-SA"/>
    </w:rPr>
  </w:style>
  <w:style w:type="paragraph" w:customStyle="1" w:styleId="FigureCentered">
    <w:name w:val="FigureCentered"/>
    <w:basedOn w:val="Normal"/>
    <w:next w:val="Normal"/>
    <w:qFormat/>
    <w:pPr>
      <w:keepNext/>
      <w:adjustRightInd/>
      <w:spacing w:before="60" w:after="60" w:line="240" w:lineRule="atLeast"/>
      <w:jc w:val="center"/>
    </w:pPr>
    <w:rPr>
      <w:sz w:val="24"/>
      <w:szCs w:val="20"/>
      <w:lang w:eastAsia="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4"/>
      </w:numPr>
      <w:adjustRightInd/>
      <w:spacing w:line="240" w:lineRule="auto"/>
      <w:jc w:val="both"/>
    </w:pPr>
    <w:rPr>
      <w:rFonts w:eastAsia="MS Mincho"/>
      <w:szCs w:val="20"/>
      <w:lang w:val="en-GB" w:eastAsia="en-US"/>
    </w:rPr>
  </w:style>
  <w:style w:type="paragraph" w:customStyle="1" w:styleId="PaperTableCell">
    <w:name w:val="PaperTableCell"/>
    <w:basedOn w:val="Normal"/>
    <w:qFormat/>
    <w:pPr>
      <w:adjustRightInd/>
      <w:spacing w:line="240" w:lineRule="auto"/>
      <w:jc w:val="both"/>
    </w:pPr>
    <w:rPr>
      <w:sz w:val="16"/>
      <w:szCs w:val="24"/>
      <w:lang w:eastAsia="en-US"/>
    </w:rPr>
  </w:style>
  <w:style w:type="paragraph" w:customStyle="1" w:styleId="figure0">
    <w:name w:val="figure"/>
    <w:basedOn w:val="Normal"/>
    <w:qFormat/>
    <w:pPr>
      <w:keepNext/>
      <w:keepLines/>
      <w:adjustRightInd/>
      <w:spacing w:before="60" w:after="60" w:line="240" w:lineRule="atLeast"/>
      <w:jc w:val="center"/>
    </w:pPr>
    <w:rPr>
      <w:szCs w:val="20"/>
      <w:lang w:eastAsia="en-US"/>
    </w:rPr>
  </w:style>
  <w:style w:type="character" w:customStyle="1" w:styleId="moz-txt-tag">
    <w:name w:val="moz-txt-tag"/>
    <w:qFormat/>
    <w:rPr>
      <w:rFonts w:ascii="Arial" w:eastAsia="SimSun" w:hAnsi="Arial" w:cs="Arial"/>
      <w:color w:val="0000FF"/>
      <w:kern w:val="2"/>
      <w:lang w:val="en-US" w:eastAsia="zh-CN" w:bidi="ar-SA"/>
    </w:rPr>
  </w:style>
  <w:style w:type="character" w:customStyle="1" w:styleId="GuidanceChar">
    <w:name w:val="Guidance Char"/>
    <w:qFormat/>
    <w:rPr>
      <w:i/>
      <w:color w:val="0000FF"/>
      <w:lang w:val="en-GB" w:eastAsia="en-US" w:bidi="ar-SA"/>
    </w:rPr>
  </w:style>
  <w:style w:type="character" w:customStyle="1" w:styleId="BodyTextIndent3Char">
    <w:name w:val="Body Text Indent 3 Char"/>
    <w:basedOn w:val="DefaultParagraphFont"/>
    <w:link w:val="BodyTextIndent3"/>
    <w:qFormat/>
    <w:rPr>
      <w:lang w:eastAsia="ja-JP"/>
    </w:rPr>
  </w:style>
  <w:style w:type="paragraph" w:customStyle="1" w:styleId="tah0">
    <w:name w:val="tah"/>
    <w:basedOn w:val="Normal"/>
    <w:qFormat/>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Normal"/>
    <w:qFormat/>
    <w:pPr>
      <w:keepNext/>
      <w:adjustRightInd/>
      <w:spacing w:line="240" w:lineRule="auto"/>
      <w:jc w:val="center"/>
    </w:pPr>
    <w:rPr>
      <w:rFonts w:ascii="Arial" w:eastAsia="Calibri" w:hAnsi="Arial" w:cs="Arial"/>
      <w:sz w:val="18"/>
      <w:szCs w:val="18"/>
      <w:lang w:eastAsia="en-US"/>
    </w:rPr>
  </w:style>
  <w:style w:type="paragraph" w:customStyle="1" w:styleId="th0">
    <w:name w:val="th"/>
    <w:basedOn w:val="Normal"/>
    <w:qFormat/>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200" w:line="276" w:lineRule="auto"/>
      <w:ind w:left="720" w:hanging="360"/>
      <w:jc w:val="both"/>
    </w:pPr>
    <w:rPr>
      <w:rFonts w:ascii="Times New Roman" w:eastAsiaTheme="minorEastAsia" w:hAnsi="Times New Roman"/>
      <w:kern w:val="2"/>
      <w:lang w:val="en-GB" w:eastAsia="zh-CN"/>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eastAsia="en-US"/>
    </w:rPr>
  </w:style>
  <w:style w:type="paragraph" w:customStyle="1" w:styleId="Revision1">
    <w:name w:val="Revision1"/>
    <w:hidden/>
    <w:uiPriority w:val="99"/>
    <w:semiHidden/>
    <w:qFormat/>
    <w:pPr>
      <w:spacing w:after="200" w:line="276" w:lineRule="auto"/>
    </w:pPr>
    <w:rPr>
      <w:rFonts w:ascii="Times New Roman" w:eastAsiaTheme="minorEastAsia" w:hAnsi="Times New Roman"/>
      <w:lang w:val="en-GB"/>
    </w:rPr>
  </w:style>
  <w:style w:type="character" w:customStyle="1" w:styleId="B1Char1">
    <w:name w:val="B1 Char1"/>
    <w:link w:val="B1"/>
    <w:qFormat/>
    <w:rPr>
      <w:lang w:val="en-GB" w:eastAsia="en-US"/>
    </w:rPr>
  </w:style>
  <w:style w:type="character" w:customStyle="1" w:styleId="BodyText2Char">
    <w:name w:val="Body Text 2 Char"/>
    <w:basedOn w:val="DefaultParagraphFont"/>
    <w:link w:val="BodyText2"/>
    <w:qFormat/>
    <w:rPr>
      <w:rFonts w:eastAsia="Times New Roman"/>
      <w:kern w:val="2"/>
      <w:sz w:val="21"/>
      <w:lang w:eastAsia="ja-JP"/>
    </w:rPr>
  </w:style>
  <w:style w:type="character" w:customStyle="1" w:styleId="BodyTextIndent2Char">
    <w:name w:val="Body Text Indent 2 Char"/>
    <w:basedOn w:val="DefaultParagraphFont"/>
    <w:link w:val="BodyTextIndent2"/>
    <w:qFormat/>
    <w:rPr>
      <w:rFonts w:eastAsia="Times New Roman"/>
      <w:kern w:val="2"/>
      <w:lang w:eastAsia="ja-JP"/>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pPr>
      <w:spacing w:after="200" w:line="276" w:lineRule="auto"/>
    </w:pPr>
    <w:rPr>
      <w:rFonts w:ascii="Arial" w:eastAsia="MS Mincho" w:hAnsi="Arial"/>
      <w:lang w:val="en-GB"/>
    </w:rPr>
  </w:style>
  <w:style w:type="paragraph" w:customStyle="1" w:styleId="TabList">
    <w:name w:val="TabList"/>
    <w:basedOn w:val="Normal"/>
    <w:qFormat/>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Normal"/>
    <w:next w:val="table"/>
    <w:qFormat/>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Normal"/>
    <w:next w:val="Normal"/>
    <w:qFormat/>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Normal"/>
    <w:qFormat/>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Normal"/>
    <w:qFormat/>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Normal"/>
    <w:next w:val="Normal"/>
    <w:qFormat/>
    <w:pPr>
      <w:keepNext/>
      <w:keepLines/>
      <w:numPr>
        <w:numId w:val="5"/>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6"/>
      </w:numPr>
      <w:spacing w:after="120"/>
    </w:pPr>
    <w:rPr>
      <w:rFonts w:eastAsia="MS Mincho"/>
      <w:lang w:val="en-US"/>
    </w:rPr>
  </w:style>
  <w:style w:type="paragraph" w:customStyle="1" w:styleId="textintend2">
    <w:name w:val="text intend 2"/>
    <w:basedOn w:val="text"/>
    <w:qFormat/>
    <w:pPr>
      <w:widowControl/>
      <w:numPr>
        <w:numId w:val="7"/>
      </w:numPr>
      <w:spacing w:after="120"/>
    </w:pPr>
    <w:rPr>
      <w:rFonts w:eastAsia="MS Mincho"/>
      <w:lang w:val="en-US"/>
    </w:rPr>
  </w:style>
  <w:style w:type="paragraph" w:customStyle="1" w:styleId="textintend3">
    <w:name w:val="text intend 3"/>
    <w:basedOn w:val="text"/>
    <w:qFormat/>
    <w:pPr>
      <w:widowControl/>
      <w:numPr>
        <w:numId w:val="8"/>
      </w:numPr>
      <w:spacing w:after="120"/>
    </w:pPr>
    <w:rPr>
      <w:rFonts w:eastAsia="MS Mincho"/>
      <w:lang w:val="en-US"/>
    </w:rPr>
  </w:style>
  <w:style w:type="paragraph" w:customStyle="1" w:styleId="normalpuce">
    <w:name w:val="normal puce"/>
    <w:basedOn w:val="Normal"/>
    <w:qFormat/>
    <w:pPr>
      <w:widowControl w:val="0"/>
      <w:numPr>
        <w:numId w:val="9"/>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Heading1"/>
    <w:next w:val="Normal"/>
    <w:qFormat/>
    <w:pPr>
      <w:keepLines w:val="0"/>
      <w:numPr>
        <w:numId w:val="10"/>
      </w:numPr>
      <w:pBdr>
        <w:top w:val="none" w:sz="0" w:space="0" w:color="auto"/>
      </w:pBdr>
      <w:overflowPunct w:val="0"/>
      <w:autoSpaceDE w:val="0"/>
      <w:autoSpaceDN w:val="0"/>
      <w:adjustRightInd w:val="0"/>
      <w:spacing w:after="0"/>
      <w:textAlignment w:val="baseline"/>
    </w:pPr>
    <w:rPr>
      <w:rFonts w:eastAsia="Times New Roman"/>
      <w:b/>
      <w:kern w:val="28"/>
      <w:sz w:val="24"/>
      <w:lang w:val="en-US" w:eastAsia="zh-CN"/>
    </w:rPr>
  </w:style>
  <w:style w:type="character" w:customStyle="1" w:styleId="DateChar">
    <w:name w:val="Date Char"/>
    <w:basedOn w:val="DefaultParagraphFont"/>
    <w:link w:val="Date"/>
    <w:qFormat/>
    <w:rPr>
      <w:rFonts w:eastAsia="Times New Roma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 w:val="22"/>
      <w:szCs w:val="20"/>
      <w:lang w:val="fr-FR" w:eastAsia="en-GB"/>
    </w:rPr>
  </w:style>
  <w:style w:type="paragraph" w:customStyle="1" w:styleId="para">
    <w:name w:val="para"/>
    <w:basedOn w:val="Normal"/>
    <w:qFormat/>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Normal"/>
    <w:qFormat/>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Normal"/>
    <w:qFormat/>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qFormat/>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qFormat/>
    <w:pPr>
      <w:keepNext/>
      <w:tabs>
        <w:tab w:val="left" w:pos="-1134"/>
      </w:tabs>
      <w:autoSpaceDE w:val="0"/>
      <w:autoSpaceDN w:val="0"/>
      <w:adjustRightInd w:val="0"/>
      <w:spacing w:before="60" w:after="60" w:line="276" w:lineRule="auto"/>
      <w:jc w:val="both"/>
    </w:pPr>
    <w:rPr>
      <w:rFonts w:ascii="Times New Roman" w:eastAsiaTheme="minorEastAsia"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76" w:lineRule="auto"/>
      <w:ind w:left="851" w:hanging="851"/>
      <w:jc w:val="both"/>
    </w:pPr>
    <w:rPr>
      <w:rFonts w:ascii="Arial" w:eastAsiaTheme="minorEastAsia"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adjustRightInd/>
      <w:spacing w:after="180" w:line="240" w:lineRule="auto"/>
      <w:ind w:left="2560" w:hanging="357"/>
    </w:pPr>
    <w:rPr>
      <w:rFonts w:eastAsia="Times New Roman"/>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CharChar5">
    <w:name w:val="Char Char5"/>
    <w:semiHidden/>
    <w:qFormat/>
    <w:rPr>
      <w:rFonts w:ascii="Times New Roman" w:hAnsi="Times New Roman"/>
      <w:lang w:eastAsia="en-US"/>
    </w:rPr>
  </w:style>
  <w:style w:type="character" w:customStyle="1" w:styleId="ListChar">
    <w:name w:val="List Char"/>
    <w:link w:val="List"/>
    <w:qFormat/>
    <w:rPr>
      <w:lang w:val="en-GB" w:eastAsia="en-US"/>
    </w:rPr>
  </w:style>
  <w:style w:type="character" w:customStyle="1" w:styleId="HeaderChar">
    <w:name w:val="Header Char"/>
    <w:link w:val="Header"/>
    <w:qFormat/>
    <w:rPr>
      <w:sz w:val="18"/>
      <w:szCs w:val="18"/>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lang w:val="en-GB" w:eastAsia="en-US"/>
    </w:rPr>
  </w:style>
  <w:style w:type="character" w:customStyle="1" w:styleId="List3Char">
    <w:name w:val="List 3 Char"/>
    <w:link w:val="List3"/>
    <w:qFormat/>
    <w:rPr>
      <w:lang w:val="en-GB" w:eastAsia="en-US"/>
    </w:rPr>
  </w:style>
  <w:style w:type="character" w:customStyle="1" w:styleId="B3Char">
    <w:name w:val="B3 Char"/>
    <w:link w:val="B3"/>
    <w:qFormat/>
    <w:rPr>
      <w:lang w:val="en-GB" w:eastAsia="en-US"/>
    </w:rPr>
  </w:style>
  <w:style w:type="character" w:customStyle="1" w:styleId="FooterChar">
    <w:name w:val="Footer Char"/>
    <w:link w:val="Footer"/>
    <w:qFormat/>
    <w:rPr>
      <w:sz w:val="18"/>
      <w:szCs w:val="18"/>
    </w:rPr>
  </w:style>
  <w:style w:type="paragraph" w:customStyle="1" w:styleId="tdoc-header">
    <w:name w:val="tdoc-header"/>
    <w:qFormat/>
    <w:pPr>
      <w:spacing w:after="200" w:line="276" w:lineRule="auto"/>
    </w:pPr>
    <w:rPr>
      <w:rFonts w:ascii="Arial" w:hAnsi="Arial"/>
      <w:sz w:val="24"/>
      <w:lang w:val="en-GB"/>
    </w:rPr>
  </w:style>
  <w:style w:type="paragraph" w:customStyle="1" w:styleId="CharChar3CharCharCharCharCharChar">
    <w:name w:val="Char Char3 Char Char Char Char Char Char"/>
    <w:semiHidden/>
    <w:qFormat/>
    <w:pPr>
      <w:keepNext/>
      <w:autoSpaceDE w:val="0"/>
      <w:autoSpaceDN w:val="0"/>
      <w:adjustRightInd w:val="0"/>
      <w:spacing w:before="60" w:after="60" w:line="276" w:lineRule="auto"/>
      <w:ind w:left="567" w:hanging="283"/>
      <w:jc w:val="both"/>
    </w:pPr>
    <w:rPr>
      <w:rFonts w:ascii="Arial" w:eastAsiaTheme="minorEastAsia"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line="276" w:lineRule="auto"/>
      <w:jc w:val="both"/>
    </w:pPr>
    <w:rPr>
      <w:rFonts w:ascii="Times New Roman" w:eastAsiaTheme="minorEastAsia" w:hAnsi="Times New Roman"/>
      <w:lang w:val="en-GB" w:eastAsia="en-GB"/>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eastAsia="en-US"/>
    </w:rPr>
  </w:style>
  <w:style w:type="paragraph" w:customStyle="1" w:styleId="TableCell">
    <w:name w:val="Table Cell"/>
    <w:basedOn w:val="TAC"/>
    <w:link w:val="TableCellChar"/>
    <w:qFormat/>
    <w:pPr>
      <w:overflowPunct w:val="0"/>
      <w:autoSpaceDE w:val="0"/>
      <w:autoSpaceDN w:val="0"/>
      <w:adjustRightInd w:val="0"/>
    </w:pPr>
    <w:rPr>
      <w:lang w:eastAsia="zh-CN"/>
    </w:rPr>
  </w:style>
  <w:style w:type="character" w:customStyle="1" w:styleId="TableCellChar">
    <w:name w:val="Table Cell Char"/>
    <w:link w:val="TableCell"/>
    <w:qFormat/>
    <w:rPr>
      <w:rFonts w:ascii="Arial" w:hAnsi="Arial"/>
      <w:sz w:val="18"/>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76" w:lineRule="auto"/>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spacing w:after="200" w:line="276" w:lineRule="auto"/>
      <w:ind w:left="720" w:hanging="360"/>
      <w:jc w:val="both"/>
    </w:pPr>
    <w:rPr>
      <w:rFonts w:ascii="Times New Roman" w:eastAsiaTheme="minorEastAsia" w:hAnsi="Times New Roman"/>
      <w:kern w:val="2"/>
      <w:lang w:val="en-GB" w:eastAsia="zh-CN"/>
    </w:rPr>
  </w:style>
  <w:style w:type="table" w:customStyle="1" w:styleId="1">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text22">
    <w:name w:val="op_dict_text22"/>
    <w:basedOn w:val="DefaultParagraphFont"/>
    <w:qFormat/>
  </w:style>
  <w:style w:type="character" w:customStyle="1" w:styleId="CaptionChar">
    <w:name w:val="Caption Char"/>
    <w:link w:val="Caption"/>
    <w:qFormat/>
    <w:rPr>
      <w:b/>
      <w:lang w:val="en-GB" w:eastAsia="en-US"/>
    </w:rPr>
  </w:style>
  <w:style w:type="character" w:customStyle="1" w:styleId="ListParagraphChar">
    <w:name w:val="List Paragraph Char"/>
    <w:link w:val="ListParagraph1"/>
    <w:uiPriority w:val="34"/>
    <w:qFormat/>
    <w:locked/>
    <w:rPr>
      <w:szCs w:val="22"/>
    </w:rPr>
  </w:style>
  <w:style w:type="character" w:customStyle="1" w:styleId="def">
    <w:name w:val="def"/>
    <w:basedOn w:val="DefaultParagraphFont"/>
    <w:qFormat/>
  </w:style>
  <w:style w:type="paragraph" w:customStyle="1" w:styleId="Doc-text2">
    <w:name w:val="Doc-text2"/>
    <w:basedOn w:val="Normal"/>
    <w:link w:val="Doc-text2Char"/>
    <w:qFormat/>
    <w:pPr>
      <w:tabs>
        <w:tab w:val="left" w:pos="1622"/>
      </w:tabs>
      <w:adjustRightInd/>
      <w:spacing w:line="240" w:lineRule="auto"/>
      <w:ind w:left="1622" w:hanging="363"/>
    </w:pPr>
    <w:rPr>
      <w:rFonts w:ascii="Arial" w:eastAsia="MS Mincho" w:hAnsi="Arial"/>
      <w:szCs w:val="24"/>
      <w:lang w:val="en-GB" w:eastAsia="en-GB"/>
    </w:rPr>
  </w:style>
  <w:style w:type="character" w:customStyle="1" w:styleId="Doc-text2Char">
    <w:name w:val="Doc-text2 Char"/>
    <w:basedOn w:val="DefaultParagraphFont"/>
    <w:link w:val="Doc-text2"/>
    <w:qFormat/>
    <w:rPr>
      <w:rFonts w:ascii="Arial" w:eastAsia="MS Mincho" w:hAnsi="Arial"/>
      <w:szCs w:val="24"/>
      <w:lang w:val="en-GB" w:eastAsia="en-GB"/>
    </w:rPr>
  </w:style>
  <w:style w:type="table" w:customStyle="1" w:styleId="MediumShading2-Accent11">
    <w:name w:val="Medium Shading 2 - Accent 11"/>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DDDDD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DDDDDD" w:themeFill="accent1"/>
      </w:tcPr>
    </w:tblStylePr>
    <w:tblStylePr w:type="lastCol">
      <w:rPr>
        <w:b/>
        <w:bCs/>
        <w:color w:val="FFFFFF" w:themeColor="background1"/>
      </w:rPr>
      <w:tblPr/>
      <w:tcPr>
        <w:tcBorders>
          <w:left w:val="nil"/>
          <w:right w:val="nil"/>
          <w:insideH w:val="nil"/>
          <w:insideV w:val="nil"/>
        </w:tcBorders>
        <w:shd w:val="clear" w:color="auto" w:fill="DDDDD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Style1">
    <w:name w:val="_Style 1"/>
    <w:basedOn w:val="Normal"/>
    <w:uiPriority w:val="34"/>
    <w:qFormat/>
    <w:pPr>
      <w:ind w:leftChars="400" w:left="840"/>
    </w:pPr>
  </w:style>
  <w:style w:type="paragraph" w:customStyle="1" w:styleId="10">
    <w:name w:val="列出段落1"/>
    <w:basedOn w:val="Normal"/>
    <w:uiPriority w:val="34"/>
    <w:unhideWhenUsed/>
    <w:qFormat/>
    <w:pPr>
      <w:spacing w:after="0"/>
      <w:ind w:firstLineChars="200" w:firstLine="420"/>
    </w:pPr>
  </w:style>
  <w:style w:type="paragraph" w:customStyle="1" w:styleId="ListParagraph2">
    <w:name w:val="List Paragraph2"/>
    <w:basedOn w:val="Normal"/>
    <w:uiPriority w:val="34"/>
    <w:qFormat/>
    <w:pPr>
      <w:ind w:leftChars="400" w:left="840"/>
    </w:pPr>
  </w:style>
  <w:style w:type="paragraph" w:styleId="ListParagraph">
    <w:name w:val="List Paragraph"/>
    <w:basedOn w:val="Normal"/>
    <w:uiPriority w:val="99"/>
    <w:rsid w:val="001E011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2243508-3AF9-4A00-90F7-E6D76B4336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6</Pages>
  <Words>1808</Words>
  <Characters>10310</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12094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PS</cp:lastModifiedBy>
  <cp:revision>11</cp:revision>
  <cp:lastPrinted>2017-09-28T19:34:00Z</cp:lastPrinted>
  <dcterms:created xsi:type="dcterms:W3CDTF">2017-03-21T19:11:00Z</dcterms:created>
  <dcterms:modified xsi:type="dcterms:W3CDTF">2018-04-05T21:41:00Z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