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5D35" w:rsidRPr="00B14A49" w:rsidRDefault="00005D35" w:rsidP="00005D35">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#91</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0D014D">
        <w:rPr>
          <w:rFonts w:cs="Arial"/>
          <w:bCs/>
          <w:sz w:val="22"/>
        </w:rPr>
        <w:t>20204</w:t>
      </w:r>
    </w:p>
    <w:p w:rsidR="00005D35" w:rsidRPr="005D47C0" w:rsidRDefault="00005D35" w:rsidP="00005D35">
      <w:pPr>
        <w:pStyle w:val="Header"/>
        <w:widowControl w:val="0"/>
        <w:tabs>
          <w:tab w:val="clear" w:pos="9072"/>
          <w:tab w:val="right" w:pos="8280"/>
          <w:tab w:val="right" w:pos="9781"/>
        </w:tabs>
        <w:snapToGrid w:val="0"/>
        <w:ind w:left="-2" w:right="-57"/>
        <w:rPr>
          <w:rFonts w:cs="Arial"/>
          <w:bCs/>
          <w:sz w:val="22"/>
        </w:rPr>
      </w:pPr>
      <w:r>
        <w:rPr>
          <w:bCs/>
          <w:sz w:val="22"/>
          <w:szCs w:val="22"/>
          <w:lang w:val="en-GB"/>
        </w:rPr>
        <w:t>Reno</w:t>
      </w:r>
      <w:r w:rsidRPr="00983C9D">
        <w:rPr>
          <w:bCs/>
          <w:sz w:val="22"/>
          <w:szCs w:val="22"/>
          <w:lang w:val="en-GB"/>
        </w:rPr>
        <w:t xml:space="preserve">, </w:t>
      </w:r>
      <w:r>
        <w:rPr>
          <w:bCs/>
          <w:sz w:val="22"/>
          <w:szCs w:val="22"/>
          <w:lang w:val="en-GB"/>
        </w:rPr>
        <w:t>USA</w:t>
      </w:r>
      <w:r w:rsidRPr="00983C9D">
        <w:rPr>
          <w:bCs/>
          <w:sz w:val="22"/>
          <w:szCs w:val="22"/>
          <w:lang w:val="en-GB"/>
        </w:rPr>
        <w:t xml:space="preserve">, </w:t>
      </w:r>
      <w:r>
        <w:rPr>
          <w:bCs/>
          <w:sz w:val="22"/>
          <w:szCs w:val="22"/>
          <w:lang w:val="en-GB"/>
        </w:rPr>
        <w:t>November 27</w:t>
      </w:r>
      <w:r w:rsidRPr="00122A4B">
        <w:rPr>
          <w:bCs/>
          <w:sz w:val="22"/>
          <w:szCs w:val="22"/>
          <w:vertAlign w:val="superscript"/>
          <w:lang w:val="en-GB"/>
        </w:rPr>
        <w:t>th</w:t>
      </w:r>
      <w:r>
        <w:rPr>
          <w:bCs/>
          <w:sz w:val="22"/>
          <w:szCs w:val="22"/>
          <w:lang w:val="en-GB"/>
        </w:rPr>
        <w:t xml:space="preserve"> </w:t>
      </w:r>
      <w:r w:rsidRPr="00983C9D">
        <w:rPr>
          <w:bCs/>
          <w:sz w:val="22"/>
          <w:szCs w:val="22"/>
          <w:lang w:val="en-GB"/>
        </w:rPr>
        <w:t xml:space="preserve">– </w:t>
      </w:r>
      <w:r>
        <w:rPr>
          <w:bCs/>
          <w:sz w:val="22"/>
          <w:szCs w:val="22"/>
          <w:lang w:val="en-GB"/>
        </w:rPr>
        <w:t>December 1</w:t>
      </w:r>
      <w:r w:rsidRPr="00122A4B">
        <w:rPr>
          <w:bCs/>
          <w:sz w:val="22"/>
          <w:szCs w:val="22"/>
          <w:vertAlign w:val="superscript"/>
          <w:lang w:val="en-GB"/>
        </w:rPr>
        <w:t>st</w:t>
      </w:r>
      <w:r>
        <w:rPr>
          <w:bCs/>
          <w:sz w:val="22"/>
          <w:szCs w:val="22"/>
          <w:lang w:val="en-GB"/>
        </w:rPr>
        <w:t xml:space="preserve">, </w:t>
      </w:r>
      <w:r w:rsidRPr="00983C9D">
        <w:rPr>
          <w:bCs/>
          <w:sz w:val="22"/>
          <w:szCs w:val="22"/>
          <w:lang w:val="en-GB"/>
        </w:rPr>
        <w:t>201</w:t>
      </w:r>
      <w:r w:rsidRPr="00983C9D">
        <w:rPr>
          <w:rFonts w:hint="eastAsia"/>
          <w:bCs/>
          <w:sz w:val="22"/>
          <w:szCs w:val="22"/>
          <w:lang w:val="en-GB"/>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9E76CC">
        <w:rPr>
          <w:sz w:val="22"/>
          <w:szCs w:val="22"/>
        </w:rPr>
        <w:t xml:space="preserve">Remaining aspects of </w:t>
      </w:r>
      <w:r w:rsidR="008528DE" w:rsidRPr="008528DE">
        <w:rPr>
          <w:sz w:val="22"/>
          <w:szCs w:val="22"/>
        </w:rPr>
        <w:t>CBG-based operation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CD1EA7">
        <w:rPr>
          <w:sz w:val="22"/>
          <w:szCs w:val="22"/>
        </w:rPr>
        <w:t>7</w:t>
      </w:r>
      <w:r w:rsidR="009E76CC">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9E76CC">
        <w:rPr>
          <w:rFonts w:eastAsia="SimSun"/>
          <w:sz w:val="22"/>
          <w:szCs w:val="22"/>
          <w:lang w:eastAsia="zh-CN"/>
        </w:rPr>
        <w:t>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0D014D" w:rsidRDefault="000D014D" w:rsidP="00D4326E">
      <w:pPr>
        <w:pStyle w:val="BodyText"/>
        <w:rPr>
          <w:rFonts w:eastAsia="SimSun"/>
          <w:lang w:eastAsia="zh-CN"/>
        </w:rPr>
      </w:pPr>
      <w:r>
        <w:rPr>
          <w:rFonts w:eastAsia="SimSun"/>
          <w:lang w:eastAsia="zh-CN"/>
        </w:rPr>
        <w:t xml:space="preserve">Several signaling aspects related to CBG-based operation were agreed at the RAN1 #90bis meeting </w:t>
      </w:r>
      <w:r w:rsidR="006A43D9">
        <w:rPr>
          <w:rFonts w:eastAsia="SimSun"/>
          <w:lang w:eastAsia="zh-CN"/>
        </w:rPr>
        <w:fldChar w:fldCharType="begin"/>
      </w:r>
      <w:r w:rsidR="003F4808">
        <w:rPr>
          <w:rFonts w:eastAsia="SimSun"/>
          <w:lang w:eastAsia="zh-CN"/>
        </w:rPr>
        <w:instrText xml:space="preserve"> REF _Ref492892749 \n \h </w:instrText>
      </w:r>
      <w:r w:rsidR="006A43D9">
        <w:rPr>
          <w:rFonts w:eastAsia="SimSun"/>
          <w:lang w:eastAsia="zh-CN"/>
        </w:rPr>
      </w:r>
      <w:r w:rsidR="006A43D9">
        <w:rPr>
          <w:rFonts w:eastAsia="SimSun"/>
          <w:lang w:eastAsia="zh-CN"/>
        </w:rPr>
        <w:fldChar w:fldCharType="separate"/>
      </w:r>
      <w:r w:rsidR="003F4808">
        <w:rPr>
          <w:rFonts w:eastAsia="SimSun"/>
          <w:lang w:eastAsia="zh-CN"/>
        </w:rPr>
        <w:t>[1]</w:t>
      </w:r>
      <w:r w:rsidR="006A43D9">
        <w:rPr>
          <w:rFonts w:eastAsia="SimSun"/>
          <w:lang w:eastAsia="zh-CN"/>
        </w:rPr>
        <w:fldChar w:fldCharType="end"/>
      </w:r>
      <w:r w:rsidR="003F4808">
        <w:rPr>
          <w:rFonts w:eastAsia="SimSun"/>
          <w:lang w:eastAsia="zh-CN"/>
        </w:rPr>
        <w:t xml:space="preserve"> </w:t>
      </w:r>
      <w:r>
        <w:rPr>
          <w:rFonts w:eastAsia="SimSun"/>
          <w:lang w:eastAsia="zh-CN"/>
        </w:rPr>
        <w:t xml:space="preserve">and </w:t>
      </w:r>
      <w:r w:rsidR="003F4808">
        <w:rPr>
          <w:rFonts w:eastAsia="SimSun"/>
          <w:lang w:eastAsia="zh-CN"/>
        </w:rPr>
        <w:t>the</w:t>
      </w:r>
      <w:r>
        <w:rPr>
          <w:rFonts w:eastAsia="SimSun"/>
          <w:lang w:eastAsia="zh-CN"/>
        </w:rPr>
        <w:t xml:space="preserve"> follow-up email discussion</w:t>
      </w:r>
      <w:r w:rsidR="003F4808">
        <w:rPr>
          <w:rFonts w:eastAsia="SimSun"/>
          <w:lang w:eastAsia="zh-CN"/>
        </w:rPr>
        <w:t xml:space="preserve"> of </w:t>
      </w:r>
      <w:r w:rsidR="006A43D9">
        <w:rPr>
          <w:rFonts w:eastAsia="SimSun"/>
          <w:lang w:eastAsia="zh-CN"/>
        </w:rPr>
        <w:fldChar w:fldCharType="begin"/>
      </w:r>
      <w:r w:rsidR="003F4808">
        <w:rPr>
          <w:rFonts w:eastAsia="SimSun"/>
          <w:lang w:eastAsia="zh-CN"/>
        </w:rPr>
        <w:instrText xml:space="preserve"> REF _Ref498674120 \n \h </w:instrText>
      </w:r>
      <w:r w:rsidR="006A43D9">
        <w:rPr>
          <w:rFonts w:eastAsia="SimSun"/>
          <w:lang w:eastAsia="zh-CN"/>
        </w:rPr>
      </w:r>
      <w:r w:rsidR="006A43D9">
        <w:rPr>
          <w:rFonts w:eastAsia="SimSun"/>
          <w:lang w:eastAsia="zh-CN"/>
        </w:rPr>
        <w:fldChar w:fldCharType="separate"/>
      </w:r>
      <w:r w:rsidR="003F4808">
        <w:rPr>
          <w:rFonts w:eastAsia="SimSun"/>
          <w:lang w:eastAsia="zh-CN"/>
        </w:rPr>
        <w:t>[2]</w:t>
      </w:r>
      <w:r w:rsidR="006A43D9">
        <w:rPr>
          <w:rFonts w:eastAsia="SimSun"/>
          <w:lang w:eastAsia="zh-CN"/>
        </w:rPr>
        <w:fldChar w:fldCharType="end"/>
      </w:r>
      <w:r>
        <w:rPr>
          <w:rFonts w:eastAsia="SimSun"/>
          <w:lang w:eastAsia="zh-CN"/>
        </w:rPr>
        <w:t>. The agreements are as follows</w:t>
      </w:r>
    </w:p>
    <w:tbl>
      <w:tblPr>
        <w:tblStyle w:val="TableGrid"/>
        <w:tblW w:w="0" w:type="auto"/>
        <w:tblInd w:w="108" w:type="dxa"/>
        <w:tblLook w:val="04A0"/>
      </w:tblPr>
      <w:tblGrid>
        <w:gridCol w:w="9180"/>
      </w:tblGrid>
      <w:tr w:rsidR="000D014D" w:rsidTr="000D014D">
        <w:tc>
          <w:tcPr>
            <w:tcW w:w="9180" w:type="dxa"/>
          </w:tcPr>
          <w:p w:rsidR="000D014D" w:rsidRPr="00085EB6" w:rsidRDefault="000D014D" w:rsidP="000D014D">
            <w:pPr>
              <w:rPr>
                <w:highlight w:val="green"/>
              </w:rPr>
            </w:pPr>
            <w:r w:rsidRPr="00085EB6">
              <w:rPr>
                <w:highlight w:val="green"/>
              </w:rPr>
              <w:t>Agreements:</w:t>
            </w:r>
          </w:p>
          <w:p w:rsidR="000D014D" w:rsidRPr="0091777A" w:rsidRDefault="000D014D" w:rsidP="000D014D">
            <w:pPr>
              <w:numPr>
                <w:ilvl w:val="0"/>
                <w:numId w:val="29"/>
              </w:numPr>
            </w:pPr>
            <w:r w:rsidRPr="0091777A">
              <w:t>In single CW configuration, the maximum configurable number of CBGs per TB is 8</w:t>
            </w:r>
          </w:p>
          <w:p w:rsidR="000D014D" w:rsidRPr="00852283" w:rsidRDefault="000D014D" w:rsidP="000D014D">
            <w:pPr>
              <w:numPr>
                <w:ilvl w:val="0"/>
                <w:numId w:val="29"/>
              </w:numPr>
            </w:pPr>
            <w:r w:rsidRPr="00852283">
              <w:t>The possible max number of CBGs per TB is 2, 4, 6, 8</w:t>
            </w:r>
          </w:p>
          <w:p w:rsidR="000D014D" w:rsidRPr="0091777A" w:rsidRDefault="000D014D" w:rsidP="000D014D">
            <w:pPr>
              <w:numPr>
                <w:ilvl w:val="0"/>
                <w:numId w:val="29"/>
              </w:numPr>
            </w:pPr>
            <w:r w:rsidRPr="0091777A">
              <w:rPr>
                <w:bCs/>
              </w:rPr>
              <w:t>In multiple CW configuration, the maximum configurable number of CBGs per TB is 4</w:t>
            </w:r>
          </w:p>
          <w:p w:rsidR="000D014D" w:rsidRPr="00876741" w:rsidRDefault="000D014D" w:rsidP="000D014D">
            <w:pPr>
              <w:numPr>
                <w:ilvl w:val="0"/>
                <w:numId w:val="29"/>
              </w:numPr>
            </w:pPr>
            <w:r w:rsidRPr="0091777A">
              <w:rPr>
                <w:bCs/>
              </w:rPr>
              <w:t xml:space="preserve">In multiple CW configuration, the configured maximum number of CBGs per TB is the same between TBs </w:t>
            </w:r>
          </w:p>
          <w:p w:rsidR="000D014D" w:rsidRPr="00C009CF" w:rsidRDefault="000D014D" w:rsidP="000D014D">
            <w:pPr>
              <w:numPr>
                <w:ilvl w:val="0"/>
                <w:numId w:val="30"/>
              </w:numPr>
            </w:pPr>
            <w:r w:rsidRPr="00C009CF">
              <w:rPr>
                <w:bCs/>
              </w:rPr>
              <w:t>For the case when the semi-static HARQ-ACK codebook with HARQ-ACK multiplexing which includes HARQ-ACK corresponding to all the CBGs (including the non-scheduled CBG(s)) is used,</w:t>
            </w:r>
          </w:p>
          <w:p w:rsidR="000D014D" w:rsidRPr="00C009CF" w:rsidRDefault="000D014D" w:rsidP="000D014D">
            <w:pPr>
              <w:numPr>
                <w:ilvl w:val="1"/>
                <w:numId w:val="30"/>
              </w:numPr>
            </w:pPr>
            <w:r w:rsidRPr="00C009CF">
              <w:rPr>
                <w:bCs/>
              </w:rPr>
              <w:t>NACK is reported for all the CBGs if TB CRC check is not passed while CB CRC check is passed for all the CBs</w:t>
            </w:r>
          </w:p>
          <w:p w:rsidR="000D014D" w:rsidRPr="000D014D" w:rsidRDefault="000D014D" w:rsidP="000D014D">
            <w:pPr>
              <w:numPr>
                <w:ilvl w:val="1"/>
                <w:numId w:val="30"/>
              </w:numPr>
            </w:pPr>
            <w:r w:rsidRPr="00C009CF">
              <w:rPr>
                <w:bCs/>
              </w:rPr>
              <w:t>NACK is mapped for the empty CBG index if the number of CBs for a TB is smaller than the configured maximum number of CBGs</w:t>
            </w:r>
          </w:p>
          <w:p w:rsidR="000D014D" w:rsidRPr="00C009CF" w:rsidRDefault="000D014D" w:rsidP="000D014D">
            <w:pPr>
              <w:ind w:left="1440"/>
            </w:pPr>
          </w:p>
          <w:p w:rsidR="000D014D" w:rsidRPr="00414CC4" w:rsidRDefault="000D014D" w:rsidP="000D014D">
            <w:pPr>
              <w:numPr>
                <w:ilvl w:val="0"/>
                <w:numId w:val="31"/>
              </w:numPr>
            </w:pPr>
            <w:r w:rsidRPr="00414CC4">
              <w:rPr>
                <w:bCs/>
              </w:rPr>
              <w:t>When UE is configured with CBG based retransmission, for the PDSCH scheduled by PDCCH using fallback DCI, TB level HARQ-ACK feedback is used at least for the case without HARQ-ACK multiplexing</w:t>
            </w:r>
          </w:p>
          <w:p w:rsidR="000D014D" w:rsidRPr="00414CC4" w:rsidRDefault="000D014D" w:rsidP="000D014D">
            <w:pPr>
              <w:numPr>
                <w:ilvl w:val="1"/>
                <w:numId w:val="31"/>
              </w:numPr>
            </w:pPr>
            <w:r w:rsidRPr="00414CC4">
              <w:rPr>
                <w:bCs/>
              </w:rPr>
              <w:t>FFS whether this operation is applied even for the case with HARQ-ACK multiplexing</w:t>
            </w:r>
          </w:p>
          <w:p w:rsidR="000D014D" w:rsidRPr="00414CC4" w:rsidRDefault="000D014D" w:rsidP="000D014D">
            <w:pPr>
              <w:numPr>
                <w:ilvl w:val="1"/>
                <w:numId w:val="31"/>
              </w:numPr>
            </w:pPr>
            <w:r w:rsidRPr="00414CC4">
              <w:rPr>
                <w:bCs/>
              </w:rPr>
              <w:t>Note: this means that fallback DCI does not support CBG level HARQ-ACK feedback</w:t>
            </w:r>
          </w:p>
          <w:p w:rsidR="000D014D" w:rsidRDefault="000D014D" w:rsidP="00D4326E">
            <w:pPr>
              <w:pStyle w:val="BodyText"/>
              <w:rPr>
                <w:rFonts w:eastAsia="SimSun"/>
                <w:lang w:eastAsia="zh-CN"/>
              </w:rPr>
            </w:pPr>
          </w:p>
          <w:p w:rsidR="000D014D" w:rsidRPr="000D014D" w:rsidRDefault="000D014D" w:rsidP="000D014D">
            <w:pPr>
              <w:pStyle w:val="BodyText"/>
              <w:numPr>
                <w:ilvl w:val="0"/>
                <w:numId w:val="32"/>
              </w:numPr>
              <w:rPr>
                <w:rFonts w:eastAsia="SimSun"/>
                <w:lang w:eastAsia="zh-CN"/>
              </w:rPr>
            </w:pPr>
            <w:r w:rsidRPr="000D014D">
              <w:rPr>
                <w:rFonts w:eastAsia="SimSun"/>
                <w:lang w:eastAsia="zh-CN"/>
              </w:rPr>
              <w:t>In case configured with CBG based retransmission, CBGTI, CBGFI, and NDI are separately indicated in the same DCI.</w:t>
            </w:r>
          </w:p>
          <w:p w:rsidR="000D014D" w:rsidRPr="000D014D" w:rsidRDefault="000D014D" w:rsidP="000D014D">
            <w:pPr>
              <w:pStyle w:val="BodyText"/>
              <w:numPr>
                <w:ilvl w:val="0"/>
                <w:numId w:val="32"/>
              </w:numPr>
              <w:rPr>
                <w:rFonts w:eastAsia="SimSun"/>
                <w:lang w:eastAsia="zh-CN"/>
              </w:rPr>
            </w:pPr>
            <w:r w:rsidRPr="000D014D">
              <w:rPr>
                <w:rFonts w:eastAsia="SimSun"/>
                <w:lang w:eastAsia="zh-CN"/>
              </w:rPr>
              <w:t xml:space="preserve">In case with CBG based retransmission and multiple CW configuration, single CBGFI is indicated in DCI and commonly applied for both two TBs. </w:t>
            </w:r>
          </w:p>
          <w:p w:rsidR="000D014D" w:rsidRPr="000D014D" w:rsidRDefault="000D014D" w:rsidP="000D014D">
            <w:pPr>
              <w:pStyle w:val="BodyText"/>
              <w:numPr>
                <w:ilvl w:val="0"/>
                <w:numId w:val="32"/>
              </w:numPr>
              <w:rPr>
                <w:rFonts w:eastAsia="SimSun"/>
                <w:lang w:eastAsia="zh-CN"/>
              </w:rPr>
            </w:pPr>
            <w:r w:rsidRPr="000D014D">
              <w:rPr>
                <w:rFonts w:eastAsia="SimSun"/>
                <w:lang w:eastAsia="zh-CN"/>
              </w:rPr>
              <w:t xml:space="preserve">Discuss further on the detailed DCI composition for CBG based retransmission such as reinterpretation of MCS/TBS field to CBGTI. </w:t>
            </w:r>
          </w:p>
          <w:p w:rsidR="000D014D" w:rsidRPr="000D014D" w:rsidRDefault="000D014D" w:rsidP="000D014D">
            <w:pPr>
              <w:pStyle w:val="BodyText"/>
              <w:numPr>
                <w:ilvl w:val="0"/>
                <w:numId w:val="32"/>
              </w:numPr>
              <w:rPr>
                <w:rFonts w:eastAsia="SimSun"/>
                <w:lang w:eastAsia="zh-CN"/>
              </w:rPr>
            </w:pPr>
            <w:r w:rsidRPr="000D014D">
              <w:rPr>
                <w:rFonts w:eastAsia="SimSun"/>
                <w:lang w:eastAsia="zh-CN"/>
              </w:rPr>
              <w:t xml:space="preserve">Discuss further on the detailed HARQ-ACK feedback with CBG in terms of TB level HARQ-ACK, HARQ-ACK bundling, HARQ-ACK composition, with consideration of overall HARQ-ACK codebook design. </w:t>
            </w:r>
          </w:p>
          <w:p w:rsidR="000D014D" w:rsidRPr="000D014D" w:rsidRDefault="000D014D" w:rsidP="000D014D">
            <w:pPr>
              <w:pStyle w:val="BodyText"/>
              <w:numPr>
                <w:ilvl w:val="0"/>
                <w:numId w:val="32"/>
              </w:numPr>
              <w:rPr>
                <w:rFonts w:eastAsia="SimSun"/>
                <w:lang w:eastAsia="zh-CN"/>
              </w:rPr>
            </w:pPr>
            <w:r w:rsidRPr="000D014D">
              <w:rPr>
                <w:rFonts w:eastAsia="SimSun"/>
                <w:lang w:eastAsia="zh-CN"/>
              </w:rPr>
              <w:t xml:space="preserve">Compressed </w:t>
            </w:r>
            <w:r w:rsidRPr="000D014D">
              <w:rPr>
                <w:rFonts w:eastAsia="SimSun"/>
                <w:bCs/>
                <w:lang w:eastAsia="zh-CN"/>
              </w:rPr>
              <w:t>CBG level</w:t>
            </w:r>
            <w:r w:rsidRPr="000D014D">
              <w:rPr>
                <w:rFonts w:eastAsia="SimSun"/>
                <w:lang w:eastAsia="zh-CN"/>
              </w:rPr>
              <w:t xml:space="preserve"> HARQ-ACK </w:t>
            </w:r>
            <w:r w:rsidRPr="000D014D">
              <w:rPr>
                <w:rFonts w:eastAsia="SimSun"/>
                <w:bCs/>
                <w:lang w:eastAsia="zh-CN"/>
              </w:rPr>
              <w:t>feedback</w:t>
            </w:r>
            <w:r w:rsidRPr="000D014D">
              <w:rPr>
                <w:rFonts w:eastAsia="SimSun"/>
                <w:lang w:eastAsia="zh-CN"/>
              </w:rPr>
              <w:t xml:space="preserve"> scheme except for HARQ-ACK bundling is not supported in Rel-15.</w:t>
            </w:r>
          </w:p>
          <w:p w:rsidR="000D014D" w:rsidRPr="000D014D" w:rsidRDefault="000D014D" w:rsidP="00D4326E">
            <w:pPr>
              <w:pStyle w:val="BodyText"/>
              <w:numPr>
                <w:ilvl w:val="0"/>
                <w:numId w:val="32"/>
              </w:numPr>
              <w:rPr>
                <w:rFonts w:eastAsia="SimSun"/>
                <w:lang w:eastAsia="zh-CN"/>
              </w:rPr>
            </w:pPr>
            <w:r w:rsidRPr="000D014D">
              <w:rPr>
                <w:rFonts w:eastAsia="SimSun"/>
                <w:lang w:eastAsia="zh-CN"/>
              </w:rPr>
              <w:t>No additional CB grouping method is introduced in Rel-15.</w:t>
            </w:r>
          </w:p>
        </w:tc>
      </w:tr>
    </w:tbl>
    <w:p w:rsidR="000D014D" w:rsidRDefault="000D014D" w:rsidP="00D4326E">
      <w:pPr>
        <w:pStyle w:val="BodyText"/>
        <w:rPr>
          <w:rFonts w:eastAsia="SimSun"/>
          <w:lang w:eastAsia="zh-CN"/>
        </w:rPr>
      </w:pPr>
    </w:p>
    <w:p w:rsidR="000D014D" w:rsidRDefault="000D014D" w:rsidP="00D4326E">
      <w:pPr>
        <w:pStyle w:val="BodyText"/>
        <w:rPr>
          <w:rFonts w:eastAsia="SimSun"/>
          <w:lang w:eastAsia="zh-CN"/>
        </w:rPr>
      </w:pPr>
      <w:r>
        <w:rPr>
          <w:rFonts w:eastAsia="SimSun"/>
          <w:lang w:eastAsia="zh-CN"/>
        </w:rPr>
        <w:t>This contribution addresses the remaining signaling aspects to complete CBG-based operation in Rel-15.</w:t>
      </w:r>
    </w:p>
    <w:p w:rsidR="00312AA4" w:rsidRDefault="00031368" w:rsidP="00542311">
      <w:pPr>
        <w:pStyle w:val="Heading1"/>
      </w:pPr>
      <w:r>
        <w:t>D</w:t>
      </w:r>
      <w:r w:rsidR="007C422B">
        <w:t>iscussion</w:t>
      </w:r>
    </w:p>
    <w:p w:rsidR="00865B5C" w:rsidRDefault="00763032" w:rsidP="00865B5C">
      <w:pPr>
        <w:pStyle w:val="Heading2"/>
      </w:pPr>
      <w:r>
        <w:t>DCI composition</w:t>
      </w:r>
    </w:p>
    <w:p w:rsidR="003F4808" w:rsidRDefault="00763032" w:rsidP="00865B5C">
      <w:pPr>
        <w:pStyle w:val="BodyText"/>
        <w:rPr>
          <w:rFonts w:eastAsia="SimSun"/>
          <w:lang w:eastAsia="zh-CN"/>
        </w:rPr>
      </w:pPr>
      <w:r>
        <w:rPr>
          <w:rFonts w:eastAsia="SimSun"/>
          <w:lang w:eastAsia="zh-CN"/>
        </w:rPr>
        <w:t xml:space="preserve">It was agreed in the email discussion of </w:t>
      </w:r>
      <w:r w:rsidR="006A43D9">
        <w:rPr>
          <w:rFonts w:eastAsia="SimSun"/>
          <w:lang w:eastAsia="zh-CN"/>
        </w:rPr>
        <w:fldChar w:fldCharType="begin"/>
      </w:r>
      <w:r w:rsidR="003F4808">
        <w:rPr>
          <w:rFonts w:eastAsia="SimSun"/>
          <w:lang w:eastAsia="zh-CN"/>
        </w:rPr>
        <w:instrText xml:space="preserve"> REF _Ref498674120 \n \h </w:instrText>
      </w:r>
      <w:r w:rsidR="006A43D9">
        <w:rPr>
          <w:rFonts w:eastAsia="SimSun"/>
          <w:lang w:eastAsia="zh-CN"/>
        </w:rPr>
      </w:r>
      <w:r w:rsidR="006A43D9">
        <w:rPr>
          <w:rFonts w:eastAsia="SimSun"/>
          <w:lang w:eastAsia="zh-CN"/>
        </w:rPr>
        <w:fldChar w:fldCharType="separate"/>
      </w:r>
      <w:r w:rsidR="003F4808">
        <w:rPr>
          <w:rFonts w:eastAsia="SimSun"/>
          <w:lang w:eastAsia="zh-CN"/>
        </w:rPr>
        <w:t>[2]</w:t>
      </w:r>
      <w:r w:rsidR="006A43D9">
        <w:rPr>
          <w:rFonts w:eastAsia="SimSun"/>
          <w:lang w:eastAsia="zh-CN"/>
        </w:rPr>
        <w:fldChar w:fldCharType="end"/>
      </w:r>
      <w:r w:rsidR="003F4808">
        <w:rPr>
          <w:rFonts w:eastAsia="SimSun"/>
          <w:lang w:eastAsia="zh-CN"/>
        </w:rPr>
        <w:t xml:space="preserve"> to separately indicate NDI, CBGTI, CBGI fields when each of these fields is configured for CBG-based (re-)transmission. Given that the maximum bit width of the CBGTI field is 8 </w:t>
      </w:r>
      <w:r w:rsidR="003F4808">
        <w:rPr>
          <w:rFonts w:eastAsia="SimSun"/>
          <w:lang w:eastAsia="zh-CN"/>
        </w:rPr>
        <w:lastRenderedPageBreak/>
        <w:t xml:space="preserve">bits while a bit is used for CBGFI, this means that CBG-based operation adds up to 9 bits to the DCI payload. Although </w:t>
      </w:r>
      <w:r w:rsidR="003A71D7">
        <w:rPr>
          <w:rFonts w:eastAsia="SimSun"/>
          <w:lang w:eastAsia="zh-CN"/>
        </w:rPr>
        <w:t>desirable and much needed s</w:t>
      </w:r>
      <w:r w:rsidR="003F4808">
        <w:rPr>
          <w:rFonts w:eastAsia="SimSun"/>
          <w:lang w:eastAsia="zh-CN"/>
        </w:rPr>
        <w:t>ignaling optimization was debated at length it ultimately was not agreeable due to concerns about error cases if NDI were to be jointly signaled with either CBGTI or CBGFI.</w:t>
      </w:r>
      <w:r w:rsidR="003A71D7">
        <w:rPr>
          <w:rFonts w:eastAsia="SimSun"/>
          <w:lang w:eastAsia="zh-CN"/>
        </w:rPr>
        <w:t xml:space="preserve"> </w:t>
      </w:r>
    </w:p>
    <w:p w:rsidR="00FD5F4C" w:rsidRDefault="003A71D7" w:rsidP="00865B5C">
      <w:pPr>
        <w:pStyle w:val="BodyText"/>
        <w:rPr>
          <w:rFonts w:eastAsia="SimSun"/>
          <w:lang w:val="en-GB" w:eastAsia="zh-CN"/>
        </w:rPr>
      </w:pPr>
      <w:r>
        <w:rPr>
          <w:rFonts w:eastAsia="SimSun"/>
          <w:lang w:val="en-GB" w:eastAsia="zh-CN"/>
        </w:rPr>
        <w:t>A different consideration is now considered to reduce the DL signaling overhead by jointly signaling the CBGTI with some other DCI field such as the MCS. To see how this would work we consider the extreme payload size with MCS-CBGTI-CBGFI-NDI = {5, 8, 1, 1}</w:t>
      </w:r>
      <w:r w:rsidR="00FD5F4C">
        <w:rPr>
          <w:rFonts w:eastAsia="SimSun"/>
          <w:lang w:val="en-GB" w:eastAsia="zh-CN"/>
        </w:rPr>
        <w:t xml:space="preserve">. Some optimization could be to reduce the MCS-CBGTI fields from a maximum of 13 bits to a smaller number. Firstly, it is not clear how much reduction would </w:t>
      </w:r>
      <w:r w:rsidR="00040A7E">
        <w:rPr>
          <w:rFonts w:eastAsia="SimSun"/>
          <w:lang w:val="en-GB" w:eastAsia="zh-CN"/>
        </w:rPr>
        <w:t xml:space="preserve">help given that such a </w:t>
      </w:r>
      <w:r w:rsidR="00FD5F4C">
        <w:rPr>
          <w:rFonts w:eastAsia="SimSun"/>
          <w:lang w:val="en-GB" w:eastAsia="zh-CN"/>
        </w:rPr>
        <w:t xml:space="preserve">reduction introduces scheduling restrictions </w:t>
      </w:r>
      <w:r w:rsidR="00040A7E">
        <w:rPr>
          <w:rFonts w:eastAsia="SimSun"/>
          <w:lang w:val="en-GB" w:eastAsia="zh-CN"/>
        </w:rPr>
        <w:t>as it inevitably reduces the MCS range. This is not desirable as e</w:t>
      </w:r>
      <w:r w:rsidR="00FD5F4C">
        <w:rPr>
          <w:rFonts w:eastAsia="SimSun"/>
          <w:lang w:val="en-GB" w:eastAsia="zh-CN"/>
        </w:rPr>
        <w:t xml:space="preserve">xplicit signaling of MCS and TBS determination </w:t>
      </w:r>
      <w:r w:rsidR="00040A7E">
        <w:rPr>
          <w:rFonts w:eastAsia="SimSun"/>
          <w:lang w:val="en-GB" w:eastAsia="zh-CN"/>
        </w:rPr>
        <w:t xml:space="preserve">information </w:t>
      </w:r>
      <w:r w:rsidR="00FD5F4C">
        <w:rPr>
          <w:rFonts w:eastAsia="SimSun"/>
          <w:lang w:val="en-GB" w:eastAsia="zh-CN"/>
        </w:rPr>
        <w:t xml:space="preserve">avoids any ambiguity between DTX and NACK at the UE in case multiple PDSCHs are acknowledged in the same feedback message. </w:t>
      </w:r>
      <w:r w:rsidR="00040A7E">
        <w:rPr>
          <w:rFonts w:eastAsia="SimSun"/>
          <w:lang w:val="en-GB" w:eastAsia="zh-CN"/>
        </w:rPr>
        <w:t xml:space="preserve">As </w:t>
      </w:r>
      <w:r w:rsidR="00FD5F4C">
        <w:rPr>
          <w:rFonts w:eastAsia="SimSun"/>
          <w:lang w:val="en-GB" w:eastAsia="zh-CN"/>
        </w:rPr>
        <w:t>DCI format design is still in its infancy</w:t>
      </w:r>
      <w:r w:rsidR="00040A7E">
        <w:rPr>
          <w:rFonts w:eastAsia="SimSun"/>
          <w:lang w:val="en-GB" w:eastAsia="zh-CN"/>
        </w:rPr>
        <w:t>,</w:t>
      </w:r>
      <w:r w:rsidR="00FD5F4C">
        <w:rPr>
          <w:rFonts w:eastAsia="SimSun"/>
          <w:lang w:val="en-GB" w:eastAsia="zh-CN"/>
        </w:rPr>
        <w:t xml:space="preserve"> and depending on the final DCI payload sizes in NR, a </w:t>
      </w:r>
      <w:r w:rsidR="00040A7E">
        <w:rPr>
          <w:rFonts w:eastAsia="SimSun"/>
          <w:lang w:val="en-GB" w:eastAsia="zh-CN"/>
        </w:rPr>
        <w:t xml:space="preserve">much </w:t>
      </w:r>
      <w:r w:rsidR="00FD5F4C">
        <w:rPr>
          <w:rFonts w:eastAsia="SimSun"/>
          <w:lang w:val="en-GB" w:eastAsia="zh-CN"/>
        </w:rPr>
        <w:t xml:space="preserve">broader discussion </w:t>
      </w:r>
      <w:r w:rsidR="00040A7E">
        <w:rPr>
          <w:rFonts w:eastAsia="SimSun"/>
          <w:lang w:val="en-GB" w:eastAsia="zh-CN"/>
        </w:rPr>
        <w:t xml:space="preserve">may be needed on </w:t>
      </w:r>
      <w:r w:rsidR="00FD5F4C">
        <w:rPr>
          <w:rFonts w:eastAsia="SimSun"/>
          <w:lang w:val="en-GB" w:eastAsia="zh-CN"/>
        </w:rPr>
        <w:t xml:space="preserve">signaling optimization. </w:t>
      </w:r>
      <w:r w:rsidR="00076DA2">
        <w:rPr>
          <w:rFonts w:eastAsia="SimSun"/>
          <w:lang w:val="en-GB" w:eastAsia="zh-CN"/>
        </w:rPr>
        <w:t xml:space="preserve">Therefore, not only is this optimization here premature it also introduces error cases, whereas RAN1 tried to avoid error cases </w:t>
      </w:r>
      <w:r w:rsidR="00040A7E">
        <w:rPr>
          <w:rFonts w:eastAsia="SimSun"/>
          <w:lang w:val="en-GB" w:eastAsia="zh-CN"/>
        </w:rPr>
        <w:t xml:space="preserve">with much lower probability of ~0.01% </w:t>
      </w:r>
      <w:r w:rsidR="00076DA2">
        <w:rPr>
          <w:rFonts w:eastAsia="SimSun"/>
          <w:lang w:val="en-GB" w:eastAsia="zh-CN"/>
        </w:rPr>
        <w:t>by agreeing to separate CBGTI, CBFI and NDI fields.</w:t>
      </w:r>
    </w:p>
    <w:p w:rsidR="00076DA2" w:rsidRPr="00076DA2" w:rsidRDefault="00076DA2" w:rsidP="00865B5C">
      <w:pPr>
        <w:pStyle w:val="BodyText"/>
        <w:rPr>
          <w:rFonts w:eastAsia="SimSun"/>
          <w:b/>
          <w:lang w:val="en-GB" w:eastAsia="zh-CN"/>
        </w:rPr>
      </w:pPr>
      <w:r w:rsidRPr="00076DA2">
        <w:rPr>
          <w:rFonts w:eastAsia="SimSun"/>
          <w:b/>
          <w:lang w:val="en-GB" w:eastAsia="zh-CN"/>
        </w:rPr>
        <w:t xml:space="preserve">Proposal: when configured, CBGTI and CBGFI are not combined with any other field in a scheduling DCI in Release 15. </w:t>
      </w:r>
    </w:p>
    <w:p w:rsidR="0039047A" w:rsidRDefault="0039047A" w:rsidP="00865B5C">
      <w:pPr>
        <w:pStyle w:val="BodyText"/>
        <w:rPr>
          <w:rFonts w:eastAsia="SimSun"/>
          <w:lang w:val="en-GB" w:eastAsia="zh-CN"/>
        </w:rPr>
      </w:pPr>
    </w:p>
    <w:p w:rsidR="00F47FCC" w:rsidRDefault="00076DA2" w:rsidP="00F47FCC">
      <w:pPr>
        <w:pStyle w:val="Heading2"/>
        <w:rPr>
          <w:lang w:val="en-GB"/>
        </w:rPr>
      </w:pPr>
      <w:r>
        <w:rPr>
          <w:lang w:val="en-GB"/>
        </w:rPr>
        <w:t>DL HARQ feedback</w:t>
      </w:r>
    </w:p>
    <w:p w:rsidR="00717A6C" w:rsidRDefault="00E10057" w:rsidP="00E10057">
      <w:pPr>
        <w:pStyle w:val="BodyText"/>
        <w:rPr>
          <w:lang w:eastAsia="ja-JP"/>
        </w:rPr>
      </w:pPr>
      <w:r>
        <w:rPr>
          <w:lang w:eastAsia="ja-JP"/>
        </w:rPr>
        <w:t xml:space="preserve">Several open issues remain for CBG-based HARQ-ACK feedback including support of HARQ-ACK bundling and codebook design for HARQ-ACK multiplexing. Some of these aspects are treated in </w:t>
      </w:r>
      <w:r w:rsidR="00D932EB">
        <w:rPr>
          <w:lang w:eastAsia="ja-JP"/>
        </w:rPr>
        <w:t xml:space="preserve">a companion contribution </w:t>
      </w:r>
      <w:r w:rsidR="006A43D9">
        <w:rPr>
          <w:lang w:eastAsia="ja-JP"/>
        </w:rPr>
        <w:fldChar w:fldCharType="begin"/>
      </w:r>
      <w:r w:rsidR="00D932EB">
        <w:rPr>
          <w:lang w:eastAsia="ja-JP"/>
        </w:rPr>
        <w:instrText xml:space="preserve"> REF _Ref498715667 \n \h </w:instrText>
      </w:r>
      <w:r w:rsidR="006A43D9">
        <w:rPr>
          <w:lang w:eastAsia="ja-JP"/>
        </w:rPr>
      </w:r>
      <w:r w:rsidR="006A43D9">
        <w:rPr>
          <w:lang w:eastAsia="ja-JP"/>
        </w:rPr>
        <w:fldChar w:fldCharType="separate"/>
      </w:r>
      <w:r w:rsidR="00D932EB">
        <w:rPr>
          <w:lang w:eastAsia="ja-JP"/>
        </w:rPr>
        <w:t>[3]</w:t>
      </w:r>
      <w:r w:rsidR="006A43D9">
        <w:rPr>
          <w:lang w:eastAsia="ja-JP"/>
        </w:rPr>
        <w:fldChar w:fldCharType="end"/>
      </w:r>
      <w:r>
        <w:rPr>
          <w:lang w:eastAsia="ja-JP"/>
        </w:rPr>
        <w:t xml:space="preserve">. Here we first discuss an open issue from the RAN1 #90bis agreements. </w:t>
      </w:r>
    </w:p>
    <w:p w:rsidR="00E10057" w:rsidRDefault="00E10057" w:rsidP="00E10057">
      <w:pPr>
        <w:pStyle w:val="BodyText"/>
        <w:rPr>
          <w:lang w:eastAsia="ja-JP"/>
        </w:rPr>
      </w:pPr>
      <w:r>
        <w:rPr>
          <w:rFonts w:eastAsia="SimSun"/>
          <w:lang w:eastAsia="zh-CN"/>
        </w:rPr>
        <w:t>It was agreed to use TB-level HARQ-ACK feedback when a single PDSCH is scheduled by the fallback DCI format</w:t>
      </w:r>
      <w:r w:rsidR="00E40959">
        <w:rPr>
          <w:rFonts w:eastAsia="SimSun"/>
          <w:lang w:eastAsia="zh-CN"/>
        </w:rPr>
        <w:t xml:space="preserve">. </w:t>
      </w:r>
      <w:r w:rsidR="00717A6C">
        <w:rPr>
          <w:rFonts w:eastAsia="SimSun"/>
          <w:lang w:eastAsia="zh-CN"/>
        </w:rPr>
        <w:t xml:space="preserve">It was also agreed that for </w:t>
      </w:r>
      <w:r w:rsidR="00717A6C" w:rsidRPr="00D55460">
        <w:rPr>
          <w:rFonts w:hint="eastAsia"/>
          <w:lang w:eastAsia="ja-JP"/>
        </w:rPr>
        <w:t xml:space="preserve">HARQ-ACK multiplexing </w:t>
      </w:r>
      <w:r w:rsidR="00717A6C">
        <w:rPr>
          <w:lang w:eastAsia="ja-JP"/>
        </w:rPr>
        <w:t xml:space="preserve">with </w:t>
      </w:r>
      <w:r w:rsidR="00717A6C" w:rsidRPr="00D55460">
        <w:rPr>
          <w:rFonts w:hint="eastAsia"/>
          <w:lang w:eastAsia="ja-JP"/>
        </w:rPr>
        <w:t>semi-static codebook</w:t>
      </w:r>
      <w:r w:rsidR="00717A6C">
        <w:rPr>
          <w:lang w:eastAsia="ja-JP"/>
        </w:rPr>
        <w:t xml:space="preserve">, </w:t>
      </w:r>
      <w:r w:rsidR="00E40959">
        <w:rPr>
          <w:lang w:eastAsia="ja-JP"/>
        </w:rPr>
        <w:t>each HARQ-</w:t>
      </w:r>
      <w:r w:rsidR="00717A6C">
        <w:rPr>
          <w:lang w:eastAsia="ja-JP"/>
        </w:rPr>
        <w:t xml:space="preserve">ACK corresponding to a PDSCH consists of CBG-level HARQ-ACK. For example, if the number of configured CBGs is M and there are L PDSCHs to be acknowledged, the codebook size is M * L. If one of the PDSCHs was scheduled by the fallback DCI it is not clear whether to use 1 or M bits (CBG-level) for that PDSCH based on these agreements. </w:t>
      </w:r>
      <w:r w:rsidR="00E40959">
        <w:rPr>
          <w:rFonts w:eastAsia="SimSun"/>
          <w:lang w:eastAsia="zh-CN"/>
        </w:rPr>
        <w:t xml:space="preserve">Our understanding of the fallback DCI in the context of this agreement is that it can be used to schedule a UE in a common search space during periods of uncertainty between the gNB and UE such as during an RRC reconfiguration period. Given the flexible HARQ timing available in NR, the gNB can avoid a situation where a PDSCH scheduled using the fallback DCI in a CSS needs to be acknowledged at the same time as other PDSCHs scheduled in the UESS. However, if such a situation </w:t>
      </w:r>
      <w:r w:rsidR="00717A6C">
        <w:rPr>
          <w:lang w:eastAsia="ja-JP"/>
        </w:rPr>
        <w:t xml:space="preserve">it is preferable to </w:t>
      </w:r>
      <w:r w:rsidR="00E40959">
        <w:rPr>
          <w:lang w:eastAsia="ja-JP"/>
        </w:rPr>
        <w:t xml:space="preserve">assign M bits for this PDSCH to avoid any </w:t>
      </w:r>
      <w:r w:rsidR="00717A6C">
        <w:rPr>
          <w:lang w:eastAsia="ja-JP"/>
        </w:rPr>
        <w:t>ambiguity if the UE misses t</w:t>
      </w:r>
      <w:r w:rsidR="00E40959">
        <w:rPr>
          <w:lang w:eastAsia="ja-JP"/>
        </w:rPr>
        <w:t>he PDCCH.</w:t>
      </w:r>
    </w:p>
    <w:p w:rsidR="00E40959" w:rsidRPr="00DD1ED5" w:rsidRDefault="00E40959" w:rsidP="00E10057">
      <w:pPr>
        <w:pStyle w:val="BodyText"/>
        <w:rPr>
          <w:rFonts w:eastAsia="SimSun"/>
          <w:b/>
          <w:lang w:eastAsia="zh-CN"/>
        </w:rPr>
      </w:pPr>
      <w:r w:rsidRPr="00DD1ED5">
        <w:rPr>
          <w:b/>
          <w:lang w:eastAsia="ja-JP"/>
        </w:rPr>
        <w:t xml:space="preserve">Proposal: </w:t>
      </w:r>
      <w:r w:rsidR="009851E2" w:rsidRPr="00DD1ED5">
        <w:rPr>
          <w:b/>
          <w:lang w:eastAsia="ja-JP"/>
        </w:rPr>
        <w:t xml:space="preserve">when DL CBG-based HARQ-ACK is configured and </w:t>
      </w:r>
      <w:r w:rsidRPr="00DD1ED5">
        <w:rPr>
          <w:b/>
          <w:lang w:eastAsia="ja-JP"/>
        </w:rPr>
        <w:t xml:space="preserve">if </w:t>
      </w:r>
      <w:r w:rsidR="009851E2" w:rsidRPr="00DD1ED5">
        <w:rPr>
          <w:b/>
          <w:lang w:eastAsia="ja-JP"/>
        </w:rPr>
        <w:t xml:space="preserve">HARQ-ACK corresponding to </w:t>
      </w:r>
      <w:r w:rsidRPr="00DD1ED5">
        <w:rPr>
          <w:b/>
          <w:lang w:eastAsia="ja-JP"/>
        </w:rPr>
        <w:t xml:space="preserve">a PDSCH scheduled by the fallback </w:t>
      </w:r>
      <w:r w:rsidR="009851E2" w:rsidRPr="00DD1ED5">
        <w:rPr>
          <w:b/>
          <w:lang w:eastAsia="ja-JP"/>
        </w:rPr>
        <w:t xml:space="preserve">DCI is to be multiplexed with HARQ-ACK corresponding to one or more PDSCHs scheduled by non-fallback DCI, the UE generates HARQ-ACK bits corresponding to the configured number of CBGs for each PDSCH. </w:t>
      </w:r>
    </w:p>
    <w:p w:rsidR="00E10057" w:rsidRDefault="00E10057" w:rsidP="00865B5C">
      <w:pPr>
        <w:pStyle w:val="BodyText"/>
        <w:rPr>
          <w:lang w:eastAsia="ja-JP"/>
        </w:rPr>
      </w:pPr>
    </w:p>
    <w:p w:rsidR="009851E2" w:rsidRDefault="009851E2" w:rsidP="009851E2">
      <w:pPr>
        <w:pStyle w:val="BodyText"/>
        <w:rPr>
          <w:rFonts w:eastAsia="SimSun"/>
          <w:lang w:eastAsia="zh-CN"/>
        </w:rPr>
      </w:pPr>
      <w:r>
        <w:rPr>
          <w:rFonts w:eastAsia="SimSun"/>
          <w:lang w:eastAsia="zh-CN"/>
        </w:rPr>
        <w:t>RM coding with semi-static HARQ-ACK codebook adaptation can be used when the total HARQ-ACK payload size is up to 11 bits. For larger payload sizes</w:t>
      </w:r>
      <w:r w:rsidR="002B3C7A">
        <w:rPr>
          <w:rFonts w:eastAsia="SimSun"/>
          <w:lang w:eastAsia="zh-CN"/>
        </w:rPr>
        <w:t xml:space="preserve">, where polar coding would be used, dynamic codebook adaptation </w:t>
      </w:r>
      <w:r w:rsidR="00DD1ED5">
        <w:rPr>
          <w:rFonts w:eastAsia="SimSun"/>
          <w:lang w:eastAsia="zh-CN"/>
        </w:rPr>
        <w:t xml:space="preserve">can be used. </w:t>
      </w:r>
      <w:r>
        <w:rPr>
          <w:rFonts w:eastAsia="SimSun"/>
          <w:lang w:eastAsia="zh-CN"/>
        </w:rPr>
        <w:t>For dynamic codebook adaptation</w:t>
      </w:r>
      <w:r w:rsidR="00DD1ED5">
        <w:rPr>
          <w:rFonts w:eastAsia="SimSun"/>
          <w:lang w:eastAsia="zh-CN"/>
        </w:rPr>
        <w:t xml:space="preserve"> an open issue is whether to support TB-level or CBG-level DAI design. Considering the timeline to complete the first phase of Rel-15 and given that the basic TB-level DAI design is not yet complete, it is preferable to support TB-level DAI design for CBG-based operation</w:t>
      </w:r>
      <w:r>
        <w:rPr>
          <w:rFonts w:eastAsia="SimSun"/>
          <w:lang w:eastAsia="zh-CN"/>
        </w:rPr>
        <w:t>.</w:t>
      </w:r>
    </w:p>
    <w:p w:rsidR="009851E2" w:rsidRPr="00DD1ED5" w:rsidRDefault="009851E2" w:rsidP="00DD1ED5">
      <w:pPr>
        <w:pStyle w:val="BodyText"/>
        <w:rPr>
          <w:rFonts w:eastAsia="SimSun"/>
          <w:b/>
          <w:lang w:eastAsia="zh-CN"/>
        </w:rPr>
      </w:pPr>
      <w:r w:rsidRPr="00DD1ED5">
        <w:rPr>
          <w:rFonts w:eastAsia="SimSun"/>
          <w:b/>
          <w:lang w:eastAsia="zh-CN"/>
        </w:rPr>
        <w:t xml:space="preserve">Proposal: </w:t>
      </w:r>
      <w:r w:rsidR="00DD1ED5" w:rsidRPr="00DD1ED5">
        <w:rPr>
          <w:rFonts w:eastAsia="SimSun"/>
          <w:b/>
          <w:lang w:eastAsia="zh-CN"/>
        </w:rPr>
        <w:t>TB-level DAI design is used for CBG-based HARQ-ACK feedback</w:t>
      </w:r>
      <w:r w:rsidR="00DD1ED5">
        <w:rPr>
          <w:rFonts w:eastAsia="SimSun"/>
          <w:b/>
          <w:lang w:eastAsia="zh-CN"/>
        </w:rPr>
        <w:t>.</w:t>
      </w: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 xml:space="preserve">discussed </w:t>
      </w:r>
      <w:r w:rsidR="00F47FCC">
        <w:rPr>
          <w:rFonts w:eastAsia="SimSun"/>
          <w:lang w:eastAsia="zh-CN"/>
        </w:rPr>
        <w:t xml:space="preserve">several open issues for CBG-based operation. </w:t>
      </w:r>
      <w:r w:rsidR="00D932EB">
        <w:rPr>
          <w:rFonts w:eastAsia="SimSun"/>
          <w:lang w:eastAsia="zh-CN"/>
        </w:rPr>
        <w:t xml:space="preserve">We have the </w:t>
      </w:r>
      <w:r w:rsidR="00F47FCC">
        <w:rPr>
          <w:rFonts w:eastAsia="SimSun"/>
          <w:lang w:eastAsia="zh-CN"/>
        </w:rPr>
        <w:t>following proposals</w:t>
      </w:r>
      <w:r w:rsidR="00E93231">
        <w:rPr>
          <w:rFonts w:eastAsia="SimSun"/>
          <w:lang w:eastAsia="zh-CN"/>
        </w:rPr>
        <w:t>:</w:t>
      </w:r>
      <w:r w:rsidR="008D66D8">
        <w:rPr>
          <w:rFonts w:eastAsia="SimSun"/>
          <w:lang w:eastAsia="zh-CN"/>
        </w:rPr>
        <w:t xml:space="preserve"> </w:t>
      </w:r>
    </w:p>
    <w:p w:rsidR="00D932EB" w:rsidRPr="00076DA2" w:rsidRDefault="00D932EB" w:rsidP="00D932EB">
      <w:pPr>
        <w:pStyle w:val="BodyText"/>
        <w:numPr>
          <w:ilvl w:val="0"/>
          <w:numId w:val="34"/>
        </w:numPr>
        <w:rPr>
          <w:rFonts w:eastAsia="SimSun"/>
          <w:b/>
          <w:lang w:val="en-GB" w:eastAsia="zh-CN"/>
        </w:rPr>
      </w:pPr>
      <w:r w:rsidRPr="00076DA2">
        <w:rPr>
          <w:rFonts w:eastAsia="SimSun"/>
          <w:b/>
          <w:lang w:val="en-GB" w:eastAsia="zh-CN"/>
        </w:rPr>
        <w:t>Proposal</w:t>
      </w:r>
      <w:r>
        <w:rPr>
          <w:rFonts w:eastAsia="SimSun"/>
          <w:b/>
          <w:lang w:val="en-GB" w:eastAsia="zh-CN"/>
        </w:rPr>
        <w:t xml:space="preserve"> 1</w:t>
      </w:r>
      <w:r w:rsidRPr="00076DA2">
        <w:rPr>
          <w:rFonts w:eastAsia="SimSun"/>
          <w:b/>
          <w:lang w:val="en-GB" w:eastAsia="zh-CN"/>
        </w:rPr>
        <w:t xml:space="preserve">: when configured, CBGTI and CBGFI are not combined with any other field in a scheduling DCI in Release 15. </w:t>
      </w:r>
    </w:p>
    <w:p w:rsidR="00D932EB" w:rsidRPr="00DD1ED5" w:rsidRDefault="00D932EB" w:rsidP="00D932EB">
      <w:pPr>
        <w:pStyle w:val="BodyText"/>
        <w:numPr>
          <w:ilvl w:val="0"/>
          <w:numId w:val="34"/>
        </w:numPr>
        <w:rPr>
          <w:rFonts w:eastAsia="SimSun"/>
          <w:b/>
          <w:lang w:eastAsia="zh-CN"/>
        </w:rPr>
      </w:pPr>
      <w:r w:rsidRPr="00DD1ED5">
        <w:rPr>
          <w:b/>
          <w:lang w:eastAsia="ja-JP"/>
        </w:rPr>
        <w:t>Proposal</w:t>
      </w:r>
      <w:r>
        <w:rPr>
          <w:b/>
          <w:lang w:eastAsia="ja-JP"/>
        </w:rPr>
        <w:t xml:space="preserve"> 2</w:t>
      </w:r>
      <w:r w:rsidRPr="00DD1ED5">
        <w:rPr>
          <w:b/>
          <w:lang w:eastAsia="ja-JP"/>
        </w:rPr>
        <w:t xml:space="preserve">: when DL CBG-based HARQ-ACK is configured and if HARQ-ACK corresponding to a PDSCH scheduled by the fallback DCI is to be multiplexed with HARQ-ACK corresponding to one or more PDSCHs scheduled by non-fallback DCI, the UE generates HARQ-ACK bits corresponding to the configured number of CBGs for each PDSCH. </w:t>
      </w:r>
    </w:p>
    <w:p w:rsidR="00D932EB" w:rsidRPr="00DD1ED5" w:rsidRDefault="00D932EB" w:rsidP="00D932EB">
      <w:pPr>
        <w:pStyle w:val="BodyText"/>
        <w:numPr>
          <w:ilvl w:val="0"/>
          <w:numId w:val="34"/>
        </w:numPr>
        <w:rPr>
          <w:rFonts w:eastAsia="SimSun"/>
          <w:b/>
          <w:lang w:eastAsia="zh-CN"/>
        </w:rPr>
      </w:pPr>
      <w:r w:rsidRPr="00DD1ED5">
        <w:rPr>
          <w:rFonts w:eastAsia="SimSun"/>
          <w:b/>
          <w:lang w:eastAsia="zh-CN"/>
        </w:rPr>
        <w:lastRenderedPageBreak/>
        <w:t>Proposal</w:t>
      </w:r>
      <w:r w:rsidR="00B16249">
        <w:rPr>
          <w:rFonts w:eastAsia="SimSun"/>
          <w:b/>
          <w:lang w:eastAsia="zh-CN"/>
        </w:rPr>
        <w:t xml:space="preserve"> 3</w:t>
      </w:r>
      <w:r w:rsidRPr="00DD1ED5">
        <w:rPr>
          <w:rFonts w:eastAsia="SimSun"/>
          <w:b/>
          <w:lang w:eastAsia="zh-CN"/>
        </w:rPr>
        <w:t>: TB-level DAI design is used for CBG-based HARQ-ACK feedback</w:t>
      </w:r>
      <w:r>
        <w:rPr>
          <w:rFonts w:eastAsia="SimSun"/>
          <w:b/>
          <w:lang w:eastAsia="zh-CN"/>
        </w:rPr>
        <w:t>.</w:t>
      </w:r>
    </w:p>
    <w:p w:rsidR="00801613" w:rsidRPr="00B5504B"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4C0AF9" w:rsidRDefault="003606BF"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3" w:name="_Ref492892749"/>
      <w:bookmarkStart w:id="4" w:name="_Ref481759897"/>
      <w:bookmarkStart w:id="5" w:name="_Ref485116045"/>
      <w:bookmarkStart w:id="6" w:name="_Ref473632999"/>
      <w:bookmarkStart w:id="7" w:name="_Ref477464042"/>
      <w:bookmarkStart w:id="8" w:name="_Ref481076557"/>
      <w:r>
        <w:rPr>
          <w:rFonts w:eastAsia="SimSun"/>
          <w:noProof/>
          <w:lang w:eastAsia="zh-CN"/>
        </w:rPr>
        <w:t>“</w:t>
      </w:r>
      <w:r w:rsidR="00EA7547" w:rsidRPr="00EA7547">
        <w:rPr>
          <w:rFonts w:eastAsia="SimSun"/>
          <w:noProof/>
          <w:lang w:eastAsia="zh-CN"/>
        </w:rPr>
        <w:t>Draft</w:t>
      </w:r>
      <w:r w:rsidR="00EA7547">
        <w:rPr>
          <w:rFonts w:eastAsia="SimSun"/>
          <w:noProof/>
          <w:lang w:eastAsia="zh-CN"/>
        </w:rPr>
        <w:t xml:space="preserve"> </w:t>
      </w:r>
      <w:r w:rsidR="00EA7547" w:rsidRPr="00EA7547">
        <w:rPr>
          <w:rFonts w:eastAsia="SimSun"/>
          <w:noProof/>
          <w:lang w:eastAsia="zh-CN"/>
        </w:rPr>
        <w:t>Report of 3GPP TSG RAN WG1 #90</w:t>
      </w:r>
      <w:r w:rsidR="00763032">
        <w:rPr>
          <w:rFonts w:eastAsia="SimSun"/>
          <w:noProof/>
          <w:lang w:eastAsia="zh-CN"/>
        </w:rPr>
        <w:t>bis</w:t>
      </w:r>
      <w:r>
        <w:rPr>
          <w:rFonts w:eastAsia="SimSun"/>
          <w:noProof/>
          <w:lang w:eastAsia="zh-CN"/>
        </w:rPr>
        <w:t xml:space="preserve">”, </w:t>
      </w:r>
      <w:r w:rsidR="00EA7547">
        <w:rPr>
          <w:rFonts w:eastAsia="SimSun"/>
          <w:noProof/>
          <w:lang w:eastAsia="zh-CN"/>
        </w:rPr>
        <w:t>MCC</w:t>
      </w:r>
      <w:bookmarkEnd w:id="3"/>
    </w:p>
    <w:p w:rsidR="00763032" w:rsidRDefault="00763032"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494711910"/>
      <w:bookmarkStart w:id="10" w:name="_Ref498674120"/>
      <w:bookmarkEnd w:id="4"/>
      <w:bookmarkEnd w:id="5"/>
      <w:r>
        <w:rPr>
          <w:rFonts w:eastAsia="SimSun"/>
          <w:noProof/>
          <w:lang w:eastAsia="zh-CN"/>
        </w:rPr>
        <w:t>RAN1 Email Discussion [90b-NR-32], “</w:t>
      </w:r>
      <w:r w:rsidRPr="00763032">
        <w:rPr>
          <w:rFonts w:eastAsia="SimSun"/>
          <w:noProof/>
          <w:lang w:eastAsia="zh-CN"/>
        </w:rPr>
        <w:t>Email discussion on CBG based retransmission</w:t>
      </w:r>
      <w:r>
        <w:rPr>
          <w:rFonts w:eastAsia="SimSun"/>
          <w:noProof/>
          <w:lang w:eastAsia="zh-CN"/>
        </w:rPr>
        <w:t>”</w:t>
      </w:r>
      <w:bookmarkEnd w:id="6"/>
      <w:bookmarkEnd w:id="7"/>
      <w:bookmarkEnd w:id="8"/>
      <w:bookmarkEnd w:id="9"/>
      <w:bookmarkEnd w:id="10"/>
    </w:p>
    <w:p w:rsidR="00D932EB" w:rsidRDefault="00D932EB"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11" w:name="_Ref498715667"/>
      <w:r>
        <w:rPr>
          <w:rFonts w:eastAsia="SimSun"/>
          <w:noProof/>
          <w:lang w:eastAsia="zh-CN"/>
        </w:rPr>
        <w:t>R1-1720203, “</w:t>
      </w:r>
      <w:r w:rsidRPr="00D932EB">
        <w:rPr>
          <w:rFonts w:eastAsia="SimSun"/>
          <w:noProof/>
          <w:lang w:eastAsia="zh-CN"/>
        </w:rPr>
        <w:t>Discussion on HARQ management and HARQ-ACK feedback</w:t>
      </w:r>
      <w:r>
        <w:rPr>
          <w:rFonts w:eastAsia="SimSun"/>
          <w:noProof/>
          <w:lang w:eastAsia="zh-CN"/>
        </w:rPr>
        <w:t>”, CATT, RAN1 #91</w:t>
      </w:r>
      <w:bookmarkEnd w:id="11"/>
    </w:p>
    <w:sectPr w:rsidR="00D932EB"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7BF" w:rsidRDefault="000357BF" w:rsidP="00E9523A">
      <w:pPr>
        <w:ind w:left="-2"/>
      </w:pPr>
      <w:r>
        <w:separator/>
      </w:r>
    </w:p>
  </w:endnote>
  <w:endnote w:type="continuationSeparator" w:id="1">
    <w:p w:rsidR="000357BF" w:rsidRDefault="000357BF"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7BF" w:rsidRDefault="000357BF" w:rsidP="00E9523A">
      <w:pPr>
        <w:ind w:left="-2"/>
      </w:pPr>
      <w:r>
        <w:separator/>
      </w:r>
    </w:p>
  </w:footnote>
  <w:footnote w:type="continuationSeparator" w:id="1">
    <w:p w:rsidR="000357BF" w:rsidRDefault="000357BF"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9ED" w:rsidRPr="001A329E" w:rsidRDefault="003C19ED"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89E3323"/>
    <w:multiLevelType w:val="hybridMultilevel"/>
    <w:tmpl w:val="62502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0345D3"/>
    <w:multiLevelType w:val="hybridMultilevel"/>
    <w:tmpl w:val="FB8E1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C9952D7"/>
    <w:multiLevelType w:val="hybridMultilevel"/>
    <w:tmpl w:val="AA867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8">
    <w:nsid w:val="273C6CBA"/>
    <w:multiLevelType w:val="hybridMultilevel"/>
    <w:tmpl w:val="D56E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0F1B16"/>
    <w:multiLevelType w:val="hybridMultilevel"/>
    <w:tmpl w:val="C69E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1">
    <w:nsid w:val="2E610E19"/>
    <w:multiLevelType w:val="hybridMultilevel"/>
    <w:tmpl w:val="088C372E"/>
    <w:lvl w:ilvl="0" w:tplc="04090001">
      <w:start w:val="1"/>
      <w:numFmt w:val="bullet"/>
      <w:lvlText w:val=""/>
      <w:lvlJc w:val="left"/>
      <w:pPr>
        <w:tabs>
          <w:tab w:val="num" w:pos="720"/>
        </w:tabs>
        <w:ind w:left="720" w:hanging="360"/>
      </w:pPr>
      <w:rPr>
        <w:rFonts w:ascii="Wingdings" w:hAnsi="Wingdings"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4">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563878"/>
    <w:multiLevelType w:val="hybridMultilevel"/>
    <w:tmpl w:val="1ADEF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7">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8">
    <w:nsid w:val="4CE94959"/>
    <w:multiLevelType w:val="hybridMultilevel"/>
    <w:tmpl w:val="24DA00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A3320B"/>
    <w:multiLevelType w:val="hybridMultilevel"/>
    <w:tmpl w:val="01B4990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41E484F"/>
    <w:multiLevelType w:val="hybridMultilevel"/>
    <w:tmpl w:val="60B697DE"/>
    <w:lvl w:ilvl="0" w:tplc="9D900522">
      <w:start w:val="1"/>
      <w:numFmt w:val="bullet"/>
      <w:lvlText w:val="•"/>
      <w:lvlJc w:val="left"/>
      <w:pPr>
        <w:tabs>
          <w:tab w:val="num" w:pos="720"/>
        </w:tabs>
        <w:ind w:left="720" w:hanging="360"/>
      </w:pPr>
      <w:rPr>
        <w:rFonts w:ascii="Arial" w:hAnsi="Arial" w:hint="default"/>
      </w:rPr>
    </w:lvl>
    <w:lvl w:ilvl="1" w:tplc="64244BE2" w:tentative="1">
      <w:start w:val="1"/>
      <w:numFmt w:val="bullet"/>
      <w:lvlText w:val="•"/>
      <w:lvlJc w:val="left"/>
      <w:pPr>
        <w:tabs>
          <w:tab w:val="num" w:pos="1440"/>
        </w:tabs>
        <w:ind w:left="1440" w:hanging="360"/>
      </w:pPr>
      <w:rPr>
        <w:rFonts w:ascii="Arial" w:hAnsi="Arial" w:hint="default"/>
      </w:rPr>
    </w:lvl>
    <w:lvl w:ilvl="2" w:tplc="A5CAD0EE" w:tentative="1">
      <w:start w:val="1"/>
      <w:numFmt w:val="bullet"/>
      <w:lvlText w:val="•"/>
      <w:lvlJc w:val="left"/>
      <w:pPr>
        <w:tabs>
          <w:tab w:val="num" w:pos="2160"/>
        </w:tabs>
        <w:ind w:left="2160" w:hanging="360"/>
      </w:pPr>
      <w:rPr>
        <w:rFonts w:ascii="Arial" w:hAnsi="Arial" w:hint="default"/>
      </w:rPr>
    </w:lvl>
    <w:lvl w:ilvl="3" w:tplc="F5684028" w:tentative="1">
      <w:start w:val="1"/>
      <w:numFmt w:val="bullet"/>
      <w:lvlText w:val="•"/>
      <w:lvlJc w:val="left"/>
      <w:pPr>
        <w:tabs>
          <w:tab w:val="num" w:pos="2880"/>
        </w:tabs>
        <w:ind w:left="2880" w:hanging="360"/>
      </w:pPr>
      <w:rPr>
        <w:rFonts w:ascii="Arial" w:hAnsi="Arial" w:hint="default"/>
      </w:rPr>
    </w:lvl>
    <w:lvl w:ilvl="4" w:tplc="B390156E" w:tentative="1">
      <w:start w:val="1"/>
      <w:numFmt w:val="bullet"/>
      <w:lvlText w:val="•"/>
      <w:lvlJc w:val="left"/>
      <w:pPr>
        <w:tabs>
          <w:tab w:val="num" w:pos="3600"/>
        </w:tabs>
        <w:ind w:left="3600" w:hanging="360"/>
      </w:pPr>
      <w:rPr>
        <w:rFonts w:ascii="Arial" w:hAnsi="Arial" w:hint="default"/>
      </w:rPr>
    </w:lvl>
    <w:lvl w:ilvl="5" w:tplc="74DA6250" w:tentative="1">
      <w:start w:val="1"/>
      <w:numFmt w:val="bullet"/>
      <w:lvlText w:val="•"/>
      <w:lvlJc w:val="left"/>
      <w:pPr>
        <w:tabs>
          <w:tab w:val="num" w:pos="4320"/>
        </w:tabs>
        <w:ind w:left="4320" w:hanging="360"/>
      </w:pPr>
      <w:rPr>
        <w:rFonts w:ascii="Arial" w:hAnsi="Arial" w:hint="default"/>
      </w:rPr>
    </w:lvl>
    <w:lvl w:ilvl="6" w:tplc="FA78782E" w:tentative="1">
      <w:start w:val="1"/>
      <w:numFmt w:val="bullet"/>
      <w:lvlText w:val="•"/>
      <w:lvlJc w:val="left"/>
      <w:pPr>
        <w:tabs>
          <w:tab w:val="num" w:pos="5040"/>
        </w:tabs>
        <w:ind w:left="5040" w:hanging="360"/>
      </w:pPr>
      <w:rPr>
        <w:rFonts w:ascii="Arial" w:hAnsi="Arial" w:hint="default"/>
      </w:rPr>
    </w:lvl>
    <w:lvl w:ilvl="7" w:tplc="E82C71F0" w:tentative="1">
      <w:start w:val="1"/>
      <w:numFmt w:val="bullet"/>
      <w:lvlText w:val="•"/>
      <w:lvlJc w:val="left"/>
      <w:pPr>
        <w:tabs>
          <w:tab w:val="num" w:pos="5760"/>
        </w:tabs>
        <w:ind w:left="5760" w:hanging="360"/>
      </w:pPr>
      <w:rPr>
        <w:rFonts w:ascii="Arial" w:hAnsi="Arial" w:hint="default"/>
      </w:rPr>
    </w:lvl>
    <w:lvl w:ilvl="8" w:tplc="6088DF28" w:tentative="1">
      <w:start w:val="1"/>
      <w:numFmt w:val="bullet"/>
      <w:lvlText w:val="•"/>
      <w:lvlJc w:val="left"/>
      <w:pPr>
        <w:tabs>
          <w:tab w:val="num" w:pos="6480"/>
        </w:tabs>
        <w:ind w:left="6480" w:hanging="360"/>
      </w:pPr>
      <w:rPr>
        <w:rFonts w:ascii="Arial" w:hAnsi="Arial" w:hint="default"/>
      </w:rPr>
    </w:lvl>
  </w:abstractNum>
  <w:abstractNum w:abstractNumId="23">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4">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8">
    <w:nsid w:val="67D94D84"/>
    <w:multiLevelType w:val="hybridMultilevel"/>
    <w:tmpl w:val="1ADCBBB6"/>
    <w:lvl w:ilvl="0" w:tplc="E5AA61D0">
      <w:start w:val="1"/>
      <w:numFmt w:val="bullet"/>
      <w:lvlText w:val="•"/>
      <w:lvlJc w:val="left"/>
      <w:pPr>
        <w:tabs>
          <w:tab w:val="num" w:pos="360"/>
        </w:tabs>
        <w:ind w:left="360" w:hanging="360"/>
      </w:pPr>
      <w:rPr>
        <w:rFonts w:ascii="Arial" w:hAnsi="Arial" w:hint="default"/>
      </w:rPr>
    </w:lvl>
    <w:lvl w:ilvl="1" w:tplc="C9CE5C36">
      <w:start w:val="4101"/>
      <w:numFmt w:val="bullet"/>
      <w:lvlText w:val="–"/>
      <w:lvlJc w:val="left"/>
      <w:pPr>
        <w:tabs>
          <w:tab w:val="num" w:pos="1080"/>
        </w:tabs>
        <w:ind w:left="1080" w:hanging="360"/>
      </w:pPr>
      <w:rPr>
        <w:rFonts w:ascii="Arial" w:hAnsi="Arial" w:hint="default"/>
      </w:rPr>
    </w:lvl>
    <w:lvl w:ilvl="2" w:tplc="13ECA820">
      <w:start w:val="4101"/>
      <w:numFmt w:val="bullet"/>
      <w:lvlText w:val="•"/>
      <w:lvlJc w:val="left"/>
      <w:pPr>
        <w:tabs>
          <w:tab w:val="num" w:pos="1800"/>
        </w:tabs>
        <w:ind w:left="1800" w:hanging="360"/>
      </w:pPr>
      <w:rPr>
        <w:rFonts w:ascii="Arial" w:hAnsi="Arial" w:hint="default"/>
      </w:rPr>
    </w:lvl>
    <w:lvl w:ilvl="3" w:tplc="569ABAF4">
      <w:start w:val="1"/>
      <w:numFmt w:val="bullet"/>
      <w:lvlText w:val="•"/>
      <w:lvlJc w:val="left"/>
      <w:pPr>
        <w:tabs>
          <w:tab w:val="num" w:pos="2520"/>
        </w:tabs>
        <w:ind w:left="2520" w:hanging="360"/>
      </w:pPr>
      <w:rPr>
        <w:rFonts w:ascii="Arial" w:hAnsi="Arial" w:hint="default"/>
      </w:rPr>
    </w:lvl>
    <w:lvl w:ilvl="4" w:tplc="B2C82F34" w:tentative="1">
      <w:start w:val="1"/>
      <w:numFmt w:val="bullet"/>
      <w:lvlText w:val="•"/>
      <w:lvlJc w:val="left"/>
      <w:pPr>
        <w:tabs>
          <w:tab w:val="num" w:pos="3240"/>
        </w:tabs>
        <w:ind w:left="3240" w:hanging="360"/>
      </w:pPr>
      <w:rPr>
        <w:rFonts w:ascii="Arial" w:hAnsi="Arial" w:hint="default"/>
      </w:rPr>
    </w:lvl>
    <w:lvl w:ilvl="5" w:tplc="53100A54" w:tentative="1">
      <w:start w:val="1"/>
      <w:numFmt w:val="bullet"/>
      <w:lvlText w:val="•"/>
      <w:lvlJc w:val="left"/>
      <w:pPr>
        <w:tabs>
          <w:tab w:val="num" w:pos="3960"/>
        </w:tabs>
        <w:ind w:left="3960" w:hanging="360"/>
      </w:pPr>
      <w:rPr>
        <w:rFonts w:ascii="Arial" w:hAnsi="Arial" w:hint="default"/>
      </w:rPr>
    </w:lvl>
    <w:lvl w:ilvl="6" w:tplc="7228DEB0" w:tentative="1">
      <w:start w:val="1"/>
      <w:numFmt w:val="bullet"/>
      <w:lvlText w:val="•"/>
      <w:lvlJc w:val="left"/>
      <w:pPr>
        <w:tabs>
          <w:tab w:val="num" w:pos="4680"/>
        </w:tabs>
        <w:ind w:left="4680" w:hanging="360"/>
      </w:pPr>
      <w:rPr>
        <w:rFonts w:ascii="Arial" w:hAnsi="Arial" w:hint="default"/>
      </w:rPr>
    </w:lvl>
    <w:lvl w:ilvl="7" w:tplc="8C481594" w:tentative="1">
      <w:start w:val="1"/>
      <w:numFmt w:val="bullet"/>
      <w:lvlText w:val="•"/>
      <w:lvlJc w:val="left"/>
      <w:pPr>
        <w:tabs>
          <w:tab w:val="num" w:pos="5400"/>
        </w:tabs>
        <w:ind w:left="5400" w:hanging="360"/>
      </w:pPr>
      <w:rPr>
        <w:rFonts w:ascii="Arial" w:hAnsi="Arial" w:hint="default"/>
      </w:rPr>
    </w:lvl>
    <w:lvl w:ilvl="8" w:tplc="0E844EFA" w:tentative="1">
      <w:start w:val="1"/>
      <w:numFmt w:val="bullet"/>
      <w:lvlText w:val="•"/>
      <w:lvlJc w:val="left"/>
      <w:pPr>
        <w:tabs>
          <w:tab w:val="num" w:pos="6120"/>
        </w:tabs>
        <w:ind w:left="6120" w:hanging="360"/>
      </w:pPr>
      <w:rPr>
        <w:rFonts w:ascii="Arial" w:hAnsi="Arial" w:hint="default"/>
      </w:rPr>
    </w:lvl>
  </w:abstractNum>
  <w:abstractNum w:abstractNumId="29">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F433A44"/>
    <w:multiLevelType w:val="hybridMultilevel"/>
    <w:tmpl w:val="1F101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926AA4"/>
    <w:multiLevelType w:val="hybridMultilevel"/>
    <w:tmpl w:val="36AE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21"/>
  </w:num>
  <w:num w:numId="3">
    <w:abstractNumId w:val="12"/>
  </w:num>
  <w:num w:numId="4">
    <w:abstractNumId w:val="7"/>
  </w:num>
  <w:num w:numId="5">
    <w:abstractNumId w:val="27"/>
  </w:num>
  <w:num w:numId="6">
    <w:abstractNumId w:val="19"/>
  </w:num>
  <w:num w:numId="7">
    <w:abstractNumId w:val="33"/>
  </w:num>
  <w:num w:numId="8">
    <w:abstractNumId w:val="9"/>
  </w:num>
  <w:num w:numId="9">
    <w:abstractNumId w:val="16"/>
  </w:num>
  <w:num w:numId="10">
    <w:abstractNumId w:val="8"/>
  </w:num>
  <w:num w:numId="11">
    <w:abstractNumId w:val="14"/>
  </w:num>
  <w:num w:numId="12">
    <w:abstractNumId w:val="20"/>
  </w:num>
  <w:num w:numId="13">
    <w:abstractNumId w:val="5"/>
  </w:num>
  <w:num w:numId="14">
    <w:abstractNumId w:val="1"/>
  </w:num>
  <w:num w:numId="15">
    <w:abstractNumId w:val="6"/>
  </w:num>
  <w:num w:numId="16">
    <w:abstractNumId w:val="13"/>
  </w:num>
  <w:num w:numId="17">
    <w:abstractNumId w:val="23"/>
  </w:num>
  <w:num w:numId="18">
    <w:abstractNumId w:val="4"/>
  </w:num>
  <w:num w:numId="19">
    <w:abstractNumId w:val="29"/>
  </w:num>
  <w:num w:numId="20">
    <w:abstractNumId w:val="24"/>
  </w:num>
  <w:num w:numId="21">
    <w:abstractNumId w:val="28"/>
  </w:num>
  <w:num w:numId="22">
    <w:abstractNumId w:val="11"/>
  </w:num>
  <w:num w:numId="23">
    <w:abstractNumId w:val="18"/>
  </w:num>
  <w:num w:numId="24">
    <w:abstractNumId w:val="2"/>
  </w:num>
  <w:num w:numId="25">
    <w:abstractNumId w:val="15"/>
  </w:num>
  <w:num w:numId="26">
    <w:abstractNumId w:val="26"/>
  </w:num>
  <w:num w:numId="27">
    <w:abstractNumId w:val="10"/>
  </w:num>
  <w:num w:numId="28">
    <w:abstractNumId w:val="22"/>
  </w:num>
  <w:num w:numId="29">
    <w:abstractNumId w:val="32"/>
  </w:num>
  <w:num w:numId="30">
    <w:abstractNumId w:val="31"/>
  </w:num>
  <w:num w:numId="31">
    <w:abstractNumId w:val="25"/>
  </w:num>
  <w:num w:numId="32">
    <w:abstractNumId w:val="3"/>
  </w:num>
  <w:num w:numId="33">
    <w:abstractNumId w:val="17"/>
  </w:num>
  <w:num w:numId="34">
    <w:abstractNumId w:val="3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65570"/>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5D35"/>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E4F"/>
    <w:rsid w:val="00022F27"/>
    <w:rsid w:val="00023317"/>
    <w:rsid w:val="00023E9E"/>
    <w:rsid w:val="000242E9"/>
    <w:rsid w:val="000262F8"/>
    <w:rsid w:val="000266A1"/>
    <w:rsid w:val="00026A0E"/>
    <w:rsid w:val="00026FC0"/>
    <w:rsid w:val="00030655"/>
    <w:rsid w:val="000307A0"/>
    <w:rsid w:val="000312BB"/>
    <w:rsid w:val="00031368"/>
    <w:rsid w:val="00031371"/>
    <w:rsid w:val="00032345"/>
    <w:rsid w:val="000325E6"/>
    <w:rsid w:val="00032BB9"/>
    <w:rsid w:val="00033171"/>
    <w:rsid w:val="000339D3"/>
    <w:rsid w:val="00033F95"/>
    <w:rsid w:val="00034F6F"/>
    <w:rsid w:val="00034FE0"/>
    <w:rsid w:val="000350C8"/>
    <w:rsid w:val="00035570"/>
    <w:rsid w:val="00035711"/>
    <w:rsid w:val="000357BF"/>
    <w:rsid w:val="00035A5B"/>
    <w:rsid w:val="00036766"/>
    <w:rsid w:val="00036F2B"/>
    <w:rsid w:val="00037FA6"/>
    <w:rsid w:val="0004042C"/>
    <w:rsid w:val="00040A7E"/>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DA2"/>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7487"/>
    <w:rsid w:val="0008757D"/>
    <w:rsid w:val="0008760D"/>
    <w:rsid w:val="00087A79"/>
    <w:rsid w:val="00090F89"/>
    <w:rsid w:val="00091C1D"/>
    <w:rsid w:val="000924D0"/>
    <w:rsid w:val="0009369C"/>
    <w:rsid w:val="00093F31"/>
    <w:rsid w:val="00094E92"/>
    <w:rsid w:val="000958C0"/>
    <w:rsid w:val="000961E5"/>
    <w:rsid w:val="000971AD"/>
    <w:rsid w:val="00097D5F"/>
    <w:rsid w:val="000A0363"/>
    <w:rsid w:val="000A0665"/>
    <w:rsid w:val="000A0E25"/>
    <w:rsid w:val="000A1177"/>
    <w:rsid w:val="000A1AF5"/>
    <w:rsid w:val="000A1D32"/>
    <w:rsid w:val="000A216E"/>
    <w:rsid w:val="000A2789"/>
    <w:rsid w:val="000A2B74"/>
    <w:rsid w:val="000A3443"/>
    <w:rsid w:val="000A4105"/>
    <w:rsid w:val="000A4404"/>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14D"/>
    <w:rsid w:val="000D04C7"/>
    <w:rsid w:val="000D05C2"/>
    <w:rsid w:val="000D0D36"/>
    <w:rsid w:val="000D0DC5"/>
    <w:rsid w:val="000D193E"/>
    <w:rsid w:val="000D1C0B"/>
    <w:rsid w:val="000D1D70"/>
    <w:rsid w:val="000D40E9"/>
    <w:rsid w:val="000D625C"/>
    <w:rsid w:val="000D662F"/>
    <w:rsid w:val="000D68CE"/>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DA1"/>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57A1"/>
    <w:rsid w:val="00146D1F"/>
    <w:rsid w:val="0014761F"/>
    <w:rsid w:val="00150A7E"/>
    <w:rsid w:val="001517A8"/>
    <w:rsid w:val="00151989"/>
    <w:rsid w:val="001520CE"/>
    <w:rsid w:val="001532DD"/>
    <w:rsid w:val="00153E05"/>
    <w:rsid w:val="00154270"/>
    <w:rsid w:val="001548D6"/>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47F3"/>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56BB"/>
    <w:rsid w:val="00186832"/>
    <w:rsid w:val="00187302"/>
    <w:rsid w:val="00187CF9"/>
    <w:rsid w:val="00187E19"/>
    <w:rsid w:val="00190886"/>
    <w:rsid w:val="00190DC4"/>
    <w:rsid w:val="001929D2"/>
    <w:rsid w:val="00192F90"/>
    <w:rsid w:val="00194245"/>
    <w:rsid w:val="0019433C"/>
    <w:rsid w:val="00194751"/>
    <w:rsid w:val="001956D1"/>
    <w:rsid w:val="00196FD9"/>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717"/>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0410"/>
    <w:rsid w:val="001D15B5"/>
    <w:rsid w:val="001D2F70"/>
    <w:rsid w:val="001D322B"/>
    <w:rsid w:val="001D3927"/>
    <w:rsid w:val="001D4B41"/>
    <w:rsid w:val="001D525A"/>
    <w:rsid w:val="001D6462"/>
    <w:rsid w:val="001D7DE6"/>
    <w:rsid w:val="001E0255"/>
    <w:rsid w:val="001E06EB"/>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1E67"/>
    <w:rsid w:val="002022E8"/>
    <w:rsid w:val="00202566"/>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696F"/>
    <w:rsid w:val="002274B4"/>
    <w:rsid w:val="00230796"/>
    <w:rsid w:val="00230EC2"/>
    <w:rsid w:val="002315DD"/>
    <w:rsid w:val="00231D7B"/>
    <w:rsid w:val="00231E88"/>
    <w:rsid w:val="00232229"/>
    <w:rsid w:val="00233DCB"/>
    <w:rsid w:val="00233E6A"/>
    <w:rsid w:val="00234013"/>
    <w:rsid w:val="002340CE"/>
    <w:rsid w:val="00234541"/>
    <w:rsid w:val="0023526C"/>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BDC"/>
    <w:rsid w:val="00273D42"/>
    <w:rsid w:val="00274301"/>
    <w:rsid w:val="00274B6F"/>
    <w:rsid w:val="00275408"/>
    <w:rsid w:val="0027557B"/>
    <w:rsid w:val="00276E99"/>
    <w:rsid w:val="00277D89"/>
    <w:rsid w:val="00280B63"/>
    <w:rsid w:val="00280DC4"/>
    <w:rsid w:val="00281720"/>
    <w:rsid w:val="002818C9"/>
    <w:rsid w:val="00282E37"/>
    <w:rsid w:val="00283663"/>
    <w:rsid w:val="002838FF"/>
    <w:rsid w:val="00283FA2"/>
    <w:rsid w:val="00285986"/>
    <w:rsid w:val="00285BFA"/>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C7A"/>
    <w:rsid w:val="002B3D4C"/>
    <w:rsid w:val="002B4136"/>
    <w:rsid w:val="002B4333"/>
    <w:rsid w:val="002B4D9A"/>
    <w:rsid w:val="002B4F75"/>
    <w:rsid w:val="002B5820"/>
    <w:rsid w:val="002B585C"/>
    <w:rsid w:val="002B7156"/>
    <w:rsid w:val="002B7A3D"/>
    <w:rsid w:val="002C0F50"/>
    <w:rsid w:val="002C1113"/>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69F"/>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176"/>
    <w:rsid w:val="002F6703"/>
    <w:rsid w:val="002F6854"/>
    <w:rsid w:val="002F686F"/>
    <w:rsid w:val="002F6AB7"/>
    <w:rsid w:val="002F6EE3"/>
    <w:rsid w:val="002F7754"/>
    <w:rsid w:val="002F7C7A"/>
    <w:rsid w:val="0030028A"/>
    <w:rsid w:val="00300C37"/>
    <w:rsid w:val="0030110C"/>
    <w:rsid w:val="00301229"/>
    <w:rsid w:val="00301D24"/>
    <w:rsid w:val="00301F90"/>
    <w:rsid w:val="00302489"/>
    <w:rsid w:val="00303AAD"/>
    <w:rsid w:val="00304265"/>
    <w:rsid w:val="003045FF"/>
    <w:rsid w:val="00305948"/>
    <w:rsid w:val="00306DF6"/>
    <w:rsid w:val="003072FA"/>
    <w:rsid w:val="00307395"/>
    <w:rsid w:val="003101FE"/>
    <w:rsid w:val="0031166C"/>
    <w:rsid w:val="003116CB"/>
    <w:rsid w:val="003117AF"/>
    <w:rsid w:val="00311E0A"/>
    <w:rsid w:val="00312AA4"/>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6BF"/>
    <w:rsid w:val="00360FC4"/>
    <w:rsid w:val="0036134C"/>
    <w:rsid w:val="00362200"/>
    <w:rsid w:val="003627F9"/>
    <w:rsid w:val="00362C78"/>
    <w:rsid w:val="003648AB"/>
    <w:rsid w:val="00364DE7"/>
    <w:rsid w:val="003658F8"/>
    <w:rsid w:val="00365A9C"/>
    <w:rsid w:val="00365CFA"/>
    <w:rsid w:val="00366D2B"/>
    <w:rsid w:val="00366DF7"/>
    <w:rsid w:val="0036711C"/>
    <w:rsid w:val="003678FA"/>
    <w:rsid w:val="00367B98"/>
    <w:rsid w:val="003701BE"/>
    <w:rsid w:val="00370774"/>
    <w:rsid w:val="00370BDC"/>
    <w:rsid w:val="00370CD6"/>
    <w:rsid w:val="003718DA"/>
    <w:rsid w:val="00372C33"/>
    <w:rsid w:val="003730C1"/>
    <w:rsid w:val="00373F8F"/>
    <w:rsid w:val="003748AB"/>
    <w:rsid w:val="0037521B"/>
    <w:rsid w:val="00375B41"/>
    <w:rsid w:val="00380610"/>
    <w:rsid w:val="00380621"/>
    <w:rsid w:val="003809BF"/>
    <w:rsid w:val="00381802"/>
    <w:rsid w:val="00381BA9"/>
    <w:rsid w:val="003823B8"/>
    <w:rsid w:val="003824A1"/>
    <w:rsid w:val="00382C16"/>
    <w:rsid w:val="00383F2E"/>
    <w:rsid w:val="0038471C"/>
    <w:rsid w:val="003879C2"/>
    <w:rsid w:val="0039047A"/>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821"/>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879"/>
    <w:rsid w:val="003A4C09"/>
    <w:rsid w:val="003A5A31"/>
    <w:rsid w:val="003A5C69"/>
    <w:rsid w:val="003A5D50"/>
    <w:rsid w:val="003A5E94"/>
    <w:rsid w:val="003A71D7"/>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19ED"/>
    <w:rsid w:val="003C21E1"/>
    <w:rsid w:val="003C3175"/>
    <w:rsid w:val="003C3248"/>
    <w:rsid w:val="003C3EB7"/>
    <w:rsid w:val="003C4B5A"/>
    <w:rsid w:val="003C550A"/>
    <w:rsid w:val="003C5641"/>
    <w:rsid w:val="003C5965"/>
    <w:rsid w:val="003C5D7D"/>
    <w:rsid w:val="003C5F3F"/>
    <w:rsid w:val="003C65D2"/>
    <w:rsid w:val="003C68A4"/>
    <w:rsid w:val="003D01CE"/>
    <w:rsid w:val="003D0EFB"/>
    <w:rsid w:val="003D1030"/>
    <w:rsid w:val="003D1434"/>
    <w:rsid w:val="003D14A2"/>
    <w:rsid w:val="003D1770"/>
    <w:rsid w:val="003D1C55"/>
    <w:rsid w:val="003D29D0"/>
    <w:rsid w:val="003D456D"/>
    <w:rsid w:val="003D4A14"/>
    <w:rsid w:val="003D4F17"/>
    <w:rsid w:val="003D533C"/>
    <w:rsid w:val="003D590F"/>
    <w:rsid w:val="003D59BE"/>
    <w:rsid w:val="003D6B3C"/>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808"/>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84E"/>
    <w:rsid w:val="00404FD9"/>
    <w:rsid w:val="00405172"/>
    <w:rsid w:val="004055E5"/>
    <w:rsid w:val="004056DA"/>
    <w:rsid w:val="00405C40"/>
    <w:rsid w:val="00406A08"/>
    <w:rsid w:val="00406D57"/>
    <w:rsid w:val="0040713A"/>
    <w:rsid w:val="0040795A"/>
    <w:rsid w:val="00410F13"/>
    <w:rsid w:val="004119C3"/>
    <w:rsid w:val="00411BDA"/>
    <w:rsid w:val="00412298"/>
    <w:rsid w:val="00414E4A"/>
    <w:rsid w:val="0041516A"/>
    <w:rsid w:val="00415C5D"/>
    <w:rsid w:val="00415C9A"/>
    <w:rsid w:val="00416D4B"/>
    <w:rsid w:val="00417B44"/>
    <w:rsid w:val="00420448"/>
    <w:rsid w:val="00420DC3"/>
    <w:rsid w:val="00421604"/>
    <w:rsid w:val="004217A4"/>
    <w:rsid w:val="004220AD"/>
    <w:rsid w:val="004223E4"/>
    <w:rsid w:val="00423654"/>
    <w:rsid w:val="004241FE"/>
    <w:rsid w:val="00425FCB"/>
    <w:rsid w:val="0042608C"/>
    <w:rsid w:val="004301E8"/>
    <w:rsid w:val="00430401"/>
    <w:rsid w:val="00430BCE"/>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22D"/>
    <w:rsid w:val="004504DE"/>
    <w:rsid w:val="00450F34"/>
    <w:rsid w:val="00451296"/>
    <w:rsid w:val="00451715"/>
    <w:rsid w:val="00452083"/>
    <w:rsid w:val="00452BE0"/>
    <w:rsid w:val="0045327B"/>
    <w:rsid w:val="00453BE9"/>
    <w:rsid w:val="00454A5D"/>
    <w:rsid w:val="0045506C"/>
    <w:rsid w:val="00455754"/>
    <w:rsid w:val="00455B12"/>
    <w:rsid w:val="00455DB1"/>
    <w:rsid w:val="004567E9"/>
    <w:rsid w:val="00456A2F"/>
    <w:rsid w:val="00456A36"/>
    <w:rsid w:val="0045760C"/>
    <w:rsid w:val="00457A89"/>
    <w:rsid w:val="004602A1"/>
    <w:rsid w:val="0046054E"/>
    <w:rsid w:val="0046059D"/>
    <w:rsid w:val="004608F7"/>
    <w:rsid w:val="00460E89"/>
    <w:rsid w:val="00461C5A"/>
    <w:rsid w:val="004635F6"/>
    <w:rsid w:val="0046478E"/>
    <w:rsid w:val="004647C3"/>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7B2"/>
    <w:rsid w:val="00475AB6"/>
    <w:rsid w:val="004763D5"/>
    <w:rsid w:val="004776B9"/>
    <w:rsid w:val="00477829"/>
    <w:rsid w:val="00477BD8"/>
    <w:rsid w:val="0048039B"/>
    <w:rsid w:val="0048211F"/>
    <w:rsid w:val="00482CDE"/>
    <w:rsid w:val="00483BF0"/>
    <w:rsid w:val="00484C38"/>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5D9"/>
    <w:rsid w:val="004A6474"/>
    <w:rsid w:val="004A6F61"/>
    <w:rsid w:val="004A7649"/>
    <w:rsid w:val="004A7AFB"/>
    <w:rsid w:val="004B1DFF"/>
    <w:rsid w:val="004B4A1A"/>
    <w:rsid w:val="004B592A"/>
    <w:rsid w:val="004B7107"/>
    <w:rsid w:val="004B7563"/>
    <w:rsid w:val="004B7B3F"/>
    <w:rsid w:val="004C001B"/>
    <w:rsid w:val="004C08AA"/>
    <w:rsid w:val="004C0AF9"/>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2E78"/>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17AB"/>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968"/>
    <w:rsid w:val="00522D36"/>
    <w:rsid w:val="00522DBA"/>
    <w:rsid w:val="00523E0D"/>
    <w:rsid w:val="005241A1"/>
    <w:rsid w:val="00525264"/>
    <w:rsid w:val="00526A14"/>
    <w:rsid w:val="00527DE3"/>
    <w:rsid w:val="0053009C"/>
    <w:rsid w:val="00530B69"/>
    <w:rsid w:val="005317E9"/>
    <w:rsid w:val="00531F65"/>
    <w:rsid w:val="00532072"/>
    <w:rsid w:val="00532577"/>
    <w:rsid w:val="005327CA"/>
    <w:rsid w:val="0053291E"/>
    <w:rsid w:val="00533320"/>
    <w:rsid w:val="005343C3"/>
    <w:rsid w:val="00534C21"/>
    <w:rsid w:val="0053544A"/>
    <w:rsid w:val="00535B7E"/>
    <w:rsid w:val="00536256"/>
    <w:rsid w:val="00536686"/>
    <w:rsid w:val="00536D5B"/>
    <w:rsid w:val="00536F38"/>
    <w:rsid w:val="005378B9"/>
    <w:rsid w:val="00540181"/>
    <w:rsid w:val="00540893"/>
    <w:rsid w:val="00541051"/>
    <w:rsid w:val="00541A55"/>
    <w:rsid w:val="00542311"/>
    <w:rsid w:val="0054284E"/>
    <w:rsid w:val="00542F64"/>
    <w:rsid w:val="00544155"/>
    <w:rsid w:val="0054545C"/>
    <w:rsid w:val="00546E92"/>
    <w:rsid w:val="00550479"/>
    <w:rsid w:val="00550D6E"/>
    <w:rsid w:val="00552FD9"/>
    <w:rsid w:val="00553E3E"/>
    <w:rsid w:val="00554745"/>
    <w:rsid w:val="00554F50"/>
    <w:rsid w:val="005552EC"/>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7FD"/>
    <w:rsid w:val="00584BB6"/>
    <w:rsid w:val="005858E7"/>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B8B"/>
    <w:rsid w:val="005A4CFB"/>
    <w:rsid w:val="005A5251"/>
    <w:rsid w:val="005A5B16"/>
    <w:rsid w:val="005A5E7E"/>
    <w:rsid w:val="005A5F60"/>
    <w:rsid w:val="005B05A5"/>
    <w:rsid w:val="005B0869"/>
    <w:rsid w:val="005B0A4C"/>
    <w:rsid w:val="005B1FA9"/>
    <w:rsid w:val="005B2596"/>
    <w:rsid w:val="005B3210"/>
    <w:rsid w:val="005B32D3"/>
    <w:rsid w:val="005B3EE7"/>
    <w:rsid w:val="005B41F7"/>
    <w:rsid w:val="005B433B"/>
    <w:rsid w:val="005B4D76"/>
    <w:rsid w:val="005B517D"/>
    <w:rsid w:val="005B6156"/>
    <w:rsid w:val="005B762A"/>
    <w:rsid w:val="005B7AE7"/>
    <w:rsid w:val="005C25B6"/>
    <w:rsid w:val="005C2EEB"/>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FAE"/>
    <w:rsid w:val="005D19D4"/>
    <w:rsid w:val="005D1F0A"/>
    <w:rsid w:val="005D329C"/>
    <w:rsid w:val="005D3480"/>
    <w:rsid w:val="005D3597"/>
    <w:rsid w:val="005D47C0"/>
    <w:rsid w:val="005D5A59"/>
    <w:rsid w:val="005D5F6B"/>
    <w:rsid w:val="005D60A4"/>
    <w:rsid w:val="005D62A3"/>
    <w:rsid w:val="005E14A9"/>
    <w:rsid w:val="005E14DA"/>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371FE"/>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9A0"/>
    <w:rsid w:val="00661EA1"/>
    <w:rsid w:val="00662912"/>
    <w:rsid w:val="00663BF4"/>
    <w:rsid w:val="006641F6"/>
    <w:rsid w:val="006651AC"/>
    <w:rsid w:val="00665258"/>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422"/>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3D9"/>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1C0"/>
    <w:rsid w:val="006B396D"/>
    <w:rsid w:val="006B4F9F"/>
    <w:rsid w:val="006B5137"/>
    <w:rsid w:val="006B51E4"/>
    <w:rsid w:val="006B589D"/>
    <w:rsid w:val="006B5FE2"/>
    <w:rsid w:val="006B6D24"/>
    <w:rsid w:val="006B70FB"/>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4AD"/>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8B1"/>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ADD"/>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0559"/>
    <w:rsid w:val="007113C8"/>
    <w:rsid w:val="0071194B"/>
    <w:rsid w:val="00711C26"/>
    <w:rsid w:val="007122E1"/>
    <w:rsid w:val="00712DF2"/>
    <w:rsid w:val="007136AE"/>
    <w:rsid w:val="00714710"/>
    <w:rsid w:val="00717A6C"/>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675"/>
    <w:rsid w:val="00740AF2"/>
    <w:rsid w:val="00740C60"/>
    <w:rsid w:val="00741285"/>
    <w:rsid w:val="007420B2"/>
    <w:rsid w:val="007427E2"/>
    <w:rsid w:val="0074323D"/>
    <w:rsid w:val="007433FA"/>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032"/>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77AF5"/>
    <w:rsid w:val="00780130"/>
    <w:rsid w:val="0078038C"/>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2B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422B"/>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E9"/>
    <w:rsid w:val="0081548E"/>
    <w:rsid w:val="008156FA"/>
    <w:rsid w:val="00816978"/>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496C"/>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8DE"/>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24B8"/>
    <w:rsid w:val="00863160"/>
    <w:rsid w:val="008633C0"/>
    <w:rsid w:val="008636D1"/>
    <w:rsid w:val="00863E54"/>
    <w:rsid w:val="0086441E"/>
    <w:rsid w:val="00864D42"/>
    <w:rsid w:val="0086538F"/>
    <w:rsid w:val="008654E5"/>
    <w:rsid w:val="00865954"/>
    <w:rsid w:val="00865B5C"/>
    <w:rsid w:val="0087001D"/>
    <w:rsid w:val="008728FC"/>
    <w:rsid w:val="00872E5E"/>
    <w:rsid w:val="00872F18"/>
    <w:rsid w:val="00874CC7"/>
    <w:rsid w:val="00875333"/>
    <w:rsid w:val="00875BD6"/>
    <w:rsid w:val="00876359"/>
    <w:rsid w:val="00876741"/>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2E3"/>
    <w:rsid w:val="0090753E"/>
    <w:rsid w:val="00907D28"/>
    <w:rsid w:val="009101E9"/>
    <w:rsid w:val="00910ADB"/>
    <w:rsid w:val="00910FEE"/>
    <w:rsid w:val="0091120C"/>
    <w:rsid w:val="00911C83"/>
    <w:rsid w:val="00912A94"/>
    <w:rsid w:val="00914A7E"/>
    <w:rsid w:val="00914E1E"/>
    <w:rsid w:val="0091571D"/>
    <w:rsid w:val="009163DE"/>
    <w:rsid w:val="00916BBA"/>
    <w:rsid w:val="00917807"/>
    <w:rsid w:val="00917B56"/>
    <w:rsid w:val="009206CB"/>
    <w:rsid w:val="00920E82"/>
    <w:rsid w:val="009219B4"/>
    <w:rsid w:val="00921B69"/>
    <w:rsid w:val="009224E2"/>
    <w:rsid w:val="00922A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4AC"/>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6C1A"/>
    <w:rsid w:val="009571BD"/>
    <w:rsid w:val="00957BCE"/>
    <w:rsid w:val="00957FC6"/>
    <w:rsid w:val="00960104"/>
    <w:rsid w:val="00960344"/>
    <w:rsid w:val="00960442"/>
    <w:rsid w:val="0096224B"/>
    <w:rsid w:val="0096224D"/>
    <w:rsid w:val="009626F4"/>
    <w:rsid w:val="00963028"/>
    <w:rsid w:val="009647D5"/>
    <w:rsid w:val="009649D0"/>
    <w:rsid w:val="00965B65"/>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51E2"/>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2A8C"/>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3D11"/>
    <w:rsid w:val="009E4BE8"/>
    <w:rsid w:val="009E4C08"/>
    <w:rsid w:val="009E5D5A"/>
    <w:rsid w:val="009E6946"/>
    <w:rsid w:val="009E76CC"/>
    <w:rsid w:val="009E7AA2"/>
    <w:rsid w:val="009E7F29"/>
    <w:rsid w:val="009E7F4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346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070"/>
    <w:rsid w:val="00A761F1"/>
    <w:rsid w:val="00A769C5"/>
    <w:rsid w:val="00A77316"/>
    <w:rsid w:val="00A7772E"/>
    <w:rsid w:val="00A77A50"/>
    <w:rsid w:val="00A77A6B"/>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1F5E"/>
    <w:rsid w:val="00A93F07"/>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343C"/>
    <w:rsid w:val="00AD41DD"/>
    <w:rsid w:val="00AD46D9"/>
    <w:rsid w:val="00AD47BB"/>
    <w:rsid w:val="00AD6642"/>
    <w:rsid w:val="00AD6C5D"/>
    <w:rsid w:val="00AD6D60"/>
    <w:rsid w:val="00AD6F0B"/>
    <w:rsid w:val="00AD76D8"/>
    <w:rsid w:val="00AD7CF5"/>
    <w:rsid w:val="00AD7DDD"/>
    <w:rsid w:val="00AD7E03"/>
    <w:rsid w:val="00AE23C6"/>
    <w:rsid w:val="00AE3917"/>
    <w:rsid w:val="00AE4116"/>
    <w:rsid w:val="00AE4A96"/>
    <w:rsid w:val="00AE511E"/>
    <w:rsid w:val="00AE547B"/>
    <w:rsid w:val="00AE6FFA"/>
    <w:rsid w:val="00AF049A"/>
    <w:rsid w:val="00AF0B07"/>
    <w:rsid w:val="00AF0CD2"/>
    <w:rsid w:val="00AF181E"/>
    <w:rsid w:val="00AF2030"/>
    <w:rsid w:val="00AF238D"/>
    <w:rsid w:val="00AF33EE"/>
    <w:rsid w:val="00AF3629"/>
    <w:rsid w:val="00AF3736"/>
    <w:rsid w:val="00AF3808"/>
    <w:rsid w:val="00AF4370"/>
    <w:rsid w:val="00AF5677"/>
    <w:rsid w:val="00AF59CE"/>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249"/>
    <w:rsid w:val="00B168C2"/>
    <w:rsid w:val="00B16A71"/>
    <w:rsid w:val="00B17F46"/>
    <w:rsid w:val="00B20109"/>
    <w:rsid w:val="00B20719"/>
    <w:rsid w:val="00B20800"/>
    <w:rsid w:val="00B218FF"/>
    <w:rsid w:val="00B23D06"/>
    <w:rsid w:val="00B24092"/>
    <w:rsid w:val="00B24615"/>
    <w:rsid w:val="00B2512F"/>
    <w:rsid w:val="00B268AB"/>
    <w:rsid w:val="00B270E4"/>
    <w:rsid w:val="00B274E0"/>
    <w:rsid w:val="00B275C4"/>
    <w:rsid w:val="00B27F22"/>
    <w:rsid w:val="00B30DCD"/>
    <w:rsid w:val="00B3132F"/>
    <w:rsid w:val="00B3176B"/>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04B"/>
    <w:rsid w:val="00B55BD4"/>
    <w:rsid w:val="00B560C1"/>
    <w:rsid w:val="00B566A2"/>
    <w:rsid w:val="00B56C78"/>
    <w:rsid w:val="00B574F4"/>
    <w:rsid w:val="00B57DC6"/>
    <w:rsid w:val="00B6001B"/>
    <w:rsid w:val="00B6106B"/>
    <w:rsid w:val="00B611E9"/>
    <w:rsid w:val="00B61B7A"/>
    <w:rsid w:val="00B625C3"/>
    <w:rsid w:val="00B6295F"/>
    <w:rsid w:val="00B63136"/>
    <w:rsid w:val="00B63642"/>
    <w:rsid w:val="00B63E14"/>
    <w:rsid w:val="00B6453F"/>
    <w:rsid w:val="00B64D16"/>
    <w:rsid w:val="00B672A2"/>
    <w:rsid w:val="00B67641"/>
    <w:rsid w:val="00B70C8A"/>
    <w:rsid w:val="00B7120E"/>
    <w:rsid w:val="00B713EA"/>
    <w:rsid w:val="00B713FD"/>
    <w:rsid w:val="00B73755"/>
    <w:rsid w:val="00B7386B"/>
    <w:rsid w:val="00B73D59"/>
    <w:rsid w:val="00B74043"/>
    <w:rsid w:val="00B7426C"/>
    <w:rsid w:val="00B746AE"/>
    <w:rsid w:val="00B75C2B"/>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4FE2"/>
    <w:rsid w:val="00B95F1F"/>
    <w:rsid w:val="00B962DA"/>
    <w:rsid w:val="00B9657E"/>
    <w:rsid w:val="00B96C27"/>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0A40"/>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27A54"/>
    <w:rsid w:val="00C30615"/>
    <w:rsid w:val="00C3090F"/>
    <w:rsid w:val="00C30BFA"/>
    <w:rsid w:val="00C30F48"/>
    <w:rsid w:val="00C319C9"/>
    <w:rsid w:val="00C31C33"/>
    <w:rsid w:val="00C32423"/>
    <w:rsid w:val="00C325F9"/>
    <w:rsid w:val="00C3362D"/>
    <w:rsid w:val="00C338F9"/>
    <w:rsid w:val="00C33C77"/>
    <w:rsid w:val="00C345AC"/>
    <w:rsid w:val="00C34B24"/>
    <w:rsid w:val="00C34EF0"/>
    <w:rsid w:val="00C369DB"/>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7E6"/>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1DC"/>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52E"/>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1EA7"/>
    <w:rsid w:val="00CD2146"/>
    <w:rsid w:val="00CD272D"/>
    <w:rsid w:val="00CD30B6"/>
    <w:rsid w:val="00CD34A7"/>
    <w:rsid w:val="00CD42CB"/>
    <w:rsid w:val="00CD4B83"/>
    <w:rsid w:val="00CD4CB9"/>
    <w:rsid w:val="00CD4D59"/>
    <w:rsid w:val="00CD5606"/>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5370"/>
    <w:rsid w:val="00CE656D"/>
    <w:rsid w:val="00CE7A18"/>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CF7975"/>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26E"/>
    <w:rsid w:val="00D43FAC"/>
    <w:rsid w:val="00D449B5"/>
    <w:rsid w:val="00D45A15"/>
    <w:rsid w:val="00D479EE"/>
    <w:rsid w:val="00D47B8A"/>
    <w:rsid w:val="00D50354"/>
    <w:rsid w:val="00D5055F"/>
    <w:rsid w:val="00D51845"/>
    <w:rsid w:val="00D51DD0"/>
    <w:rsid w:val="00D528A6"/>
    <w:rsid w:val="00D539ED"/>
    <w:rsid w:val="00D53B1E"/>
    <w:rsid w:val="00D53EC6"/>
    <w:rsid w:val="00D54B7C"/>
    <w:rsid w:val="00D54F61"/>
    <w:rsid w:val="00D56017"/>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631"/>
    <w:rsid w:val="00D74FD0"/>
    <w:rsid w:val="00D763D4"/>
    <w:rsid w:val="00D76E18"/>
    <w:rsid w:val="00D774E8"/>
    <w:rsid w:val="00D77E37"/>
    <w:rsid w:val="00D804E9"/>
    <w:rsid w:val="00D807E1"/>
    <w:rsid w:val="00D8137B"/>
    <w:rsid w:val="00D81A74"/>
    <w:rsid w:val="00D82E4F"/>
    <w:rsid w:val="00D84A6B"/>
    <w:rsid w:val="00D86400"/>
    <w:rsid w:val="00D865A6"/>
    <w:rsid w:val="00D86C03"/>
    <w:rsid w:val="00D87894"/>
    <w:rsid w:val="00D9038E"/>
    <w:rsid w:val="00D90BA5"/>
    <w:rsid w:val="00D918BE"/>
    <w:rsid w:val="00D926AF"/>
    <w:rsid w:val="00D932EB"/>
    <w:rsid w:val="00D9489F"/>
    <w:rsid w:val="00D94B41"/>
    <w:rsid w:val="00D94EEF"/>
    <w:rsid w:val="00D95205"/>
    <w:rsid w:val="00D95623"/>
    <w:rsid w:val="00D9586D"/>
    <w:rsid w:val="00D95D44"/>
    <w:rsid w:val="00D96B02"/>
    <w:rsid w:val="00DA087B"/>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45DE"/>
    <w:rsid w:val="00DC550C"/>
    <w:rsid w:val="00DC57AE"/>
    <w:rsid w:val="00DC5F0C"/>
    <w:rsid w:val="00DC6E6D"/>
    <w:rsid w:val="00DD0585"/>
    <w:rsid w:val="00DD14D7"/>
    <w:rsid w:val="00DD1910"/>
    <w:rsid w:val="00DD1ED5"/>
    <w:rsid w:val="00DD313F"/>
    <w:rsid w:val="00DD475A"/>
    <w:rsid w:val="00DD5023"/>
    <w:rsid w:val="00DD5B6C"/>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84B"/>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057"/>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1BC"/>
    <w:rsid w:val="00E206DD"/>
    <w:rsid w:val="00E2088F"/>
    <w:rsid w:val="00E2155A"/>
    <w:rsid w:val="00E21892"/>
    <w:rsid w:val="00E22167"/>
    <w:rsid w:val="00E22CAA"/>
    <w:rsid w:val="00E2378F"/>
    <w:rsid w:val="00E244DC"/>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59"/>
    <w:rsid w:val="00E40961"/>
    <w:rsid w:val="00E414E0"/>
    <w:rsid w:val="00E414E2"/>
    <w:rsid w:val="00E41822"/>
    <w:rsid w:val="00E41D3D"/>
    <w:rsid w:val="00E42AE8"/>
    <w:rsid w:val="00E432A3"/>
    <w:rsid w:val="00E442A4"/>
    <w:rsid w:val="00E445B3"/>
    <w:rsid w:val="00E44F75"/>
    <w:rsid w:val="00E4535C"/>
    <w:rsid w:val="00E456A0"/>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231"/>
    <w:rsid w:val="00E933A7"/>
    <w:rsid w:val="00E9425D"/>
    <w:rsid w:val="00E9523A"/>
    <w:rsid w:val="00E95459"/>
    <w:rsid w:val="00E979A6"/>
    <w:rsid w:val="00E97FF0"/>
    <w:rsid w:val="00EA0118"/>
    <w:rsid w:val="00EA20BF"/>
    <w:rsid w:val="00EA2499"/>
    <w:rsid w:val="00EA2EF6"/>
    <w:rsid w:val="00EA33DE"/>
    <w:rsid w:val="00EA34F4"/>
    <w:rsid w:val="00EA3B65"/>
    <w:rsid w:val="00EA41A2"/>
    <w:rsid w:val="00EA4C53"/>
    <w:rsid w:val="00EA59C5"/>
    <w:rsid w:val="00EA62A1"/>
    <w:rsid w:val="00EA677C"/>
    <w:rsid w:val="00EA6968"/>
    <w:rsid w:val="00EA6DCE"/>
    <w:rsid w:val="00EA73AD"/>
    <w:rsid w:val="00EA7547"/>
    <w:rsid w:val="00EB0D81"/>
    <w:rsid w:val="00EB1A94"/>
    <w:rsid w:val="00EB1AF9"/>
    <w:rsid w:val="00EB25BF"/>
    <w:rsid w:val="00EB274C"/>
    <w:rsid w:val="00EB37F8"/>
    <w:rsid w:val="00EB39FF"/>
    <w:rsid w:val="00EB3AAE"/>
    <w:rsid w:val="00EB55F4"/>
    <w:rsid w:val="00EB5DB0"/>
    <w:rsid w:val="00EB6754"/>
    <w:rsid w:val="00EB6C1A"/>
    <w:rsid w:val="00EB6FB1"/>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A73"/>
    <w:rsid w:val="00ED0DAD"/>
    <w:rsid w:val="00ED126C"/>
    <w:rsid w:val="00ED1520"/>
    <w:rsid w:val="00ED1A60"/>
    <w:rsid w:val="00ED1CA1"/>
    <w:rsid w:val="00ED2066"/>
    <w:rsid w:val="00ED2323"/>
    <w:rsid w:val="00ED2798"/>
    <w:rsid w:val="00ED2A29"/>
    <w:rsid w:val="00ED3046"/>
    <w:rsid w:val="00ED34B4"/>
    <w:rsid w:val="00ED35EE"/>
    <w:rsid w:val="00ED39D8"/>
    <w:rsid w:val="00ED4D56"/>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4AA5"/>
    <w:rsid w:val="00EE56FB"/>
    <w:rsid w:val="00EE6600"/>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C71"/>
    <w:rsid w:val="00F21100"/>
    <w:rsid w:val="00F21D64"/>
    <w:rsid w:val="00F21F6A"/>
    <w:rsid w:val="00F2358D"/>
    <w:rsid w:val="00F23E40"/>
    <w:rsid w:val="00F243D6"/>
    <w:rsid w:val="00F2694D"/>
    <w:rsid w:val="00F26CF0"/>
    <w:rsid w:val="00F3025F"/>
    <w:rsid w:val="00F3088B"/>
    <w:rsid w:val="00F30A5C"/>
    <w:rsid w:val="00F31BAE"/>
    <w:rsid w:val="00F32258"/>
    <w:rsid w:val="00F328F4"/>
    <w:rsid w:val="00F32E93"/>
    <w:rsid w:val="00F3353A"/>
    <w:rsid w:val="00F336DC"/>
    <w:rsid w:val="00F337E0"/>
    <w:rsid w:val="00F33A91"/>
    <w:rsid w:val="00F344C9"/>
    <w:rsid w:val="00F345C0"/>
    <w:rsid w:val="00F35CB1"/>
    <w:rsid w:val="00F35DDE"/>
    <w:rsid w:val="00F36156"/>
    <w:rsid w:val="00F36F6E"/>
    <w:rsid w:val="00F37608"/>
    <w:rsid w:val="00F37F6D"/>
    <w:rsid w:val="00F37F94"/>
    <w:rsid w:val="00F422D7"/>
    <w:rsid w:val="00F43708"/>
    <w:rsid w:val="00F4421C"/>
    <w:rsid w:val="00F44411"/>
    <w:rsid w:val="00F44F8A"/>
    <w:rsid w:val="00F45F0C"/>
    <w:rsid w:val="00F4605E"/>
    <w:rsid w:val="00F46DE7"/>
    <w:rsid w:val="00F46F0D"/>
    <w:rsid w:val="00F47E32"/>
    <w:rsid w:val="00F47F78"/>
    <w:rsid w:val="00F47FCC"/>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3F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ABF"/>
    <w:rsid w:val="00F81ADF"/>
    <w:rsid w:val="00F81C80"/>
    <w:rsid w:val="00F823B0"/>
    <w:rsid w:val="00F82785"/>
    <w:rsid w:val="00F833E7"/>
    <w:rsid w:val="00F85391"/>
    <w:rsid w:val="00F85C0E"/>
    <w:rsid w:val="00F86089"/>
    <w:rsid w:val="00F86615"/>
    <w:rsid w:val="00F86B57"/>
    <w:rsid w:val="00F86D46"/>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573"/>
    <w:rsid w:val="00FB5636"/>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EB7"/>
    <w:rsid w:val="00FD406E"/>
    <w:rsid w:val="00FD4D25"/>
    <w:rsid w:val="00FD5551"/>
    <w:rsid w:val="00FD5771"/>
    <w:rsid w:val="00FD5F4C"/>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5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qFormat/>
    <w:rsid w:val="004A55D9"/>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729696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21204015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74643238">
      <w:bodyDiv w:val="1"/>
      <w:marLeft w:val="0"/>
      <w:marRight w:val="0"/>
      <w:marTop w:val="0"/>
      <w:marBottom w:val="0"/>
      <w:divBdr>
        <w:top w:val="none" w:sz="0" w:space="0" w:color="auto"/>
        <w:left w:val="none" w:sz="0" w:space="0" w:color="auto"/>
        <w:bottom w:val="none" w:sz="0" w:space="0" w:color="auto"/>
        <w:right w:val="none" w:sz="0" w:space="0" w:color="auto"/>
      </w:divBdr>
      <w:divsChild>
        <w:div w:id="1453935497">
          <w:marLeft w:val="547"/>
          <w:marRight w:val="0"/>
          <w:marTop w:val="115"/>
          <w:marBottom w:val="0"/>
          <w:divBdr>
            <w:top w:val="none" w:sz="0" w:space="0" w:color="auto"/>
            <w:left w:val="none" w:sz="0" w:space="0" w:color="auto"/>
            <w:bottom w:val="none" w:sz="0" w:space="0" w:color="auto"/>
            <w:right w:val="none" w:sz="0" w:space="0" w:color="auto"/>
          </w:divBdr>
        </w:div>
        <w:div w:id="2008482564">
          <w:marLeft w:val="547"/>
          <w:marRight w:val="0"/>
          <w:marTop w:val="115"/>
          <w:marBottom w:val="0"/>
          <w:divBdr>
            <w:top w:val="none" w:sz="0" w:space="0" w:color="auto"/>
            <w:left w:val="none" w:sz="0" w:space="0" w:color="auto"/>
            <w:bottom w:val="none" w:sz="0" w:space="0" w:color="auto"/>
            <w:right w:val="none" w:sz="0" w:space="0" w:color="auto"/>
          </w:divBdr>
        </w:div>
        <w:div w:id="869609926">
          <w:marLeft w:val="547"/>
          <w:marRight w:val="0"/>
          <w:marTop w:val="115"/>
          <w:marBottom w:val="0"/>
          <w:divBdr>
            <w:top w:val="none" w:sz="0" w:space="0" w:color="auto"/>
            <w:left w:val="none" w:sz="0" w:space="0" w:color="auto"/>
            <w:bottom w:val="none" w:sz="0" w:space="0" w:color="auto"/>
            <w:right w:val="none" w:sz="0" w:space="0" w:color="auto"/>
          </w:divBdr>
        </w:div>
        <w:div w:id="341208692">
          <w:marLeft w:val="547"/>
          <w:marRight w:val="0"/>
          <w:marTop w:val="115"/>
          <w:marBottom w:val="0"/>
          <w:divBdr>
            <w:top w:val="none" w:sz="0" w:space="0" w:color="auto"/>
            <w:left w:val="none" w:sz="0" w:space="0" w:color="auto"/>
            <w:bottom w:val="none" w:sz="0" w:space="0" w:color="auto"/>
            <w:right w:val="none" w:sz="0" w:space="0" w:color="auto"/>
          </w:divBdr>
        </w:div>
        <w:div w:id="65344978">
          <w:marLeft w:val="547"/>
          <w:marRight w:val="0"/>
          <w:marTop w:val="115"/>
          <w:marBottom w:val="0"/>
          <w:divBdr>
            <w:top w:val="none" w:sz="0" w:space="0" w:color="auto"/>
            <w:left w:val="none" w:sz="0" w:space="0" w:color="auto"/>
            <w:bottom w:val="none" w:sz="0" w:space="0" w:color="auto"/>
            <w:right w:val="none" w:sz="0" w:space="0" w:color="auto"/>
          </w:divBdr>
        </w:div>
        <w:div w:id="908079785">
          <w:marLeft w:val="547"/>
          <w:marRight w:val="0"/>
          <w:marTop w:val="115"/>
          <w:marBottom w:val="0"/>
          <w:divBdr>
            <w:top w:val="none" w:sz="0" w:space="0" w:color="auto"/>
            <w:left w:val="none" w:sz="0" w:space="0" w:color="auto"/>
            <w:bottom w:val="none" w:sz="0" w:space="0" w:color="auto"/>
            <w:right w:val="none" w:sz="0" w:space="0" w:color="auto"/>
          </w:divBdr>
        </w:div>
        <w:div w:id="338775885">
          <w:marLeft w:val="547"/>
          <w:marRight w:val="0"/>
          <w:marTop w:val="115"/>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36FAF-DC47-4BEB-8A67-86F902EF4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1116</Words>
  <Characters>6367</Characters>
  <Application>Microsoft Office Word</Application>
  <DocSecurity>0</DocSecurity>
  <PresentationFormat/>
  <Lines>53</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cp:revision>
  <dcterms:created xsi:type="dcterms:W3CDTF">2017-11-18T06:23:00Z</dcterms:created>
  <dcterms:modified xsi:type="dcterms:W3CDTF">2017-11-18T06:23:00Z</dcterms:modified>
</cp:coreProperties>
</file>