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214845" w14:textId="0F651220" w:rsidR="000A0A9C" w:rsidRPr="006C4B73" w:rsidRDefault="000A0A9C" w:rsidP="000A0A9C">
      <w:pPr>
        <w:pStyle w:val="a7"/>
        <w:rPr>
          <w:sz w:val="24"/>
          <w:lang w:val="en-US" w:eastAsia="ja-JP"/>
        </w:rPr>
      </w:pPr>
      <w:bookmarkStart w:id="0" w:name="OLE_LINK3"/>
      <w:r>
        <w:rPr>
          <w:sz w:val="24"/>
          <w:lang w:val="en-US"/>
        </w:rPr>
        <w:t xml:space="preserve">3GPP TSG RAN WG1 </w:t>
      </w:r>
      <w:r w:rsidR="003C61B9">
        <w:rPr>
          <w:sz w:val="24"/>
          <w:lang w:val="en-US"/>
        </w:rPr>
        <w:t>Meeting #90</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8235D5" w:rsidRPr="008235D5">
        <w:rPr>
          <w:sz w:val="24"/>
          <w:lang w:val="en-US" w:eastAsia="ja-JP"/>
        </w:rPr>
        <w:t>R1-17</w:t>
      </w:r>
      <w:r w:rsidR="003B2223">
        <w:rPr>
          <w:sz w:val="24"/>
          <w:lang w:val="en-US" w:eastAsia="ja-JP"/>
        </w:rPr>
        <w:t>1</w:t>
      </w:r>
      <w:r w:rsidR="006C5AA8">
        <w:rPr>
          <w:rFonts w:hint="eastAsia"/>
          <w:sz w:val="24"/>
          <w:lang w:val="en-US" w:eastAsia="ja-JP"/>
        </w:rPr>
        <w:t>3965</w:t>
      </w:r>
    </w:p>
    <w:p w14:paraId="097926AE" w14:textId="14E974AB" w:rsidR="002123E7" w:rsidRDefault="00DB2EBD" w:rsidP="002123E7">
      <w:pPr>
        <w:pStyle w:val="a7"/>
        <w:rPr>
          <w:sz w:val="24"/>
          <w:lang w:val="en-US"/>
        </w:rPr>
      </w:pPr>
      <w:r w:rsidRPr="00DB2EBD">
        <w:rPr>
          <w:sz w:val="24"/>
          <w:lang w:val="en-US"/>
        </w:rPr>
        <w:t>Prague, Czechia, 21th – 25th August 2017</w:t>
      </w:r>
    </w:p>
    <w:p w14:paraId="5B2D8887" w14:textId="77777777" w:rsidR="00DB2EBD" w:rsidRPr="00DB2EBD" w:rsidRDefault="00DB2EBD"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563C7EAD"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3B2223">
        <w:rPr>
          <w:sz w:val="24"/>
          <w:lang w:val="en-US" w:eastAsia="ja-JP"/>
        </w:rPr>
        <w:t>Resource reservation</w:t>
      </w:r>
    </w:p>
    <w:bookmarkEnd w:id="1"/>
    <w:bookmarkEnd w:id="2"/>
    <w:bookmarkEnd w:id="3"/>
    <w:bookmarkEnd w:id="4"/>
    <w:p w14:paraId="02FF14B3" w14:textId="0A9B19BF"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3C61B9">
        <w:rPr>
          <w:sz w:val="24"/>
          <w:lang w:val="en-US" w:eastAsia="ja-JP"/>
        </w:rPr>
        <w:t>6</w:t>
      </w:r>
      <w:r w:rsidR="003B2223">
        <w:rPr>
          <w:sz w:val="24"/>
          <w:lang w:val="en-US" w:eastAsia="ja-JP"/>
        </w:rPr>
        <w:t>.1.3.6</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489C1FD8" w14:textId="39A0A05E" w:rsidR="005250D1" w:rsidRPr="007307E6" w:rsidRDefault="00876BA5" w:rsidP="006537BD">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t>
      </w:r>
      <w:r w:rsidR="005250D1">
        <w:rPr>
          <w:rFonts w:eastAsia="ＭＳ 明朝"/>
          <w:sz w:val="22"/>
          <w:lang w:val="en-US"/>
        </w:rPr>
        <w:t xml:space="preserve">we discuss </w:t>
      </w:r>
      <w:r w:rsidR="003B2223">
        <w:rPr>
          <w:rFonts w:eastAsia="ＭＳ 明朝"/>
          <w:sz w:val="22"/>
          <w:lang w:val="en-US"/>
        </w:rPr>
        <w:t>resource reservation for NR</w:t>
      </w:r>
      <w:r w:rsidR="00AB5D7A">
        <w:rPr>
          <w:rFonts w:eastAsia="ＭＳ 明朝"/>
          <w:sz w:val="22"/>
          <w:lang w:val="en-US"/>
        </w:rPr>
        <w:t>.</w:t>
      </w:r>
    </w:p>
    <w:p w14:paraId="0FA8B3BB" w14:textId="0492EB81" w:rsidR="005250D1" w:rsidRDefault="003B2223" w:rsidP="005250D1">
      <w:pPr>
        <w:pStyle w:val="1"/>
        <w:numPr>
          <w:ilvl w:val="0"/>
          <w:numId w:val="6"/>
        </w:numPr>
        <w:spacing w:after="120"/>
        <w:jc w:val="both"/>
        <w:rPr>
          <w:rFonts w:eastAsia="DengXian"/>
          <w:b/>
          <w:lang w:val="en-US" w:eastAsia="zh-CN"/>
        </w:rPr>
      </w:pPr>
      <w:r>
        <w:rPr>
          <w:rFonts w:eastAsia="DengXian"/>
          <w:b/>
          <w:lang w:val="en-US" w:eastAsia="zh-CN"/>
        </w:rPr>
        <w:t>Discussion</w:t>
      </w:r>
    </w:p>
    <w:p w14:paraId="693C25CA" w14:textId="0FBCD05B" w:rsidR="003B2223" w:rsidRDefault="003B2223" w:rsidP="007C3863">
      <w:pPr>
        <w:spacing w:afterLines="50" w:after="120"/>
        <w:jc w:val="both"/>
        <w:rPr>
          <w:rFonts w:eastAsia="ＭＳ 明朝"/>
          <w:sz w:val="22"/>
          <w:lang w:val="en-US"/>
        </w:rPr>
      </w:pPr>
      <w:bookmarkStart w:id="7" w:name="_Hlk481753303"/>
      <w:r>
        <w:rPr>
          <w:rFonts w:eastAsia="ＭＳ 明朝" w:hint="eastAsia"/>
          <w:sz w:val="22"/>
          <w:lang w:val="en-US"/>
        </w:rPr>
        <w:t xml:space="preserve">One of the key feature of NR design is its forward compatibility. </w:t>
      </w:r>
      <w:r w:rsidR="00196D7F">
        <w:rPr>
          <w:rFonts w:eastAsia="ＭＳ 明朝"/>
          <w:sz w:val="22"/>
          <w:lang w:val="en-US"/>
        </w:rPr>
        <w:t xml:space="preserve">Unlike LTE, NR minimizes always-on signal. The main motivation is to ensure forward compatibility; </w:t>
      </w:r>
      <w:r w:rsidR="003A10FF">
        <w:rPr>
          <w:rFonts w:eastAsia="ＭＳ 明朝" w:hint="eastAsia"/>
          <w:sz w:val="22"/>
          <w:lang w:val="en-US"/>
        </w:rPr>
        <w:t>minimize</w:t>
      </w:r>
      <w:r w:rsidR="003A10FF">
        <w:rPr>
          <w:rFonts w:eastAsia="ＭＳ 明朝"/>
          <w:sz w:val="22"/>
          <w:lang w:val="en-US"/>
        </w:rPr>
        <w:t xml:space="preserve"> </w:t>
      </w:r>
      <w:r w:rsidR="00196D7F">
        <w:rPr>
          <w:rFonts w:eastAsia="ＭＳ 明朝"/>
          <w:sz w:val="22"/>
          <w:lang w:val="en-US"/>
        </w:rPr>
        <w:t>the potential</w:t>
      </w:r>
      <w:r w:rsidR="003A10FF">
        <w:rPr>
          <w:rFonts w:eastAsia="ＭＳ 明朝"/>
          <w:sz w:val="22"/>
          <w:lang w:val="en-US"/>
        </w:rPr>
        <w:t>/possible</w:t>
      </w:r>
      <w:r w:rsidR="00196D7F">
        <w:rPr>
          <w:rFonts w:eastAsia="ＭＳ 明朝"/>
          <w:sz w:val="22"/>
          <w:lang w:val="en-US"/>
        </w:rPr>
        <w:t xml:space="preserve"> issues that could happen in future releases. In future releases, it is possible that new channels/signals having different structures</w:t>
      </w:r>
      <w:r w:rsidR="003A10FF">
        <w:rPr>
          <w:rFonts w:eastAsia="ＭＳ 明朝"/>
          <w:sz w:val="22"/>
          <w:lang w:val="en-US"/>
        </w:rPr>
        <w:t>/units in physical-layer</w:t>
      </w:r>
      <w:r w:rsidR="00196D7F">
        <w:rPr>
          <w:rFonts w:eastAsia="ＭＳ 明朝"/>
          <w:sz w:val="22"/>
          <w:lang w:val="en-US"/>
        </w:rPr>
        <w:t xml:space="preserve"> may be specified. In such case, multiplexing between the legacy channels/signals and the new channels/signals would be problematic. In order to resolve this, NR should support mechanisms to ensure a set of resources are reserved.</w:t>
      </w:r>
    </w:p>
    <w:p w14:paraId="7B3CDB42" w14:textId="7F0486F4" w:rsidR="00196D7F" w:rsidRDefault="00196D7F" w:rsidP="007C3863">
      <w:pPr>
        <w:spacing w:afterLines="50" w:after="120"/>
        <w:jc w:val="both"/>
        <w:rPr>
          <w:rFonts w:eastAsia="ＭＳ 明朝"/>
          <w:sz w:val="22"/>
          <w:lang w:val="en-US"/>
        </w:rPr>
      </w:pPr>
      <w:r>
        <w:rPr>
          <w:rFonts w:eastAsia="ＭＳ 明朝"/>
          <w:sz w:val="22"/>
          <w:lang w:val="en-US"/>
        </w:rPr>
        <w:t>It is not possible to guess how the future channels/signals are dimensioned. Therefore, configuration of resource reservation should be sufficiently flexible. For example, it should be symbol-level granularity in time-domain and PRB/RE-level granularity in frequency-domain</w:t>
      </w:r>
      <w:r w:rsidR="00FD729F">
        <w:rPr>
          <w:rFonts w:eastAsia="ＭＳ 明朝"/>
          <w:sz w:val="22"/>
          <w:lang w:val="en-US"/>
        </w:rPr>
        <w:t xml:space="preserve"> and the periodicity </w:t>
      </w:r>
      <w:r w:rsidR="003A10FF">
        <w:rPr>
          <w:rFonts w:eastAsia="ＭＳ 明朝"/>
          <w:sz w:val="22"/>
          <w:lang w:val="en-US"/>
        </w:rPr>
        <w:t xml:space="preserve">in time-domain </w:t>
      </w:r>
      <w:r w:rsidR="00FD729F">
        <w:rPr>
          <w:rFonts w:eastAsia="ＭＳ 明朝"/>
          <w:sz w:val="22"/>
          <w:lang w:val="en-US"/>
        </w:rPr>
        <w:t>could be 0.5ms, 1ms, 2ms, 5ms, or 10ms</w:t>
      </w:r>
      <w:r>
        <w:rPr>
          <w:rFonts w:eastAsia="ＭＳ 明朝"/>
          <w:sz w:val="22"/>
          <w:lang w:val="en-US"/>
        </w:rPr>
        <w:t xml:space="preserve">. </w:t>
      </w:r>
      <w:r w:rsidR="001E6616">
        <w:rPr>
          <w:rFonts w:eastAsia="ＭＳ 明朝"/>
          <w:sz w:val="22"/>
          <w:lang w:val="en-US"/>
        </w:rPr>
        <w:t>The UE shall not transmit/receive anything on the reserved resource.</w:t>
      </w:r>
    </w:p>
    <w:p w14:paraId="182F2635" w14:textId="194FE82A" w:rsidR="003A10FF" w:rsidRDefault="001E6616" w:rsidP="007C3863">
      <w:pPr>
        <w:spacing w:afterLines="50" w:after="120"/>
        <w:jc w:val="both"/>
        <w:rPr>
          <w:rFonts w:eastAsia="ＭＳ 明朝"/>
          <w:sz w:val="22"/>
          <w:lang w:val="en-US"/>
        </w:rPr>
      </w:pPr>
      <w:r>
        <w:rPr>
          <w:rFonts w:eastAsia="ＭＳ 明朝" w:hint="eastAsia"/>
          <w:sz w:val="22"/>
          <w:lang w:val="en-US"/>
        </w:rPr>
        <w:t>So far, simila</w:t>
      </w:r>
      <w:r>
        <w:rPr>
          <w:rFonts w:eastAsia="ＭＳ 明朝"/>
          <w:sz w:val="22"/>
          <w:lang w:val="en-US"/>
        </w:rPr>
        <w:t xml:space="preserve">r discussion has been held in the context of slot format related information (SFI) and semi-static configuration for TDD. Although these mechanisms aim to specify ‘unknown resources’ in time-domain (not in frequency-domain), the functions are quite similar to what is </w:t>
      </w:r>
      <w:r w:rsidR="003A10FF">
        <w:rPr>
          <w:rFonts w:eastAsia="ＭＳ 明朝"/>
          <w:sz w:val="22"/>
          <w:lang w:val="en-US"/>
        </w:rPr>
        <w:t>expected</w:t>
      </w:r>
      <w:r>
        <w:rPr>
          <w:rFonts w:eastAsia="ＭＳ 明朝"/>
          <w:sz w:val="22"/>
          <w:lang w:val="en-US"/>
        </w:rPr>
        <w:t xml:space="preserve"> as </w:t>
      </w:r>
      <w:r w:rsidR="00FD729F">
        <w:rPr>
          <w:rFonts w:eastAsia="ＭＳ 明朝"/>
          <w:sz w:val="22"/>
          <w:lang w:val="en-US"/>
        </w:rPr>
        <w:t xml:space="preserve">the </w:t>
      </w:r>
      <w:r>
        <w:rPr>
          <w:rFonts w:eastAsia="ＭＳ 明朝"/>
          <w:sz w:val="22"/>
          <w:lang w:val="en-US"/>
        </w:rPr>
        <w:t>resource reservation for forward compa</w:t>
      </w:r>
      <w:r w:rsidR="00014D2E">
        <w:rPr>
          <w:rFonts w:eastAsia="ＭＳ 明朝"/>
          <w:sz w:val="22"/>
          <w:lang w:val="en-US"/>
        </w:rPr>
        <w:t xml:space="preserve">tibility. It is highly desirable to avoid specifying </w:t>
      </w:r>
      <w:r w:rsidR="00FD729F">
        <w:rPr>
          <w:rFonts w:eastAsia="ＭＳ 明朝"/>
          <w:sz w:val="22"/>
          <w:lang w:val="en-US"/>
        </w:rPr>
        <w:t xml:space="preserve">many </w:t>
      </w:r>
      <w:r w:rsidR="00014D2E">
        <w:rPr>
          <w:rFonts w:eastAsia="ＭＳ 明朝"/>
          <w:sz w:val="22"/>
          <w:lang w:val="en-US"/>
        </w:rPr>
        <w:t xml:space="preserve">duplicated functions </w:t>
      </w:r>
      <w:r w:rsidR="003A10FF">
        <w:rPr>
          <w:rFonts w:eastAsia="ＭＳ 明朝"/>
          <w:sz w:val="22"/>
          <w:lang w:val="en-US"/>
        </w:rPr>
        <w:t>in</w:t>
      </w:r>
      <w:r w:rsidR="00014D2E">
        <w:rPr>
          <w:rFonts w:eastAsia="ＭＳ 明朝"/>
          <w:sz w:val="22"/>
          <w:lang w:val="en-US"/>
        </w:rPr>
        <w:t xml:space="preserve"> NR initial release. Therefore, we propose to support resource reservation for forward compatibility by using configuration of ‘unknown</w:t>
      </w:r>
      <w:r w:rsidR="00FD729F">
        <w:rPr>
          <w:rFonts w:eastAsia="ＭＳ 明朝"/>
          <w:sz w:val="22"/>
          <w:lang w:val="en-US"/>
        </w:rPr>
        <w:t xml:space="preserve"> resources</w:t>
      </w:r>
      <w:r w:rsidR="00014D2E">
        <w:rPr>
          <w:rFonts w:eastAsia="ＭＳ 明朝"/>
          <w:sz w:val="22"/>
          <w:lang w:val="en-US"/>
        </w:rPr>
        <w:t>’</w:t>
      </w:r>
      <w:r w:rsidR="00FD729F">
        <w:rPr>
          <w:rFonts w:eastAsia="ＭＳ 明朝"/>
          <w:sz w:val="22"/>
          <w:lang w:val="en-US"/>
        </w:rPr>
        <w:t xml:space="preserve">. </w:t>
      </w:r>
      <w:r w:rsidR="003A10FF">
        <w:rPr>
          <w:rFonts w:eastAsia="ＭＳ 明朝"/>
          <w:sz w:val="22"/>
          <w:lang w:val="en-US"/>
        </w:rPr>
        <w:t>If the ‘unknown resources’ are configured by higher-layer, the resource</w:t>
      </w:r>
      <w:r w:rsidR="00B71334">
        <w:rPr>
          <w:rFonts w:eastAsia="ＭＳ 明朝"/>
          <w:sz w:val="22"/>
          <w:lang w:val="en-US"/>
        </w:rPr>
        <w:t xml:space="preserve"> set is</w:t>
      </w:r>
      <w:r w:rsidR="003A10FF">
        <w:rPr>
          <w:rFonts w:eastAsia="ＭＳ 明朝"/>
          <w:sz w:val="22"/>
          <w:lang w:val="en-US"/>
        </w:rPr>
        <w:t xml:space="preserve"> reserved in semi-static manner. If the ‘unknown resources’ </w:t>
      </w:r>
      <w:r w:rsidR="00B71334">
        <w:rPr>
          <w:rFonts w:eastAsia="ＭＳ 明朝"/>
          <w:sz w:val="22"/>
          <w:lang w:val="en-US"/>
        </w:rPr>
        <w:t>can be</w:t>
      </w:r>
      <w:r w:rsidR="003A10FF">
        <w:rPr>
          <w:rFonts w:eastAsia="ＭＳ 明朝"/>
          <w:sz w:val="22"/>
          <w:lang w:val="en-US"/>
        </w:rPr>
        <w:t xml:space="preserve"> indicated by SFI, </w:t>
      </w:r>
      <w:r w:rsidR="00B71334">
        <w:rPr>
          <w:rFonts w:eastAsia="ＭＳ 明朝"/>
          <w:sz w:val="22"/>
          <w:lang w:val="en-US"/>
        </w:rPr>
        <w:t xml:space="preserve">one of </w:t>
      </w:r>
      <w:r w:rsidR="003A10FF">
        <w:rPr>
          <w:rFonts w:eastAsia="ＭＳ 明朝"/>
          <w:sz w:val="22"/>
          <w:lang w:val="en-US"/>
        </w:rPr>
        <w:t>the resource</w:t>
      </w:r>
      <w:r w:rsidR="00B71334">
        <w:rPr>
          <w:rFonts w:eastAsia="ＭＳ 明朝"/>
          <w:sz w:val="22"/>
          <w:lang w:val="en-US"/>
        </w:rPr>
        <w:t xml:space="preserve"> set from multiple sets of resources is</w:t>
      </w:r>
      <w:r w:rsidR="003A10FF">
        <w:rPr>
          <w:rFonts w:eastAsia="ＭＳ 明朝"/>
          <w:sz w:val="22"/>
          <w:lang w:val="en-US"/>
        </w:rPr>
        <w:t xml:space="preserve"> reserved in dynamic manner.</w:t>
      </w:r>
    </w:p>
    <w:p w14:paraId="22FB7385" w14:textId="0A8B9C28" w:rsidR="001E6616" w:rsidRPr="00044D54" w:rsidRDefault="00044D54" w:rsidP="007C3863">
      <w:pPr>
        <w:spacing w:afterLines="50" w:after="120"/>
        <w:jc w:val="both"/>
        <w:rPr>
          <w:rFonts w:eastAsia="ＭＳ 明朝"/>
          <w:b/>
          <w:sz w:val="22"/>
          <w:u w:val="single"/>
          <w:lang w:val="en-US"/>
        </w:rPr>
      </w:pPr>
      <w:r w:rsidRPr="00044D54">
        <w:rPr>
          <w:rFonts w:eastAsia="ＭＳ 明朝"/>
          <w:b/>
          <w:sz w:val="22"/>
          <w:u w:val="single"/>
          <w:lang w:val="en-US"/>
        </w:rPr>
        <w:t>Proposals:</w:t>
      </w:r>
    </w:p>
    <w:p w14:paraId="03FC3BDF" w14:textId="307B16E5" w:rsidR="00044D54" w:rsidRDefault="00044D54" w:rsidP="00044D54">
      <w:pPr>
        <w:pStyle w:val="afc"/>
        <w:numPr>
          <w:ilvl w:val="0"/>
          <w:numId w:val="44"/>
        </w:numPr>
        <w:spacing w:afterLines="50" w:after="120"/>
        <w:ind w:leftChars="0"/>
        <w:jc w:val="both"/>
        <w:rPr>
          <w:rFonts w:eastAsia="ＭＳ 明朝"/>
          <w:i/>
          <w:sz w:val="22"/>
          <w:lang w:val="en-US"/>
        </w:rPr>
      </w:pPr>
      <w:r w:rsidRPr="00044D54">
        <w:rPr>
          <w:rFonts w:eastAsia="ＭＳ 明朝" w:hint="eastAsia"/>
          <w:i/>
          <w:sz w:val="22"/>
          <w:lang w:val="en-US"/>
        </w:rPr>
        <w:t xml:space="preserve">Strive for supporting </w:t>
      </w:r>
      <w:r w:rsidRPr="00044D54">
        <w:rPr>
          <w:rFonts w:eastAsia="ＭＳ 明朝"/>
          <w:i/>
          <w:sz w:val="22"/>
          <w:lang w:val="en-US"/>
        </w:rPr>
        <w:t xml:space="preserve">common mechanism for (1) </w:t>
      </w:r>
      <w:r w:rsidRPr="00044D54">
        <w:rPr>
          <w:rFonts w:eastAsia="ＭＳ 明朝" w:hint="eastAsia"/>
          <w:i/>
          <w:sz w:val="22"/>
          <w:lang w:val="en-US"/>
        </w:rPr>
        <w:t>semi-static resource reservation</w:t>
      </w:r>
      <w:r w:rsidRPr="00044D54">
        <w:rPr>
          <w:rFonts w:eastAsia="ＭＳ 明朝"/>
          <w:i/>
          <w:sz w:val="22"/>
          <w:lang w:val="en-US"/>
        </w:rPr>
        <w:t>, (2) ‘unknown resources’</w:t>
      </w:r>
      <w:r w:rsidRPr="00044D54">
        <w:rPr>
          <w:rFonts w:eastAsia="ＭＳ 明朝" w:hint="eastAsia"/>
          <w:i/>
          <w:sz w:val="22"/>
          <w:lang w:val="en-US"/>
        </w:rPr>
        <w:t xml:space="preserve"> </w:t>
      </w:r>
      <w:r w:rsidRPr="00044D54">
        <w:rPr>
          <w:rFonts w:eastAsia="ＭＳ 明朝"/>
          <w:i/>
          <w:sz w:val="22"/>
          <w:lang w:val="en-US"/>
        </w:rPr>
        <w:t>configured by semi-static configuration, and (3) ‘unknown resources’ indicated by SFI.</w:t>
      </w:r>
    </w:p>
    <w:p w14:paraId="7D2A2821" w14:textId="59D7BC02" w:rsidR="001566C2" w:rsidRDefault="001566C2" w:rsidP="001566C2">
      <w:pPr>
        <w:pStyle w:val="afc"/>
        <w:numPr>
          <w:ilvl w:val="1"/>
          <w:numId w:val="44"/>
        </w:numPr>
        <w:spacing w:afterLines="50" w:after="120"/>
        <w:ind w:leftChars="0"/>
        <w:jc w:val="both"/>
        <w:rPr>
          <w:rFonts w:eastAsia="ＭＳ 明朝"/>
          <w:i/>
          <w:sz w:val="22"/>
          <w:lang w:val="en-US"/>
        </w:rPr>
      </w:pPr>
      <w:r>
        <w:rPr>
          <w:rFonts w:eastAsia="ＭＳ 明朝"/>
          <w:i/>
          <w:sz w:val="22"/>
          <w:lang w:val="en-US"/>
        </w:rPr>
        <w:t>The configuration/indication of ‘reserved/unknown resources’ can be at least PRB-level granularity in frequency-domain.</w:t>
      </w:r>
    </w:p>
    <w:p w14:paraId="4794DC3A" w14:textId="287E5274" w:rsidR="001566C2" w:rsidRPr="00044D54" w:rsidRDefault="001566C2" w:rsidP="001566C2">
      <w:pPr>
        <w:pStyle w:val="afc"/>
        <w:numPr>
          <w:ilvl w:val="1"/>
          <w:numId w:val="44"/>
        </w:numPr>
        <w:spacing w:afterLines="50" w:after="120"/>
        <w:ind w:leftChars="0"/>
        <w:jc w:val="both"/>
        <w:rPr>
          <w:rFonts w:eastAsia="ＭＳ 明朝"/>
          <w:i/>
          <w:sz w:val="22"/>
          <w:lang w:val="en-US"/>
        </w:rPr>
      </w:pPr>
      <w:r>
        <w:rPr>
          <w:rFonts w:eastAsia="ＭＳ 明朝"/>
          <w:i/>
          <w:sz w:val="22"/>
          <w:lang w:val="en-US"/>
        </w:rPr>
        <w:t>The configuration/indication of ‘reserved/unknown resources’ can be symbol</w:t>
      </w:r>
      <w:r w:rsidR="006C5AA8">
        <w:rPr>
          <w:rFonts w:eastAsia="ＭＳ 明朝"/>
          <w:i/>
          <w:sz w:val="22"/>
          <w:lang w:val="en-US"/>
        </w:rPr>
        <w:t>/slot</w:t>
      </w:r>
      <w:r>
        <w:rPr>
          <w:rFonts w:eastAsia="ＭＳ 明朝"/>
          <w:i/>
          <w:sz w:val="22"/>
          <w:lang w:val="en-US"/>
        </w:rPr>
        <w:t>-level granularity in time-domain.</w:t>
      </w:r>
    </w:p>
    <w:p w14:paraId="490A37AC" w14:textId="4B3225A3" w:rsidR="001566C2" w:rsidRPr="001566C2" w:rsidRDefault="001566C2" w:rsidP="001566C2">
      <w:pPr>
        <w:pStyle w:val="afc"/>
        <w:numPr>
          <w:ilvl w:val="1"/>
          <w:numId w:val="44"/>
        </w:numPr>
        <w:spacing w:afterLines="50" w:after="120"/>
        <w:ind w:leftChars="0"/>
        <w:jc w:val="both"/>
        <w:rPr>
          <w:rFonts w:eastAsia="ＭＳ 明朝"/>
          <w:i/>
          <w:sz w:val="22"/>
          <w:lang w:val="en-US"/>
        </w:rPr>
      </w:pPr>
      <w:r>
        <w:rPr>
          <w:rFonts w:eastAsia="ＭＳ 明朝"/>
          <w:i/>
          <w:sz w:val="22"/>
          <w:lang w:val="en-US"/>
        </w:rPr>
        <w:t xml:space="preserve">Note: this implies that RRC configuration of ‘unknown’ and </w:t>
      </w:r>
      <w:r w:rsidR="00044D54" w:rsidRPr="00044D54">
        <w:rPr>
          <w:rFonts w:eastAsia="ＭＳ 明朝"/>
          <w:i/>
          <w:sz w:val="22"/>
          <w:lang w:val="en-US"/>
        </w:rPr>
        <w:t>SFI indication of ‘unknown’ can be part of the frequency resource in the given symbol(s)/slot(s).</w:t>
      </w:r>
    </w:p>
    <w:bookmarkEnd w:id="7"/>
    <w:p w14:paraId="0E506A8C" w14:textId="77777777" w:rsidR="00980B7F" w:rsidRPr="00980B7F" w:rsidRDefault="00980B7F" w:rsidP="00646647">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5235BFD8" w14:textId="68DC5413" w:rsidR="00044D54" w:rsidRPr="00044D54" w:rsidRDefault="00044D54" w:rsidP="00067A34">
      <w:pPr>
        <w:spacing w:afterLines="50" w:after="120"/>
        <w:jc w:val="both"/>
        <w:rPr>
          <w:rFonts w:eastAsia="ＭＳ 明朝"/>
          <w:sz w:val="22"/>
          <w:lang w:val="en-US"/>
        </w:rPr>
      </w:pPr>
      <w:r w:rsidRPr="00044D54">
        <w:rPr>
          <w:rFonts w:eastAsia="ＭＳ 明朝" w:hint="eastAsia"/>
          <w:sz w:val="22"/>
          <w:lang w:val="en-US"/>
        </w:rPr>
        <w:t xml:space="preserve">In this contribution, we discussed the </w:t>
      </w:r>
      <w:r w:rsidRPr="00044D54">
        <w:rPr>
          <w:rFonts w:eastAsia="ＭＳ 明朝"/>
          <w:sz w:val="22"/>
          <w:lang w:val="en-US"/>
        </w:rPr>
        <w:t xml:space="preserve">semi-static resource reservation and made following proposal: </w:t>
      </w:r>
    </w:p>
    <w:p w14:paraId="4A56651F" w14:textId="77777777" w:rsidR="001566C2" w:rsidRPr="00044D54" w:rsidRDefault="001566C2" w:rsidP="001566C2">
      <w:pPr>
        <w:spacing w:afterLines="50" w:after="120"/>
        <w:jc w:val="both"/>
        <w:rPr>
          <w:rFonts w:eastAsia="ＭＳ 明朝"/>
          <w:b/>
          <w:sz w:val="22"/>
          <w:u w:val="single"/>
          <w:lang w:val="en-US"/>
        </w:rPr>
      </w:pPr>
      <w:r w:rsidRPr="00044D54">
        <w:rPr>
          <w:rFonts w:eastAsia="ＭＳ 明朝"/>
          <w:b/>
          <w:sz w:val="22"/>
          <w:u w:val="single"/>
          <w:lang w:val="en-US"/>
        </w:rPr>
        <w:t>Proposals:</w:t>
      </w:r>
    </w:p>
    <w:p w14:paraId="6F723F15" w14:textId="77777777" w:rsidR="001566C2" w:rsidRDefault="001566C2" w:rsidP="001566C2">
      <w:pPr>
        <w:pStyle w:val="afc"/>
        <w:numPr>
          <w:ilvl w:val="0"/>
          <w:numId w:val="44"/>
        </w:numPr>
        <w:spacing w:afterLines="50" w:after="120"/>
        <w:ind w:leftChars="0"/>
        <w:jc w:val="both"/>
        <w:rPr>
          <w:rFonts w:eastAsia="ＭＳ 明朝"/>
          <w:i/>
          <w:sz w:val="22"/>
          <w:lang w:val="en-US"/>
        </w:rPr>
      </w:pPr>
      <w:r w:rsidRPr="00044D54">
        <w:rPr>
          <w:rFonts w:eastAsia="ＭＳ 明朝" w:hint="eastAsia"/>
          <w:i/>
          <w:sz w:val="22"/>
          <w:lang w:val="en-US"/>
        </w:rPr>
        <w:t xml:space="preserve">Strive for supporting </w:t>
      </w:r>
      <w:r w:rsidRPr="00044D54">
        <w:rPr>
          <w:rFonts w:eastAsia="ＭＳ 明朝"/>
          <w:i/>
          <w:sz w:val="22"/>
          <w:lang w:val="en-US"/>
        </w:rPr>
        <w:t xml:space="preserve">common mechanism for (1) </w:t>
      </w:r>
      <w:r w:rsidRPr="00044D54">
        <w:rPr>
          <w:rFonts w:eastAsia="ＭＳ 明朝" w:hint="eastAsia"/>
          <w:i/>
          <w:sz w:val="22"/>
          <w:lang w:val="en-US"/>
        </w:rPr>
        <w:t>semi-static resource reservation</w:t>
      </w:r>
      <w:r w:rsidRPr="00044D54">
        <w:rPr>
          <w:rFonts w:eastAsia="ＭＳ 明朝"/>
          <w:i/>
          <w:sz w:val="22"/>
          <w:lang w:val="en-US"/>
        </w:rPr>
        <w:t>, (2) ‘unknown resources’</w:t>
      </w:r>
      <w:r w:rsidRPr="00044D54">
        <w:rPr>
          <w:rFonts w:eastAsia="ＭＳ 明朝" w:hint="eastAsia"/>
          <w:i/>
          <w:sz w:val="22"/>
          <w:lang w:val="en-US"/>
        </w:rPr>
        <w:t xml:space="preserve"> </w:t>
      </w:r>
      <w:r w:rsidRPr="00044D54">
        <w:rPr>
          <w:rFonts w:eastAsia="ＭＳ 明朝"/>
          <w:i/>
          <w:sz w:val="22"/>
          <w:lang w:val="en-US"/>
        </w:rPr>
        <w:t>configured by semi-static configuration, and (3) ‘unknown resources’ indicated by SFI.</w:t>
      </w:r>
    </w:p>
    <w:p w14:paraId="0CEB0D41" w14:textId="77777777" w:rsidR="001566C2" w:rsidRDefault="001566C2" w:rsidP="001566C2">
      <w:pPr>
        <w:pStyle w:val="afc"/>
        <w:numPr>
          <w:ilvl w:val="1"/>
          <w:numId w:val="44"/>
        </w:numPr>
        <w:spacing w:afterLines="50" w:after="120"/>
        <w:ind w:leftChars="0"/>
        <w:jc w:val="both"/>
        <w:rPr>
          <w:rFonts w:eastAsia="ＭＳ 明朝"/>
          <w:i/>
          <w:sz w:val="22"/>
          <w:lang w:val="en-US"/>
        </w:rPr>
      </w:pPr>
      <w:r>
        <w:rPr>
          <w:rFonts w:eastAsia="ＭＳ 明朝"/>
          <w:i/>
          <w:sz w:val="22"/>
          <w:lang w:val="en-US"/>
        </w:rPr>
        <w:lastRenderedPageBreak/>
        <w:t>The configuration/indication of ‘reserved/unknown resources’ can be at least PRB-level granularity in frequency-domain.</w:t>
      </w:r>
    </w:p>
    <w:p w14:paraId="30683D92" w14:textId="55C99D94" w:rsidR="001566C2" w:rsidRPr="00044D54" w:rsidRDefault="001566C2" w:rsidP="001566C2">
      <w:pPr>
        <w:pStyle w:val="afc"/>
        <w:numPr>
          <w:ilvl w:val="1"/>
          <w:numId w:val="44"/>
        </w:numPr>
        <w:spacing w:afterLines="50" w:after="120"/>
        <w:ind w:leftChars="0"/>
        <w:jc w:val="both"/>
        <w:rPr>
          <w:rFonts w:eastAsia="ＭＳ 明朝"/>
          <w:i/>
          <w:sz w:val="22"/>
          <w:lang w:val="en-US"/>
        </w:rPr>
      </w:pPr>
      <w:r>
        <w:rPr>
          <w:rFonts w:eastAsia="ＭＳ 明朝"/>
          <w:i/>
          <w:sz w:val="22"/>
          <w:lang w:val="en-US"/>
        </w:rPr>
        <w:t>The configuration/indication of ‘reserved/unknown resources’ can be symbol</w:t>
      </w:r>
      <w:r w:rsidR="006C5AA8">
        <w:rPr>
          <w:rFonts w:eastAsia="ＭＳ 明朝"/>
          <w:i/>
          <w:sz w:val="22"/>
          <w:lang w:val="en-US"/>
        </w:rPr>
        <w:t>/slot</w:t>
      </w:r>
      <w:bookmarkStart w:id="8" w:name="_GoBack"/>
      <w:bookmarkEnd w:id="8"/>
      <w:r>
        <w:rPr>
          <w:rFonts w:eastAsia="ＭＳ 明朝"/>
          <w:i/>
          <w:sz w:val="22"/>
          <w:lang w:val="en-US"/>
        </w:rPr>
        <w:t>-level granularity in time-domain.</w:t>
      </w:r>
    </w:p>
    <w:p w14:paraId="2A0EE467" w14:textId="77777777" w:rsidR="001566C2" w:rsidRPr="001566C2" w:rsidRDefault="001566C2" w:rsidP="001566C2">
      <w:pPr>
        <w:pStyle w:val="afc"/>
        <w:numPr>
          <w:ilvl w:val="1"/>
          <w:numId w:val="44"/>
        </w:numPr>
        <w:spacing w:afterLines="50" w:after="120"/>
        <w:ind w:leftChars="0"/>
        <w:jc w:val="both"/>
        <w:rPr>
          <w:rFonts w:eastAsia="ＭＳ 明朝"/>
          <w:i/>
          <w:sz w:val="22"/>
          <w:lang w:val="en-US"/>
        </w:rPr>
      </w:pPr>
      <w:r>
        <w:rPr>
          <w:rFonts w:eastAsia="ＭＳ 明朝"/>
          <w:i/>
          <w:sz w:val="22"/>
          <w:lang w:val="en-US"/>
        </w:rPr>
        <w:t xml:space="preserve">Note: this implies that RRC configuration of ‘unknown’ and </w:t>
      </w:r>
      <w:r w:rsidRPr="00044D54">
        <w:rPr>
          <w:rFonts w:eastAsia="ＭＳ 明朝"/>
          <w:i/>
          <w:sz w:val="22"/>
          <w:lang w:val="en-US"/>
        </w:rPr>
        <w:t>SFI indication of ‘unknown’ can be part of the frequency resource in the given symbol(s)/slot(s).</w:t>
      </w:r>
    </w:p>
    <w:p w14:paraId="46D73263" w14:textId="77777777" w:rsidR="00A06DD8" w:rsidRPr="001566C2" w:rsidRDefault="00A06DD8" w:rsidP="00D5166A">
      <w:pPr>
        <w:spacing w:after="120"/>
        <w:jc w:val="both"/>
        <w:rPr>
          <w:sz w:val="22"/>
          <w:szCs w:val="24"/>
          <w:u w:val="single"/>
          <w:lang w:val="en-US"/>
        </w:rPr>
      </w:pPr>
    </w:p>
    <w:p w14:paraId="5750A1AF" w14:textId="77777777" w:rsidR="00340EC9" w:rsidRPr="00DB2EBD" w:rsidRDefault="00340EC9" w:rsidP="00340EC9">
      <w:pPr>
        <w:widowControl w:val="0"/>
        <w:spacing w:after="120"/>
        <w:jc w:val="both"/>
        <w:rPr>
          <w:sz w:val="22"/>
          <w:szCs w:val="22"/>
          <w:lang w:val="en-US"/>
        </w:rPr>
      </w:pPr>
    </w:p>
    <w:p w14:paraId="76B895CA" w14:textId="77777777" w:rsidR="00340EC9" w:rsidRPr="00340EC9" w:rsidRDefault="00340EC9" w:rsidP="00340EC9">
      <w:pPr>
        <w:widowControl w:val="0"/>
        <w:spacing w:after="120"/>
        <w:jc w:val="both"/>
        <w:rPr>
          <w:sz w:val="22"/>
          <w:szCs w:val="22"/>
          <w:lang w:val="en-US"/>
        </w:rPr>
      </w:pPr>
    </w:p>
    <w:p w14:paraId="2F28F2B2" w14:textId="3624D598" w:rsidR="00B95814" w:rsidRPr="00340EC9" w:rsidRDefault="00B95814" w:rsidP="00B17DE2">
      <w:pPr>
        <w:widowControl w:val="0"/>
        <w:spacing w:after="120"/>
        <w:jc w:val="both"/>
        <w:rPr>
          <w:sz w:val="22"/>
          <w:szCs w:val="22"/>
          <w:lang w:val="en-US"/>
        </w:rPr>
      </w:pPr>
    </w:p>
    <w:sectPr w:rsidR="00B95814" w:rsidRPr="00340EC9">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23AD5" w14:textId="77777777" w:rsidR="00CC1F5E" w:rsidRDefault="00CC1F5E">
      <w:r>
        <w:separator/>
      </w:r>
    </w:p>
  </w:endnote>
  <w:endnote w:type="continuationSeparator" w:id="0">
    <w:p w14:paraId="3EE3D080" w14:textId="77777777" w:rsidR="00CC1F5E" w:rsidRDefault="00CC1F5E">
      <w:r>
        <w:continuationSeparator/>
      </w:r>
    </w:p>
  </w:endnote>
  <w:endnote w:type="continuationNotice" w:id="1">
    <w:p w14:paraId="75D17081" w14:textId="77777777" w:rsidR="00CC1F5E" w:rsidRDefault="00CC1F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12D29B04" w:rsidR="00FD729F" w:rsidRPr="00000924" w:rsidRDefault="00FD729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6C5AA8">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6C5AA8">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341A2" w14:textId="77777777" w:rsidR="00CC1F5E" w:rsidRDefault="00CC1F5E">
      <w:r>
        <w:separator/>
      </w:r>
    </w:p>
  </w:footnote>
  <w:footnote w:type="continuationSeparator" w:id="0">
    <w:p w14:paraId="3776ADFB" w14:textId="77777777" w:rsidR="00CC1F5E" w:rsidRDefault="00CC1F5E">
      <w:r>
        <w:continuationSeparator/>
      </w:r>
    </w:p>
  </w:footnote>
  <w:footnote w:type="continuationNotice" w:id="1">
    <w:p w14:paraId="335BF13D" w14:textId="77777777" w:rsidR="00CC1F5E" w:rsidRDefault="00CC1F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8E4C14"/>
    <w:multiLevelType w:val="hybridMultilevel"/>
    <w:tmpl w:val="CFBE528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83C09C7"/>
    <w:multiLevelType w:val="hybridMultilevel"/>
    <w:tmpl w:val="B1302B40"/>
    <w:lvl w:ilvl="0" w:tplc="02108F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B86D10"/>
    <w:multiLevelType w:val="hybridMultilevel"/>
    <w:tmpl w:val="136A2FF4"/>
    <w:lvl w:ilvl="0" w:tplc="8D08D558">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986FA9"/>
    <w:multiLevelType w:val="hybridMultilevel"/>
    <w:tmpl w:val="0FAEDDD4"/>
    <w:lvl w:ilvl="0" w:tplc="96604FF0">
      <w:start w:val="1"/>
      <w:numFmt w:val="bullet"/>
      <w:lvlText w:val="–"/>
      <w:lvlJc w:val="left"/>
      <w:pPr>
        <w:tabs>
          <w:tab w:val="num" w:pos="720"/>
        </w:tabs>
        <w:ind w:left="720" w:hanging="360"/>
      </w:pPr>
      <w:rPr>
        <w:rFonts w:ascii="SimSun" w:hAnsi="SimSun" w:hint="default"/>
      </w:rPr>
    </w:lvl>
    <w:lvl w:ilvl="1" w:tplc="02FE2E6E">
      <w:start w:val="1"/>
      <w:numFmt w:val="bullet"/>
      <w:lvlText w:val="–"/>
      <w:lvlJc w:val="left"/>
      <w:pPr>
        <w:tabs>
          <w:tab w:val="num" w:pos="1440"/>
        </w:tabs>
        <w:ind w:left="1440" w:hanging="360"/>
      </w:pPr>
      <w:rPr>
        <w:rFonts w:ascii="SimSun" w:hAnsi="SimSun" w:hint="default"/>
      </w:rPr>
    </w:lvl>
    <w:lvl w:ilvl="2" w:tplc="816C92E2" w:tentative="1">
      <w:start w:val="1"/>
      <w:numFmt w:val="bullet"/>
      <w:lvlText w:val="–"/>
      <w:lvlJc w:val="left"/>
      <w:pPr>
        <w:tabs>
          <w:tab w:val="num" w:pos="2160"/>
        </w:tabs>
        <w:ind w:left="2160" w:hanging="360"/>
      </w:pPr>
      <w:rPr>
        <w:rFonts w:ascii="SimSun" w:hAnsi="SimSun" w:hint="default"/>
      </w:rPr>
    </w:lvl>
    <w:lvl w:ilvl="3" w:tplc="4F4CB128" w:tentative="1">
      <w:start w:val="1"/>
      <w:numFmt w:val="bullet"/>
      <w:lvlText w:val="–"/>
      <w:lvlJc w:val="left"/>
      <w:pPr>
        <w:tabs>
          <w:tab w:val="num" w:pos="2880"/>
        </w:tabs>
        <w:ind w:left="2880" w:hanging="360"/>
      </w:pPr>
      <w:rPr>
        <w:rFonts w:ascii="SimSun" w:hAnsi="SimSun" w:hint="default"/>
      </w:rPr>
    </w:lvl>
    <w:lvl w:ilvl="4" w:tplc="C0D2AD44" w:tentative="1">
      <w:start w:val="1"/>
      <w:numFmt w:val="bullet"/>
      <w:lvlText w:val="–"/>
      <w:lvlJc w:val="left"/>
      <w:pPr>
        <w:tabs>
          <w:tab w:val="num" w:pos="3600"/>
        </w:tabs>
        <w:ind w:left="3600" w:hanging="360"/>
      </w:pPr>
      <w:rPr>
        <w:rFonts w:ascii="SimSun" w:hAnsi="SimSun" w:hint="default"/>
      </w:rPr>
    </w:lvl>
    <w:lvl w:ilvl="5" w:tplc="774AD8DE" w:tentative="1">
      <w:start w:val="1"/>
      <w:numFmt w:val="bullet"/>
      <w:lvlText w:val="–"/>
      <w:lvlJc w:val="left"/>
      <w:pPr>
        <w:tabs>
          <w:tab w:val="num" w:pos="4320"/>
        </w:tabs>
        <w:ind w:left="4320" w:hanging="360"/>
      </w:pPr>
      <w:rPr>
        <w:rFonts w:ascii="SimSun" w:hAnsi="SimSun" w:hint="default"/>
      </w:rPr>
    </w:lvl>
    <w:lvl w:ilvl="6" w:tplc="37C29680" w:tentative="1">
      <w:start w:val="1"/>
      <w:numFmt w:val="bullet"/>
      <w:lvlText w:val="–"/>
      <w:lvlJc w:val="left"/>
      <w:pPr>
        <w:tabs>
          <w:tab w:val="num" w:pos="5040"/>
        </w:tabs>
        <w:ind w:left="5040" w:hanging="360"/>
      </w:pPr>
      <w:rPr>
        <w:rFonts w:ascii="SimSun" w:hAnsi="SimSun" w:hint="default"/>
      </w:rPr>
    </w:lvl>
    <w:lvl w:ilvl="7" w:tplc="2818708A" w:tentative="1">
      <w:start w:val="1"/>
      <w:numFmt w:val="bullet"/>
      <w:lvlText w:val="–"/>
      <w:lvlJc w:val="left"/>
      <w:pPr>
        <w:tabs>
          <w:tab w:val="num" w:pos="5760"/>
        </w:tabs>
        <w:ind w:left="5760" w:hanging="360"/>
      </w:pPr>
      <w:rPr>
        <w:rFonts w:ascii="SimSun" w:hAnsi="SimSun" w:hint="default"/>
      </w:rPr>
    </w:lvl>
    <w:lvl w:ilvl="8" w:tplc="DBA4E138" w:tentative="1">
      <w:start w:val="1"/>
      <w:numFmt w:val="bullet"/>
      <w:lvlText w:val="–"/>
      <w:lvlJc w:val="left"/>
      <w:pPr>
        <w:tabs>
          <w:tab w:val="num" w:pos="6480"/>
        </w:tabs>
        <w:ind w:left="6480" w:hanging="360"/>
      </w:pPr>
      <w:rPr>
        <w:rFonts w:ascii="SimSun" w:hAnsi="SimSun" w:hint="default"/>
      </w:rPr>
    </w:lvl>
  </w:abstractNum>
  <w:abstractNum w:abstractNumId="22" w15:restartNumberingAfterBreak="0">
    <w:nsid w:val="47A37DF4"/>
    <w:multiLevelType w:val="hybridMultilevel"/>
    <w:tmpl w:val="63CAC0B2"/>
    <w:lvl w:ilvl="0" w:tplc="9E6E890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99E7EFF"/>
    <w:multiLevelType w:val="hybridMultilevel"/>
    <w:tmpl w:val="97C868DC"/>
    <w:lvl w:ilvl="0" w:tplc="66C0562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8726E5"/>
    <w:multiLevelType w:val="hybridMultilevel"/>
    <w:tmpl w:val="C5109AC2"/>
    <w:lvl w:ilvl="0" w:tplc="8F0C52F0">
      <w:start w:val="1"/>
      <w:numFmt w:val="bullet"/>
      <w:lvlText w:val="•"/>
      <w:lvlJc w:val="left"/>
      <w:pPr>
        <w:tabs>
          <w:tab w:val="num" w:pos="720"/>
        </w:tabs>
        <w:ind w:left="720" w:hanging="360"/>
      </w:pPr>
      <w:rPr>
        <w:rFonts w:ascii="Arial" w:hAnsi="Arial" w:hint="default"/>
      </w:rPr>
    </w:lvl>
    <w:lvl w:ilvl="1" w:tplc="2AF8D54E">
      <w:start w:val="4035"/>
      <w:numFmt w:val="bullet"/>
      <w:lvlText w:val="•"/>
      <w:lvlJc w:val="left"/>
      <w:pPr>
        <w:tabs>
          <w:tab w:val="num" w:pos="1440"/>
        </w:tabs>
        <w:ind w:left="1440" w:hanging="360"/>
      </w:pPr>
      <w:rPr>
        <w:rFonts w:ascii="Arial" w:hAnsi="Arial" w:hint="default"/>
      </w:rPr>
    </w:lvl>
    <w:lvl w:ilvl="2" w:tplc="B13A95BA" w:tentative="1">
      <w:start w:val="1"/>
      <w:numFmt w:val="bullet"/>
      <w:lvlText w:val="•"/>
      <w:lvlJc w:val="left"/>
      <w:pPr>
        <w:tabs>
          <w:tab w:val="num" w:pos="2160"/>
        </w:tabs>
        <w:ind w:left="2160" w:hanging="360"/>
      </w:pPr>
      <w:rPr>
        <w:rFonts w:ascii="Arial" w:hAnsi="Arial" w:hint="default"/>
      </w:rPr>
    </w:lvl>
    <w:lvl w:ilvl="3" w:tplc="772A020E" w:tentative="1">
      <w:start w:val="1"/>
      <w:numFmt w:val="bullet"/>
      <w:lvlText w:val="•"/>
      <w:lvlJc w:val="left"/>
      <w:pPr>
        <w:tabs>
          <w:tab w:val="num" w:pos="2880"/>
        </w:tabs>
        <w:ind w:left="2880" w:hanging="360"/>
      </w:pPr>
      <w:rPr>
        <w:rFonts w:ascii="Arial" w:hAnsi="Arial" w:hint="default"/>
      </w:rPr>
    </w:lvl>
    <w:lvl w:ilvl="4" w:tplc="48C29CF6" w:tentative="1">
      <w:start w:val="1"/>
      <w:numFmt w:val="bullet"/>
      <w:lvlText w:val="•"/>
      <w:lvlJc w:val="left"/>
      <w:pPr>
        <w:tabs>
          <w:tab w:val="num" w:pos="3600"/>
        </w:tabs>
        <w:ind w:left="3600" w:hanging="360"/>
      </w:pPr>
      <w:rPr>
        <w:rFonts w:ascii="Arial" w:hAnsi="Arial" w:hint="default"/>
      </w:rPr>
    </w:lvl>
    <w:lvl w:ilvl="5" w:tplc="FE06DEA4" w:tentative="1">
      <w:start w:val="1"/>
      <w:numFmt w:val="bullet"/>
      <w:lvlText w:val="•"/>
      <w:lvlJc w:val="left"/>
      <w:pPr>
        <w:tabs>
          <w:tab w:val="num" w:pos="4320"/>
        </w:tabs>
        <w:ind w:left="4320" w:hanging="360"/>
      </w:pPr>
      <w:rPr>
        <w:rFonts w:ascii="Arial" w:hAnsi="Arial" w:hint="default"/>
      </w:rPr>
    </w:lvl>
    <w:lvl w:ilvl="6" w:tplc="DF8E0354" w:tentative="1">
      <w:start w:val="1"/>
      <w:numFmt w:val="bullet"/>
      <w:lvlText w:val="•"/>
      <w:lvlJc w:val="left"/>
      <w:pPr>
        <w:tabs>
          <w:tab w:val="num" w:pos="5040"/>
        </w:tabs>
        <w:ind w:left="5040" w:hanging="360"/>
      </w:pPr>
      <w:rPr>
        <w:rFonts w:ascii="Arial" w:hAnsi="Arial" w:hint="default"/>
      </w:rPr>
    </w:lvl>
    <w:lvl w:ilvl="7" w:tplc="2A4C2304" w:tentative="1">
      <w:start w:val="1"/>
      <w:numFmt w:val="bullet"/>
      <w:lvlText w:val="•"/>
      <w:lvlJc w:val="left"/>
      <w:pPr>
        <w:tabs>
          <w:tab w:val="num" w:pos="5760"/>
        </w:tabs>
        <w:ind w:left="5760" w:hanging="360"/>
      </w:pPr>
      <w:rPr>
        <w:rFonts w:ascii="Arial" w:hAnsi="Arial" w:hint="default"/>
      </w:rPr>
    </w:lvl>
    <w:lvl w:ilvl="8" w:tplc="A77A709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hint="default"/>
      </w:rPr>
    </w:lvl>
    <w:lvl w:ilvl="1" w:tplc="212284CA">
      <w:start w:val="4012"/>
      <w:numFmt w:val="bullet"/>
      <w:lvlText w:val="–"/>
      <w:lvlJc w:val="left"/>
      <w:pPr>
        <w:tabs>
          <w:tab w:val="num" w:pos="1440"/>
        </w:tabs>
        <w:ind w:left="1440" w:hanging="360"/>
      </w:pPr>
      <w:rPr>
        <w:rFonts w:ascii="Arial" w:hAnsi="Arial" w:hint="default"/>
      </w:rPr>
    </w:lvl>
    <w:lvl w:ilvl="2" w:tplc="C1205DC2">
      <w:start w:val="4012"/>
      <w:numFmt w:val="bullet"/>
      <w:lvlText w:val="•"/>
      <w:lvlJc w:val="left"/>
      <w:pPr>
        <w:tabs>
          <w:tab w:val="num" w:pos="2160"/>
        </w:tabs>
        <w:ind w:left="2160" w:hanging="360"/>
      </w:pPr>
      <w:rPr>
        <w:rFonts w:ascii="Arial" w:hAnsi="Arial" w:hint="default"/>
      </w:rPr>
    </w:lvl>
    <w:lvl w:ilvl="3" w:tplc="4E7A10DA" w:tentative="1">
      <w:start w:val="1"/>
      <w:numFmt w:val="bullet"/>
      <w:lvlText w:val="•"/>
      <w:lvlJc w:val="left"/>
      <w:pPr>
        <w:tabs>
          <w:tab w:val="num" w:pos="2880"/>
        </w:tabs>
        <w:ind w:left="2880" w:hanging="360"/>
      </w:pPr>
      <w:rPr>
        <w:rFonts w:ascii="Arial" w:hAnsi="Arial" w:hint="default"/>
      </w:rPr>
    </w:lvl>
    <w:lvl w:ilvl="4" w:tplc="BA7E19AA" w:tentative="1">
      <w:start w:val="1"/>
      <w:numFmt w:val="bullet"/>
      <w:lvlText w:val="•"/>
      <w:lvlJc w:val="left"/>
      <w:pPr>
        <w:tabs>
          <w:tab w:val="num" w:pos="3600"/>
        </w:tabs>
        <w:ind w:left="3600" w:hanging="360"/>
      </w:pPr>
      <w:rPr>
        <w:rFonts w:ascii="Arial" w:hAnsi="Arial" w:hint="default"/>
      </w:rPr>
    </w:lvl>
    <w:lvl w:ilvl="5" w:tplc="DFD45396" w:tentative="1">
      <w:start w:val="1"/>
      <w:numFmt w:val="bullet"/>
      <w:lvlText w:val="•"/>
      <w:lvlJc w:val="left"/>
      <w:pPr>
        <w:tabs>
          <w:tab w:val="num" w:pos="4320"/>
        </w:tabs>
        <w:ind w:left="4320" w:hanging="360"/>
      </w:pPr>
      <w:rPr>
        <w:rFonts w:ascii="Arial" w:hAnsi="Arial" w:hint="default"/>
      </w:rPr>
    </w:lvl>
    <w:lvl w:ilvl="6" w:tplc="287A2F0C" w:tentative="1">
      <w:start w:val="1"/>
      <w:numFmt w:val="bullet"/>
      <w:lvlText w:val="•"/>
      <w:lvlJc w:val="left"/>
      <w:pPr>
        <w:tabs>
          <w:tab w:val="num" w:pos="5040"/>
        </w:tabs>
        <w:ind w:left="5040" w:hanging="360"/>
      </w:pPr>
      <w:rPr>
        <w:rFonts w:ascii="Arial" w:hAnsi="Arial" w:hint="default"/>
      </w:rPr>
    </w:lvl>
    <w:lvl w:ilvl="7" w:tplc="4CA6048C" w:tentative="1">
      <w:start w:val="1"/>
      <w:numFmt w:val="bullet"/>
      <w:lvlText w:val="•"/>
      <w:lvlJc w:val="left"/>
      <w:pPr>
        <w:tabs>
          <w:tab w:val="num" w:pos="5760"/>
        </w:tabs>
        <w:ind w:left="5760" w:hanging="360"/>
      </w:pPr>
      <w:rPr>
        <w:rFonts w:ascii="Arial" w:hAnsi="Arial" w:hint="default"/>
      </w:rPr>
    </w:lvl>
    <w:lvl w:ilvl="8" w:tplc="BE962D3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015A3F"/>
    <w:multiLevelType w:val="multilevel"/>
    <w:tmpl w:val="8D624BBE"/>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613D345B"/>
    <w:multiLevelType w:val="hybridMultilevel"/>
    <w:tmpl w:val="2A7407FE"/>
    <w:lvl w:ilvl="0" w:tplc="0B32D0A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50E15EC"/>
    <w:multiLevelType w:val="hybridMultilevel"/>
    <w:tmpl w:val="86969B2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04144E"/>
    <w:multiLevelType w:val="hybridMultilevel"/>
    <w:tmpl w:val="3654BE4C"/>
    <w:lvl w:ilvl="0" w:tplc="F47011B8">
      <w:start w:val="1"/>
      <w:numFmt w:val="bullet"/>
      <w:lvlText w:val="–"/>
      <w:lvlJc w:val="left"/>
      <w:pPr>
        <w:tabs>
          <w:tab w:val="num" w:pos="360"/>
        </w:tabs>
        <w:ind w:left="360" w:hanging="360"/>
      </w:pPr>
      <w:rPr>
        <w:rFonts w:ascii="ＭＳ Ｐゴシック" w:hAnsi="ＭＳ Ｐゴシック" w:hint="default"/>
      </w:rPr>
    </w:lvl>
    <w:lvl w:ilvl="1" w:tplc="2B82804E">
      <w:start w:val="1"/>
      <w:numFmt w:val="bullet"/>
      <w:lvlText w:val="–"/>
      <w:lvlJc w:val="left"/>
      <w:pPr>
        <w:tabs>
          <w:tab w:val="num" w:pos="1080"/>
        </w:tabs>
        <w:ind w:left="1080" w:hanging="360"/>
      </w:pPr>
      <w:rPr>
        <w:rFonts w:ascii="ＭＳ Ｐゴシック" w:hAnsi="ＭＳ Ｐゴシック" w:hint="default"/>
      </w:rPr>
    </w:lvl>
    <w:lvl w:ilvl="2" w:tplc="A862473C">
      <w:start w:val="1934"/>
      <w:numFmt w:val="bullet"/>
      <w:lvlText w:val="•"/>
      <w:lvlJc w:val="left"/>
      <w:pPr>
        <w:tabs>
          <w:tab w:val="num" w:pos="1800"/>
        </w:tabs>
        <w:ind w:left="1800" w:hanging="360"/>
      </w:pPr>
      <w:rPr>
        <w:rFonts w:ascii="ＭＳ Ｐゴシック" w:hAnsi="ＭＳ Ｐゴシック" w:hint="default"/>
      </w:rPr>
    </w:lvl>
    <w:lvl w:ilvl="3" w:tplc="497CA8A6">
      <w:start w:val="1934"/>
      <w:numFmt w:val="bullet"/>
      <w:lvlText w:val="–"/>
      <w:lvlJc w:val="left"/>
      <w:pPr>
        <w:tabs>
          <w:tab w:val="num" w:pos="2520"/>
        </w:tabs>
        <w:ind w:left="2520" w:hanging="360"/>
      </w:pPr>
      <w:rPr>
        <w:rFonts w:ascii="ＭＳ Ｐゴシック" w:hAnsi="ＭＳ Ｐゴシック" w:hint="default"/>
      </w:rPr>
    </w:lvl>
    <w:lvl w:ilvl="4" w:tplc="5B5EAB26" w:tentative="1">
      <w:start w:val="1"/>
      <w:numFmt w:val="bullet"/>
      <w:lvlText w:val="–"/>
      <w:lvlJc w:val="left"/>
      <w:pPr>
        <w:tabs>
          <w:tab w:val="num" w:pos="3240"/>
        </w:tabs>
        <w:ind w:left="3240" w:hanging="360"/>
      </w:pPr>
      <w:rPr>
        <w:rFonts w:ascii="ＭＳ Ｐゴシック" w:hAnsi="ＭＳ Ｐゴシック" w:hint="default"/>
      </w:rPr>
    </w:lvl>
    <w:lvl w:ilvl="5" w:tplc="49F49692" w:tentative="1">
      <w:start w:val="1"/>
      <w:numFmt w:val="bullet"/>
      <w:lvlText w:val="–"/>
      <w:lvlJc w:val="left"/>
      <w:pPr>
        <w:tabs>
          <w:tab w:val="num" w:pos="3960"/>
        </w:tabs>
        <w:ind w:left="3960" w:hanging="360"/>
      </w:pPr>
      <w:rPr>
        <w:rFonts w:ascii="ＭＳ Ｐゴシック" w:hAnsi="ＭＳ Ｐゴシック" w:hint="default"/>
      </w:rPr>
    </w:lvl>
    <w:lvl w:ilvl="6" w:tplc="F040654E" w:tentative="1">
      <w:start w:val="1"/>
      <w:numFmt w:val="bullet"/>
      <w:lvlText w:val="–"/>
      <w:lvlJc w:val="left"/>
      <w:pPr>
        <w:tabs>
          <w:tab w:val="num" w:pos="4680"/>
        </w:tabs>
        <w:ind w:left="4680" w:hanging="360"/>
      </w:pPr>
      <w:rPr>
        <w:rFonts w:ascii="ＭＳ Ｐゴシック" w:hAnsi="ＭＳ Ｐゴシック" w:hint="default"/>
      </w:rPr>
    </w:lvl>
    <w:lvl w:ilvl="7" w:tplc="F4CA95F0" w:tentative="1">
      <w:start w:val="1"/>
      <w:numFmt w:val="bullet"/>
      <w:lvlText w:val="–"/>
      <w:lvlJc w:val="left"/>
      <w:pPr>
        <w:tabs>
          <w:tab w:val="num" w:pos="5400"/>
        </w:tabs>
        <w:ind w:left="5400" w:hanging="360"/>
      </w:pPr>
      <w:rPr>
        <w:rFonts w:ascii="ＭＳ Ｐゴシック" w:hAnsi="ＭＳ Ｐゴシック" w:hint="default"/>
      </w:rPr>
    </w:lvl>
    <w:lvl w:ilvl="8" w:tplc="B07E4078" w:tentative="1">
      <w:start w:val="1"/>
      <w:numFmt w:val="bullet"/>
      <w:lvlText w:val="–"/>
      <w:lvlJc w:val="left"/>
      <w:pPr>
        <w:tabs>
          <w:tab w:val="num" w:pos="6120"/>
        </w:tabs>
        <w:ind w:left="6120" w:hanging="360"/>
      </w:pPr>
      <w:rPr>
        <w:rFonts w:ascii="ＭＳ Ｐゴシック" w:hAnsi="ＭＳ Ｐゴシック" w:hint="default"/>
      </w:rPr>
    </w:lvl>
  </w:abstractNum>
  <w:num w:numId="1">
    <w:abstractNumId w:val="0"/>
  </w:num>
  <w:num w:numId="2">
    <w:abstractNumId w:val="36"/>
  </w:num>
  <w:num w:numId="3">
    <w:abstractNumId w:val="19"/>
  </w:num>
  <w:num w:numId="4">
    <w:abstractNumId w:val="14"/>
  </w:num>
  <w:num w:numId="5">
    <w:abstractNumId w:val="42"/>
  </w:num>
  <w:num w:numId="6">
    <w:abstractNumId w:val="32"/>
  </w:num>
  <w:num w:numId="7">
    <w:abstractNumId w:val="39"/>
  </w:num>
  <w:num w:numId="8">
    <w:abstractNumId w:val="40"/>
  </w:num>
  <w:num w:numId="9">
    <w:abstractNumId w:val="26"/>
  </w:num>
  <w:num w:numId="10">
    <w:abstractNumId w:val="34"/>
  </w:num>
  <w:num w:numId="11">
    <w:abstractNumId w:val="11"/>
  </w:num>
  <w:num w:numId="12">
    <w:abstractNumId w:val="31"/>
  </w:num>
  <w:num w:numId="13">
    <w:abstractNumId w:val="8"/>
  </w:num>
  <w:num w:numId="14">
    <w:abstractNumId w:val="2"/>
  </w:num>
  <w:num w:numId="15">
    <w:abstractNumId w:val="12"/>
  </w:num>
  <w:num w:numId="16">
    <w:abstractNumId w:val="41"/>
  </w:num>
  <w:num w:numId="17">
    <w:abstractNumId w:val="5"/>
  </w:num>
  <w:num w:numId="18">
    <w:abstractNumId w:val="1"/>
  </w:num>
  <w:num w:numId="19">
    <w:abstractNumId w:val="35"/>
  </w:num>
  <w:num w:numId="20">
    <w:abstractNumId w:val="10"/>
  </w:num>
  <w:num w:numId="21">
    <w:abstractNumId w:val="25"/>
  </w:num>
  <w:num w:numId="22">
    <w:abstractNumId w:val="15"/>
  </w:num>
  <w:num w:numId="23">
    <w:abstractNumId w:val="16"/>
  </w:num>
  <w:num w:numId="24">
    <w:abstractNumId w:val="20"/>
  </w:num>
  <w:num w:numId="25">
    <w:abstractNumId w:val="9"/>
  </w:num>
  <w:num w:numId="26">
    <w:abstractNumId w:val="23"/>
  </w:num>
  <w:num w:numId="27">
    <w:abstractNumId w:val="18"/>
  </w:num>
  <w:num w:numId="28">
    <w:abstractNumId w:val="27"/>
  </w:num>
  <w:num w:numId="29">
    <w:abstractNumId w:val="29"/>
  </w:num>
  <w:num w:numId="30">
    <w:abstractNumId w:val="7"/>
  </w:num>
  <w:num w:numId="31">
    <w:abstractNumId w:val="3"/>
  </w:num>
  <w:num w:numId="32">
    <w:abstractNumId w:val="4"/>
  </w:num>
  <w:num w:numId="33">
    <w:abstractNumId w:val="21"/>
  </w:num>
  <w:num w:numId="34">
    <w:abstractNumId w:val="24"/>
  </w:num>
  <w:num w:numId="35">
    <w:abstractNumId w:val="33"/>
  </w:num>
  <w:num w:numId="36">
    <w:abstractNumId w:val="30"/>
  </w:num>
  <w:num w:numId="37">
    <w:abstractNumId w:val="22"/>
  </w:num>
  <w:num w:numId="38">
    <w:abstractNumId w:val="17"/>
  </w:num>
  <w:num w:numId="39">
    <w:abstractNumId w:val="43"/>
  </w:num>
  <w:num w:numId="40">
    <w:abstractNumId w:val="6"/>
  </w:num>
  <w:num w:numId="41">
    <w:abstractNumId w:val="38"/>
  </w:num>
  <w:num w:numId="42">
    <w:abstractNumId w:val="28"/>
  </w:num>
  <w:num w:numId="43">
    <w:abstractNumId w:val="13"/>
  </w:num>
  <w:num w:numId="44">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4D2E"/>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4D54"/>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2B0"/>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34"/>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24D"/>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6C0"/>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20C"/>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6C2"/>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11F"/>
    <w:rsid w:val="001912DD"/>
    <w:rsid w:val="001914D1"/>
    <w:rsid w:val="00191569"/>
    <w:rsid w:val="00191698"/>
    <w:rsid w:val="00191E78"/>
    <w:rsid w:val="0019222C"/>
    <w:rsid w:val="001923ED"/>
    <w:rsid w:val="001925DC"/>
    <w:rsid w:val="001925F1"/>
    <w:rsid w:val="00192681"/>
    <w:rsid w:val="0019276B"/>
    <w:rsid w:val="00192850"/>
    <w:rsid w:val="00192CDE"/>
    <w:rsid w:val="0019317A"/>
    <w:rsid w:val="001935CB"/>
    <w:rsid w:val="00193690"/>
    <w:rsid w:val="00193B72"/>
    <w:rsid w:val="00193DA9"/>
    <w:rsid w:val="00193F6F"/>
    <w:rsid w:val="0019489E"/>
    <w:rsid w:val="00194F9B"/>
    <w:rsid w:val="00195253"/>
    <w:rsid w:val="0019533E"/>
    <w:rsid w:val="00195944"/>
    <w:rsid w:val="0019606F"/>
    <w:rsid w:val="001965F0"/>
    <w:rsid w:val="00196D7F"/>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616"/>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1377"/>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97"/>
    <w:rsid w:val="002273D4"/>
    <w:rsid w:val="00227736"/>
    <w:rsid w:val="002279F2"/>
    <w:rsid w:val="00227C51"/>
    <w:rsid w:val="00227FDC"/>
    <w:rsid w:val="0023003F"/>
    <w:rsid w:val="00230FD0"/>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1F"/>
    <w:rsid w:val="00291B85"/>
    <w:rsid w:val="002921E1"/>
    <w:rsid w:val="00292E54"/>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992"/>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B4E"/>
    <w:rsid w:val="003072BE"/>
    <w:rsid w:val="003073D5"/>
    <w:rsid w:val="003075B3"/>
    <w:rsid w:val="00307BCE"/>
    <w:rsid w:val="00310CB5"/>
    <w:rsid w:val="0031179F"/>
    <w:rsid w:val="00311FDA"/>
    <w:rsid w:val="003122E5"/>
    <w:rsid w:val="00312324"/>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7AE"/>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0EC9"/>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68A"/>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8B8"/>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10FF"/>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FC8"/>
    <w:rsid w:val="003B024F"/>
    <w:rsid w:val="003B12DF"/>
    <w:rsid w:val="003B1373"/>
    <w:rsid w:val="003B13AB"/>
    <w:rsid w:val="003B16AD"/>
    <w:rsid w:val="003B1C92"/>
    <w:rsid w:val="003B2223"/>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1B9"/>
    <w:rsid w:val="003C66D0"/>
    <w:rsid w:val="003C72A6"/>
    <w:rsid w:val="003C73CD"/>
    <w:rsid w:val="003C7B58"/>
    <w:rsid w:val="003C7C0F"/>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1F"/>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0E4"/>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D39"/>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14B"/>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4F"/>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DC4"/>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18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89B"/>
    <w:rsid w:val="00591D30"/>
    <w:rsid w:val="005929C5"/>
    <w:rsid w:val="00592ABA"/>
    <w:rsid w:val="00592C48"/>
    <w:rsid w:val="00592D72"/>
    <w:rsid w:val="00593133"/>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400"/>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1F7A"/>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3E8"/>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179"/>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DA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09B"/>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5AA8"/>
    <w:rsid w:val="006C605A"/>
    <w:rsid w:val="006C61AB"/>
    <w:rsid w:val="006C6444"/>
    <w:rsid w:val="006C65B9"/>
    <w:rsid w:val="006C6A3B"/>
    <w:rsid w:val="006C6A7B"/>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A56"/>
    <w:rsid w:val="00744BA2"/>
    <w:rsid w:val="007455DC"/>
    <w:rsid w:val="007457A4"/>
    <w:rsid w:val="0074590F"/>
    <w:rsid w:val="00745EFF"/>
    <w:rsid w:val="007466F1"/>
    <w:rsid w:val="007469C7"/>
    <w:rsid w:val="00746A93"/>
    <w:rsid w:val="00746A9C"/>
    <w:rsid w:val="00746EE5"/>
    <w:rsid w:val="007473CF"/>
    <w:rsid w:val="00747DAD"/>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00F"/>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8E"/>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D5"/>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4FE2"/>
    <w:rsid w:val="008451C6"/>
    <w:rsid w:val="00845502"/>
    <w:rsid w:val="0084562C"/>
    <w:rsid w:val="00845D6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1273"/>
    <w:rsid w:val="0086236F"/>
    <w:rsid w:val="00862B9A"/>
    <w:rsid w:val="00862D31"/>
    <w:rsid w:val="00862F75"/>
    <w:rsid w:val="00863752"/>
    <w:rsid w:val="00863949"/>
    <w:rsid w:val="00864043"/>
    <w:rsid w:val="008657AB"/>
    <w:rsid w:val="00865C05"/>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5A31"/>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81"/>
    <w:rsid w:val="008F0A82"/>
    <w:rsid w:val="008F0D6B"/>
    <w:rsid w:val="008F1196"/>
    <w:rsid w:val="008F12DB"/>
    <w:rsid w:val="008F17E7"/>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17AA"/>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75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9F7"/>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4C3"/>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7C7"/>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49"/>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4DDC"/>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38CF"/>
    <w:rsid w:val="00A9402B"/>
    <w:rsid w:val="00A94263"/>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C1"/>
    <w:rsid w:val="00AE7A62"/>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DD1"/>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DE2"/>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37D"/>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334"/>
    <w:rsid w:val="00B71DC2"/>
    <w:rsid w:val="00B71E8C"/>
    <w:rsid w:val="00B72388"/>
    <w:rsid w:val="00B72602"/>
    <w:rsid w:val="00B727CB"/>
    <w:rsid w:val="00B72D20"/>
    <w:rsid w:val="00B737CC"/>
    <w:rsid w:val="00B73CBB"/>
    <w:rsid w:val="00B73EA1"/>
    <w:rsid w:val="00B73F7A"/>
    <w:rsid w:val="00B74407"/>
    <w:rsid w:val="00B74C0A"/>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573"/>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0F9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6FD"/>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6FD"/>
    <w:rsid w:val="00C66738"/>
    <w:rsid w:val="00C66B54"/>
    <w:rsid w:val="00C6704E"/>
    <w:rsid w:val="00C672AA"/>
    <w:rsid w:val="00C67897"/>
    <w:rsid w:val="00C67955"/>
    <w:rsid w:val="00C705DB"/>
    <w:rsid w:val="00C70BCB"/>
    <w:rsid w:val="00C712ED"/>
    <w:rsid w:val="00C71516"/>
    <w:rsid w:val="00C71908"/>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465"/>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BA0"/>
    <w:rsid w:val="00C93C8E"/>
    <w:rsid w:val="00C948C4"/>
    <w:rsid w:val="00C94A6C"/>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5E"/>
    <w:rsid w:val="00CC2134"/>
    <w:rsid w:val="00CC2421"/>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90"/>
    <w:rsid w:val="00D2217A"/>
    <w:rsid w:val="00D224A1"/>
    <w:rsid w:val="00D22EEC"/>
    <w:rsid w:val="00D22F34"/>
    <w:rsid w:val="00D23406"/>
    <w:rsid w:val="00D2379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5E95"/>
    <w:rsid w:val="00DA6337"/>
    <w:rsid w:val="00DA713C"/>
    <w:rsid w:val="00DA7881"/>
    <w:rsid w:val="00DA78E3"/>
    <w:rsid w:val="00DB038E"/>
    <w:rsid w:val="00DB045D"/>
    <w:rsid w:val="00DB071F"/>
    <w:rsid w:val="00DB1AA5"/>
    <w:rsid w:val="00DB29DA"/>
    <w:rsid w:val="00DB2E15"/>
    <w:rsid w:val="00DB2E69"/>
    <w:rsid w:val="00DB2E8C"/>
    <w:rsid w:val="00DB2EBD"/>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6B6B"/>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3831"/>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5B4"/>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6D50"/>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BC9"/>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4B0"/>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78"/>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AF3"/>
    <w:rsid w:val="00FC5077"/>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4D80"/>
    <w:rsid w:val="00FD51AA"/>
    <w:rsid w:val="00FD5729"/>
    <w:rsid w:val="00FD5D4E"/>
    <w:rsid w:val="00FD5FA4"/>
    <w:rsid w:val="00FD6138"/>
    <w:rsid w:val="00FD6272"/>
    <w:rsid w:val="00FD62FD"/>
    <w:rsid w:val="00FD6463"/>
    <w:rsid w:val="00FD65F6"/>
    <w:rsid w:val="00FD6839"/>
    <w:rsid w:val="00FD722A"/>
    <w:rsid w:val="00FD727A"/>
    <w:rsid w:val="00FD729F"/>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129449">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C3E5D-5324-4ED1-9B26-0D9FCA25A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509</Words>
  <Characters>2902</Characters>
  <Application>Microsoft Office Word</Application>
  <DocSecurity>0</DocSecurity>
  <Lines>24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TAKEDA(r7)</cp:lastModifiedBy>
  <cp:revision>2</cp:revision>
  <cp:lastPrinted>2016-09-21T11:03:00Z</cp:lastPrinted>
  <dcterms:created xsi:type="dcterms:W3CDTF">2017-08-12T04:32:00Z</dcterms:created>
  <dcterms:modified xsi:type="dcterms:W3CDTF">2017-08-12T04:32:00Z</dcterms:modified>
</cp:coreProperties>
</file>