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0C9F1" w14:textId="1C9143F6" w:rsidR="002C692E" w:rsidRPr="00292C8F" w:rsidRDefault="00592DC0" w:rsidP="002C692E">
      <w:pPr>
        <w:pStyle w:val="3GPPHeader"/>
        <w:spacing w:after="60"/>
        <w:rPr>
          <w:sz w:val="32"/>
          <w:szCs w:val="32"/>
        </w:rPr>
      </w:pPr>
      <w:r>
        <w:rPr>
          <w:lang w:val="en-US"/>
        </w:rPr>
        <w:t>3GPP TSG-RAN WG1 Meeting #89</w:t>
      </w:r>
      <w:r w:rsidR="002C692E" w:rsidRPr="00CE0424">
        <w:tab/>
      </w:r>
      <w:r w:rsidR="002C692E" w:rsidRPr="00292C8F">
        <w:rPr>
          <w:sz w:val="32"/>
          <w:szCs w:val="32"/>
        </w:rPr>
        <w:t>R</w:t>
      </w:r>
      <w:r w:rsidR="006C7046" w:rsidRPr="00292C8F">
        <w:rPr>
          <w:sz w:val="32"/>
          <w:szCs w:val="32"/>
        </w:rPr>
        <w:t>1-17</w:t>
      </w:r>
      <w:r w:rsidR="00292C8F" w:rsidRPr="00292C8F">
        <w:rPr>
          <w:sz w:val="32"/>
          <w:szCs w:val="32"/>
        </w:rPr>
        <w:t>08862</w:t>
      </w:r>
    </w:p>
    <w:p w14:paraId="17FFD714" w14:textId="77777777" w:rsidR="00E90E49" w:rsidRDefault="00592DC0" w:rsidP="00357380">
      <w:pPr>
        <w:pStyle w:val="3GPPHeader"/>
      </w:pPr>
      <w:r w:rsidRPr="00592DC0">
        <w:t>Hangzhou, P.R. China, 15th – 19th May 2017</w:t>
      </w:r>
    </w:p>
    <w:p w14:paraId="4CEADA67" w14:textId="77777777" w:rsidR="00592DC0" w:rsidRPr="00CE0424" w:rsidRDefault="00592DC0" w:rsidP="00357380">
      <w:pPr>
        <w:pStyle w:val="3GPPHeader"/>
      </w:pPr>
    </w:p>
    <w:p w14:paraId="68C98DD6" w14:textId="192CDEC0" w:rsidR="00E90E49" w:rsidRPr="007C17F9" w:rsidRDefault="00E90E49" w:rsidP="00311702">
      <w:pPr>
        <w:pStyle w:val="3GPPHeader"/>
        <w:rPr>
          <w:sz w:val="22"/>
          <w:szCs w:val="22"/>
          <w:lang w:val="en-US"/>
        </w:rPr>
      </w:pPr>
      <w:r w:rsidRPr="007C17F9">
        <w:rPr>
          <w:sz w:val="22"/>
          <w:szCs w:val="22"/>
          <w:lang w:val="en-US"/>
        </w:rPr>
        <w:t>Agenda Item:</w:t>
      </w:r>
      <w:r w:rsidRPr="007C17F9">
        <w:rPr>
          <w:sz w:val="22"/>
          <w:szCs w:val="22"/>
          <w:lang w:val="en-US"/>
        </w:rPr>
        <w:tab/>
      </w:r>
      <w:r w:rsidR="00975872" w:rsidRPr="00292C8F">
        <w:rPr>
          <w:sz w:val="22"/>
          <w:szCs w:val="22"/>
          <w:lang w:val="en-US"/>
        </w:rPr>
        <w:t>6</w:t>
      </w:r>
      <w:r w:rsidR="00592DC0" w:rsidRPr="00292C8F">
        <w:rPr>
          <w:sz w:val="22"/>
          <w:szCs w:val="22"/>
          <w:lang w:val="en-US"/>
        </w:rPr>
        <w:t>.2.1.2.2.</w:t>
      </w:r>
      <w:r w:rsidR="00975872" w:rsidRPr="00292C8F">
        <w:rPr>
          <w:sz w:val="22"/>
          <w:szCs w:val="22"/>
          <w:lang w:val="en-US"/>
        </w:rPr>
        <w:t>2</w:t>
      </w:r>
    </w:p>
    <w:p w14:paraId="17534494"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07AA29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805721" w:rsidRPr="00805721">
        <w:rPr>
          <w:sz w:val="22"/>
          <w:szCs w:val="22"/>
        </w:rPr>
        <w:t>Design aspects of sPDCCH</w:t>
      </w:r>
    </w:p>
    <w:p w14:paraId="2BBBE62D" w14:textId="77777777" w:rsidR="00E90E49" w:rsidRPr="00CE0424" w:rsidRDefault="00E90E49" w:rsidP="00D546FF">
      <w:pPr>
        <w:pStyle w:val="3GPPHeader"/>
        <w:rPr>
          <w:sz w:val="22"/>
          <w:szCs w:val="22"/>
        </w:rPr>
      </w:pPr>
      <w:r w:rsidRPr="001B501F">
        <w:rPr>
          <w:sz w:val="22"/>
          <w:szCs w:val="22"/>
        </w:rPr>
        <w:t>Document for:</w:t>
      </w:r>
      <w:r w:rsidRPr="001B501F">
        <w:rPr>
          <w:sz w:val="22"/>
          <w:szCs w:val="22"/>
        </w:rPr>
        <w:tab/>
      </w:r>
      <w:r w:rsidRPr="00FF1171">
        <w:rPr>
          <w:sz w:val="22"/>
          <w:szCs w:val="22"/>
        </w:rPr>
        <w:t>Discussion, Decision</w:t>
      </w:r>
    </w:p>
    <w:p w14:paraId="627A2117" w14:textId="77777777" w:rsidR="00E30225" w:rsidRPr="00CE0424" w:rsidRDefault="00E30225" w:rsidP="00E30225">
      <w:pPr>
        <w:pStyle w:val="Heading1"/>
      </w:pPr>
      <w:r w:rsidRPr="00CE0424">
        <w:t>Introduction</w:t>
      </w:r>
    </w:p>
    <w:p w14:paraId="025459E8" w14:textId="77777777" w:rsidR="000250B3" w:rsidRDefault="00BC79AF" w:rsidP="000250B3">
      <w:pPr>
        <w:pStyle w:val="BodyText"/>
      </w:pPr>
      <w:r>
        <w:t xml:space="preserve">The TR </w:t>
      </w:r>
      <w:r>
        <w:fldChar w:fldCharType="begin"/>
      </w:r>
      <w:r>
        <w:instrText xml:space="preserve"> REF _Ref457986196 \r \h </w:instrText>
      </w:r>
      <w:r>
        <w:fldChar w:fldCharType="separate"/>
      </w:r>
      <w:r>
        <w:t>[1]</w:t>
      </w:r>
      <w:r>
        <w:fldChar w:fldCharType="end"/>
      </w:r>
      <w:r>
        <w:t xml:space="preserve"> has the following conclusions related to sPDCCH:</w:t>
      </w:r>
    </w:p>
    <w:p w14:paraId="7909D7FE" w14:textId="77777777" w:rsidR="00BC79AF" w:rsidRPr="00BC79AF" w:rsidRDefault="00BC79AF" w:rsidP="00BC79AF">
      <w:pPr>
        <w:spacing w:after="0"/>
        <w:ind w:left="567"/>
        <w:rPr>
          <w:i/>
          <w:lang w:val="en-US"/>
        </w:rPr>
      </w:pPr>
      <w:r w:rsidRPr="00BC79AF">
        <w:rPr>
          <w:i/>
          <w:lang w:val="en-US"/>
        </w:rPr>
        <w:t>A specific DL control channel sPDCCH (PDCCH for short TTI) needs to be introduced for short TTI. Each short TTI on DL may contain sPDCCH decoding candidates. From resource utilization perspective, sPDSCH assigned by a sPDCCH can be mapped to resources that are left unused by any sPDCCH. CRS-based sPDCCH is recommended to be supported. DMRS-based sPDCCH is recommended to be supported.</w:t>
      </w:r>
    </w:p>
    <w:p w14:paraId="09B02CC1" w14:textId="77777777" w:rsidR="00BC79AF" w:rsidRDefault="00BC79AF" w:rsidP="00E30225">
      <w:pPr>
        <w:pStyle w:val="BodyText"/>
        <w:rPr>
          <w:lang w:val="en-US"/>
        </w:rPr>
      </w:pPr>
    </w:p>
    <w:p w14:paraId="46B1ADDF" w14:textId="77777777" w:rsidR="00BD35E3" w:rsidRDefault="00BD35E3" w:rsidP="00E30225">
      <w:pPr>
        <w:pStyle w:val="BodyText"/>
        <w:rPr>
          <w:lang w:val="en-US"/>
        </w:rPr>
      </w:pPr>
      <w:r>
        <w:rPr>
          <w:lang w:val="en-US"/>
        </w:rPr>
        <w:t xml:space="preserve">In </w:t>
      </w:r>
      <w:r w:rsidR="00201BD1">
        <w:rPr>
          <w:lang w:val="en-US"/>
        </w:rPr>
        <w:t>RAN</w:t>
      </w:r>
      <w:r>
        <w:rPr>
          <w:lang w:val="en-US"/>
        </w:rPr>
        <w:t>1#86 the following was agreed</w:t>
      </w:r>
      <w:r w:rsidR="00F8244C">
        <w:rPr>
          <w:lang w:val="en-US"/>
        </w:rPr>
        <w:t xml:space="preserve"> in </w:t>
      </w:r>
      <w:r w:rsidR="00F8244C">
        <w:rPr>
          <w:lang w:val="en-US"/>
        </w:rPr>
        <w:fldChar w:fldCharType="begin"/>
      </w:r>
      <w:r w:rsidR="00F8244C">
        <w:rPr>
          <w:lang w:val="en-US"/>
        </w:rPr>
        <w:instrText xml:space="preserve"> REF _Ref462744559 \r \h </w:instrText>
      </w:r>
      <w:r w:rsidR="00F8244C">
        <w:rPr>
          <w:lang w:val="en-US"/>
        </w:rPr>
      </w:r>
      <w:r w:rsidR="00F8244C">
        <w:rPr>
          <w:lang w:val="en-US"/>
        </w:rPr>
        <w:fldChar w:fldCharType="separate"/>
      </w:r>
      <w:r w:rsidR="00F8244C">
        <w:rPr>
          <w:lang w:val="en-US"/>
        </w:rPr>
        <w:t>[2]</w:t>
      </w:r>
      <w:r w:rsidR="00F8244C">
        <w:rPr>
          <w:lang w:val="en-US"/>
        </w:rPr>
        <w:fldChar w:fldCharType="end"/>
      </w:r>
      <w:r>
        <w:rPr>
          <w:lang w:val="en-US"/>
        </w:rPr>
        <w:t>:</w:t>
      </w:r>
    </w:p>
    <w:p w14:paraId="296821F9" w14:textId="77777777" w:rsidR="00C673AA" w:rsidRPr="00BD35E3" w:rsidRDefault="00BD35E3" w:rsidP="00BD35E3">
      <w:pPr>
        <w:pStyle w:val="BodyText"/>
        <w:numPr>
          <w:ilvl w:val="0"/>
          <w:numId w:val="25"/>
        </w:numPr>
        <w:rPr>
          <w:lang w:val="en-US"/>
        </w:rPr>
      </w:pPr>
      <w:r w:rsidRPr="00BD35E3">
        <w:rPr>
          <w:lang w:val="en-US"/>
        </w:rPr>
        <w:t>Legacy PDCCH can be used to transmit sDCI (DCI for sPDSCH and/or sPUSCH) .</w:t>
      </w:r>
    </w:p>
    <w:p w14:paraId="1AEC1EC2" w14:textId="77777777" w:rsidR="00C673AA" w:rsidRPr="00BD35E3" w:rsidRDefault="00BD35E3" w:rsidP="00BD35E3">
      <w:pPr>
        <w:pStyle w:val="BodyText"/>
        <w:numPr>
          <w:ilvl w:val="0"/>
          <w:numId w:val="25"/>
        </w:numPr>
        <w:rPr>
          <w:lang w:val="en-US"/>
        </w:rPr>
      </w:pPr>
      <w:r w:rsidRPr="00BD35E3">
        <w:rPr>
          <w:lang w:val="en-US"/>
        </w:rPr>
        <w:t>QPSK is used for sPDCCH.</w:t>
      </w:r>
    </w:p>
    <w:p w14:paraId="6F64AF06" w14:textId="77777777" w:rsidR="00C673AA" w:rsidRPr="00BD35E3" w:rsidRDefault="00BD35E3" w:rsidP="00BD35E3">
      <w:pPr>
        <w:pStyle w:val="BodyText"/>
        <w:numPr>
          <w:ilvl w:val="0"/>
          <w:numId w:val="25"/>
        </w:numPr>
        <w:rPr>
          <w:lang w:val="en-US"/>
        </w:rPr>
      </w:pPr>
      <w:r w:rsidRPr="00BD35E3">
        <w:t>Tail biting convolutional coding is used for sPDCCH.</w:t>
      </w:r>
    </w:p>
    <w:p w14:paraId="049B5C04" w14:textId="77777777" w:rsidR="00C673AA" w:rsidRPr="00BD35E3" w:rsidRDefault="00BD35E3" w:rsidP="00BD35E3">
      <w:pPr>
        <w:pStyle w:val="BodyText"/>
        <w:numPr>
          <w:ilvl w:val="0"/>
          <w:numId w:val="25"/>
        </w:numPr>
        <w:rPr>
          <w:lang w:val="sv-SE"/>
        </w:rPr>
      </w:pPr>
      <w:r w:rsidRPr="00BD35E3">
        <w:rPr>
          <w:lang w:val="en-US"/>
        </w:rPr>
        <w:t xml:space="preserve">For CRS-based sPDCCH, </w:t>
      </w:r>
    </w:p>
    <w:p w14:paraId="5725A90B" w14:textId="77777777" w:rsidR="00C673AA" w:rsidRPr="00BD35E3" w:rsidRDefault="00BD35E3" w:rsidP="00BD35E3">
      <w:pPr>
        <w:pStyle w:val="BodyText"/>
        <w:numPr>
          <w:ilvl w:val="1"/>
          <w:numId w:val="25"/>
        </w:numPr>
        <w:rPr>
          <w:lang w:val="sv-SE"/>
        </w:rPr>
      </w:pPr>
      <w:r w:rsidRPr="00BD35E3">
        <w:rPr>
          <w:lang w:val="en-US"/>
        </w:rPr>
        <w:t>In time domain,</w:t>
      </w:r>
    </w:p>
    <w:p w14:paraId="5AD2EF8C" w14:textId="77777777" w:rsidR="00C673AA" w:rsidRPr="00BD35E3" w:rsidRDefault="00BD35E3" w:rsidP="00BD35E3">
      <w:pPr>
        <w:pStyle w:val="BodyText"/>
        <w:numPr>
          <w:ilvl w:val="2"/>
          <w:numId w:val="25"/>
        </w:numPr>
        <w:rPr>
          <w:lang w:val="en-US"/>
        </w:rPr>
      </w:pPr>
      <w:r w:rsidRPr="00BD35E3">
        <w:t>sPDCCH is transmitted from the first OFDM symbol within an sTTI</w:t>
      </w:r>
    </w:p>
    <w:p w14:paraId="693CC4EB" w14:textId="77777777" w:rsidR="00C673AA" w:rsidRPr="00BD35E3" w:rsidRDefault="00BD35E3" w:rsidP="00BD35E3">
      <w:pPr>
        <w:pStyle w:val="BodyText"/>
        <w:numPr>
          <w:ilvl w:val="3"/>
          <w:numId w:val="25"/>
        </w:numPr>
        <w:rPr>
          <w:lang w:val="en-US"/>
        </w:rPr>
      </w:pPr>
      <w:r w:rsidRPr="00BD35E3">
        <w:t>sPDCCH is not mapped to the PDCCH region.</w:t>
      </w:r>
    </w:p>
    <w:p w14:paraId="5B5B5D43" w14:textId="77777777" w:rsidR="00C673AA" w:rsidRPr="00BD35E3" w:rsidRDefault="00BD35E3" w:rsidP="00BD35E3">
      <w:pPr>
        <w:pStyle w:val="BodyText"/>
        <w:numPr>
          <w:ilvl w:val="3"/>
          <w:numId w:val="25"/>
        </w:numPr>
        <w:rPr>
          <w:lang w:val="en-US"/>
        </w:rPr>
      </w:pPr>
      <w:r w:rsidRPr="00BD35E3">
        <w:t>FFS number of OFDM symbols of the sPDCCH</w:t>
      </w:r>
    </w:p>
    <w:p w14:paraId="5B15B0C6" w14:textId="77777777" w:rsidR="00C673AA" w:rsidRPr="00BD35E3" w:rsidRDefault="00BD35E3" w:rsidP="00BD35E3">
      <w:pPr>
        <w:pStyle w:val="BodyText"/>
        <w:numPr>
          <w:ilvl w:val="1"/>
          <w:numId w:val="25"/>
        </w:numPr>
        <w:rPr>
          <w:lang w:val="en-US"/>
        </w:rPr>
      </w:pPr>
      <w:r w:rsidRPr="00BD35E3">
        <w:rPr>
          <w:lang w:val="en-US"/>
        </w:rPr>
        <w:t xml:space="preserve">Frequency resource for sPDCCH can be informed by eNB. </w:t>
      </w:r>
    </w:p>
    <w:p w14:paraId="6A2B892C" w14:textId="77777777" w:rsidR="00BD35E3" w:rsidRDefault="006C7046" w:rsidP="00E30225">
      <w:pPr>
        <w:pStyle w:val="BodyText"/>
        <w:rPr>
          <w:lang w:val="en-US"/>
        </w:rPr>
      </w:pPr>
      <w:r>
        <w:rPr>
          <w:lang w:val="en-US"/>
        </w:rPr>
        <w:t xml:space="preserve">In RAN1#88bis the following agreements and working assumptions were </w:t>
      </w:r>
      <w:r w:rsidR="00F73152">
        <w:rPr>
          <w:lang w:val="en-US"/>
        </w:rPr>
        <w:t>defined</w:t>
      </w:r>
      <w:r>
        <w:rPr>
          <w:lang w:val="en-US"/>
        </w:rPr>
        <w:t>:</w:t>
      </w:r>
    </w:p>
    <w:p w14:paraId="233A56BF" w14:textId="77777777" w:rsidR="006C7046" w:rsidRDefault="006C7046" w:rsidP="006C7046">
      <w:pPr>
        <w:numPr>
          <w:ilvl w:val="0"/>
          <w:numId w:val="30"/>
        </w:numPr>
        <w:rPr>
          <w:lang w:val="en-US"/>
        </w:rPr>
      </w:pPr>
      <w:r>
        <w:rPr>
          <w:lang w:val="en-US"/>
        </w:rPr>
        <w:t>Agreements</w:t>
      </w:r>
      <w:r w:rsidR="00F73152">
        <w:rPr>
          <w:lang w:val="en-US"/>
        </w:rPr>
        <w:t>:</w:t>
      </w:r>
    </w:p>
    <w:p w14:paraId="101E973C" w14:textId="696A2717" w:rsidR="006C7046" w:rsidRDefault="006C7046" w:rsidP="006C7046">
      <w:pPr>
        <w:numPr>
          <w:ilvl w:val="1"/>
          <w:numId w:val="30"/>
        </w:numPr>
        <w:rPr>
          <w:lang w:val="en-US"/>
        </w:rPr>
      </w:pPr>
      <w:r w:rsidRPr="006C7046">
        <w:rPr>
          <w:lang w:val="en-US"/>
        </w:rPr>
        <w:t xml:space="preserve">An </w:t>
      </w:r>
      <w:r w:rsidR="004E4EE3">
        <w:rPr>
          <w:lang w:val="en-US"/>
        </w:rPr>
        <w:t>sREG</w:t>
      </w:r>
      <w:r w:rsidRPr="006C7046">
        <w:rPr>
          <w:lang w:val="en-US"/>
        </w:rPr>
        <w:t xml:space="preserve"> consists of 1 RB within 1 OFDM symbol including REs</w:t>
      </w:r>
      <w:r>
        <w:rPr>
          <w:lang w:val="en-US"/>
        </w:rPr>
        <w:t xml:space="preserve"> for CRS and/or DMRS applied to </w:t>
      </w:r>
      <w:r w:rsidRPr="006C7046">
        <w:rPr>
          <w:lang w:val="en-US"/>
        </w:rPr>
        <w:t>DMRS based sPDCCH</w:t>
      </w:r>
    </w:p>
    <w:p w14:paraId="009C94F8" w14:textId="77777777" w:rsidR="00F73152" w:rsidRPr="00F73152" w:rsidRDefault="00F73152" w:rsidP="00F73152">
      <w:pPr>
        <w:numPr>
          <w:ilvl w:val="1"/>
          <w:numId w:val="30"/>
        </w:numPr>
        <w:rPr>
          <w:lang w:val="en-US"/>
        </w:rPr>
      </w:pPr>
      <w:r w:rsidRPr="00F73152">
        <w:rPr>
          <w:lang w:val="en-US"/>
        </w:rPr>
        <w:t>The number of OFDM symbols per RB set for CRS based sPDCCH for 2/3-symbol sTTI is 1 or 2 configured by higher layer</w:t>
      </w:r>
    </w:p>
    <w:p w14:paraId="120B9C1A" w14:textId="77777777" w:rsidR="00F73152" w:rsidRPr="00F73152" w:rsidRDefault="00F73152" w:rsidP="00F73152">
      <w:pPr>
        <w:numPr>
          <w:ilvl w:val="2"/>
          <w:numId w:val="30"/>
        </w:numPr>
        <w:rPr>
          <w:lang w:val="en-US"/>
        </w:rPr>
      </w:pPr>
      <w:r w:rsidRPr="00F73152">
        <w:rPr>
          <w:lang w:val="en-US"/>
        </w:rPr>
        <w:t xml:space="preserve">FFS: </w:t>
      </w:r>
    </w:p>
    <w:p w14:paraId="62705927" w14:textId="77777777" w:rsidR="00F73152" w:rsidRPr="00F73152" w:rsidRDefault="00F73152" w:rsidP="00F73152">
      <w:pPr>
        <w:numPr>
          <w:ilvl w:val="3"/>
          <w:numId w:val="30"/>
        </w:numPr>
        <w:rPr>
          <w:lang w:val="en-US"/>
        </w:rPr>
      </w:pPr>
      <w:r w:rsidRPr="00F73152">
        <w:rPr>
          <w:lang w:val="en-US"/>
        </w:rPr>
        <w:t>UE capability on:</w:t>
      </w:r>
      <w:r>
        <w:rPr>
          <w:lang w:val="en-US"/>
        </w:rPr>
        <w:t xml:space="preserve"> T</w:t>
      </w:r>
      <w:r w:rsidRPr="00F73152">
        <w:rPr>
          <w:lang w:val="en-US"/>
        </w:rPr>
        <w:t xml:space="preserve">he HARQ Ack/UL grant timing dependent on the number of configured symbols for CRS based sPDCCH </w:t>
      </w:r>
    </w:p>
    <w:p w14:paraId="0B190BFE" w14:textId="77777777" w:rsidR="00F73152" w:rsidRPr="00F73152" w:rsidRDefault="00F73152" w:rsidP="00F73152">
      <w:pPr>
        <w:numPr>
          <w:ilvl w:val="1"/>
          <w:numId w:val="30"/>
        </w:numPr>
        <w:rPr>
          <w:lang w:val="en-US"/>
        </w:rPr>
      </w:pPr>
      <w:r w:rsidRPr="00F73152">
        <w:rPr>
          <w:lang w:val="en-US"/>
        </w:rPr>
        <w:t>The number of OFDM symbols per RB set for CRS based sPDCCH for 1-slot sTTI is 1 or 2 configured by higher layer.</w:t>
      </w:r>
    </w:p>
    <w:p w14:paraId="5AEDD0C2" w14:textId="77777777" w:rsidR="00F73152" w:rsidRPr="00F73152" w:rsidRDefault="00F73152" w:rsidP="00F73152">
      <w:pPr>
        <w:numPr>
          <w:ilvl w:val="2"/>
          <w:numId w:val="30"/>
        </w:numPr>
        <w:rPr>
          <w:lang w:val="en-US"/>
        </w:rPr>
      </w:pPr>
      <w:r w:rsidRPr="00F73152">
        <w:rPr>
          <w:lang w:val="en-US"/>
        </w:rPr>
        <w:t>FFS: 3 OFDM symbols</w:t>
      </w:r>
    </w:p>
    <w:p w14:paraId="706E993C" w14:textId="77777777" w:rsidR="00F73152" w:rsidRPr="006C7046" w:rsidRDefault="00F73152" w:rsidP="00F73152">
      <w:pPr>
        <w:numPr>
          <w:ilvl w:val="1"/>
          <w:numId w:val="30"/>
        </w:numPr>
        <w:rPr>
          <w:lang w:val="en-US"/>
        </w:rPr>
      </w:pPr>
      <w:r w:rsidRPr="00F73152">
        <w:rPr>
          <w:lang w:val="en-US"/>
        </w:rPr>
        <w:t>RAN1 will not pursue CDM-F based DMRS pattern for sPDCCH</w:t>
      </w:r>
    </w:p>
    <w:p w14:paraId="5DF98F2D" w14:textId="77777777" w:rsidR="006C7046" w:rsidRDefault="006C7046" w:rsidP="006C7046">
      <w:pPr>
        <w:pStyle w:val="BodyText"/>
        <w:numPr>
          <w:ilvl w:val="0"/>
          <w:numId w:val="30"/>
        </w:numPr>
        <w:rPr>
          <w:lang w:val="en-US"/>
        </w:rPr>
      </w:pPr>
      <w:r>
        <w:rPr>
          <w:lang w:val="en-US"/>
        </w:rPr>
        <w:t>Working assumption</w:t>
      </w:r>
      <w:r w:rsidR="00F73152">
        <w:rPr>
          <w:lang w:val="en-US"/>
        </w:rPr>
        <w:t>s</w:t>
      </w:r>
      <w:r>
        <w:rPr>
          <w:lang w:val="en-US"/>
        </w:rPr>
        <w:t>:</w:t>
      </w:r>
    </w:p>
    <w:p w14:paraId="49F69F44" w14:textId="286A982A" w:rsidR="006C7046" w:rsidRDefault="006C7046" w:rsidP="004A7404">
      <w:pPr>
        <w:pStyle w:val="BodyText"/>
        <w:numPr>
          <w:ilvl w:val="1"/>
          <w:numId w:val="30"/>
        </w:numPr>
        <w:rPr>
          <w:lang w:val="en-US"/>
        </w:rPr>
      </w:pPr>
      <w:r w:rsidRPr="006C7046">
        <w:rPr>
          <w:lang w:val="en-US"/>
        </w:rPr>
        <w:lastRenderedPageBreak/>
        <w:t xml:space="preserve">An </w:t>
      </w:r>
      <w:r w:rsidR="004E4EE3">
        <w:rPr>
          <w:lang w:val="en-US"/>
        </w:rPr>
        <w:t>sREG</w:t>
      </w:r>
      <w:r w:rsidRPr="006C7046">
        <w:rPr>
          <w:lang w:val="en-US"/>
        </w:rPr>
        <w:t xml:space="preserve"> consists of 1 RB within 1 OFDM symbol including REs for CRS and/or DMRS applied to CRS based sPDCCH</w:t>
      </w:r>
      <w:r>
        <w:rPr>
          <w:lang w:val="en-US"/>
        </w:rPr>
        <w:t xml:space="preserve"> (</w:t>
      </w:r>
      <w:r w:rsidRPr="006C7046">
        <w:rPr>
          <w:lang w:val="en-US"/>
        </w:rPr>
        <w:t>To be confirmed by RAN1#89</w:t>
      </w:r>
      <w:r>
        <w:rPr>
          <w:lang w:val="en-US"/>
        </w:rPr>
        <w:t>)</w:t>
      </w:r>
    </w:p>
    <w:p w14:paraId="1548DF74" w14:textId="1CC00D07" w:rsidR="00F73152" w:rsidRPr="00F73152" w:rsidRDefault="00F73152" w:rsidP="00F73152">
      <w:pPr>
        <w:pStyle w:val="BodyText"/>
        <w:numPr>
          <w:ilvl w:val="1"/>
          <w:numId w:val="30"/>
        </w:numPr>
        <w:rPr>
          <w:lang w:val="en-US"/>
        </w:rPr>
      </w:pPr>
      <w:r w:rsidRPr="00F73152">
        <w:rPr>
          <w:lang w:val="en-US"/>
        </w:rPr>
        <w:t xml:space="preserve">A sPDCCH RB set can be configured to a UE by higher-layer signalling either with distributed or localized mapping of </w:t>
      </w:r>
      <w:r w:rsidR="004E4EE3">
        <w:rPr>
          <w:lang w:val="en-US"/>
        </w:rPr>
        <w:t>sCCE</w:t>
      </w:r>
      <w:r w:rsidRPr="00F73152">
        <w:rPr>
          <w:lang w:val="en-US"/>
        </w:rPr>
        <w:t xml:space="preserve"> to </w:t>
      </w:r>
      <w:r w:rsidR="004E4EE3">
        <w:rPr>
          <w:lang w:val="en-US"/>
        </w:rPr>
        <w:t>sREG</w:t>
      </w:r>
    </w:p>
    <w:p w14:paraId="27B12043" w14:textId="77777777" w:rsidR="00F73152" w:rsidRPr="00F73152" w:rsidRDefault="00F73152" w:rsidP="00F73152">
      <w:pPr>
        <w:pStyle w:val="BodyText"/>
        <w:numPr>
          <w:ilvl w:val="2"/>
          <w:numId w:val="30"/>
        </w:numPr>
        <w:rPr>
          <w:lang w:val="en-US"/>
        </w:rPr>
      </w:pPr>
      <w:r w:rsidRPr="00F73152">
        <w:rPr>
          <w:lang w:val="en-US"/>
        </w:rPr>
        <w:t>FFS if more than one set can be distributed/localized</w:t>
      </w:r>
    </w:p>
    <w:p w14:paraId="512F69E1" w14:textId="77777777" w:rsidR="00F73152" w:rsidRPr="00F73152" w:rsidRDefault="00F73152" w:rsidP="00F73152">
      <w:pPr>
        <w:pStyle w:val="BodyText"/>
        <w:numPr>
          <w:ilvl w:val="1"/>
          <w:numId w:val="30"/>
        </w:numPr>
        <w:rPr>
          <w:lang w:val="en-US"/>
        </w:rPr>
      </w:pPr>
      <w:r w:rsidRPr="00F73152">
        <w:rPr>
          <w:lang w:val="en-US"/>
        </w:rPr>
        <w:t>A UE can be configured with one or two sPDCCH RB set(s) containing the UE’s user-specific sTTI search space.</w:t>
      </w:r>
    </w:p>
    <w:p w14:paraId="22FDB7C7" w14:textId="77777777" w:rsidR="00F73152" w:rsidRPr="00F73152" w:rsidRDefault="00F73152" w:rsidP="00F73152">
      <w:pPr>
        <w:pStyle w:val="BodyText"/>
        <w:numPr>
          <w:ilvl w:val="2"/>
          <w:numId w:val="30"/>
        </w:numPr>
        <w:rPr>
          <w:lang w:val="en-US"/>
        </w:rPr>
      </w:pPr>
      <w:r w:rsidRPr="00F73152">
        <w:rPr>
          <w:lang w:val="en-US"/>
        </w:rPr>
        <w:t>FFS whether more than two can be configured to a UE</w:t>
      </w:r>
      <w:r>
        <w:rPr>
          <w:lang w:val="en-US"/>
        </w:rPr>
        <w:t xml:space="preserve"> (</w:t>
      </w:r>
      <w:r w:rsidRPr="006C7046">
        <w:rPr>
          <w:lang w:val="en-US"/>
        </w:rPr>
        <w:t>To be confirmed by RAN1#89</w:t>
      </w:r>
      <w:r>
        <w:rPr>
          <w:lang w:val="en-US"/>
        </w:rPr>
        <w:t>)</w:t>
      </w:r>
    </w:p>
    <w:p w14:paraId="7A801B5D" w14:textId="77777777" w:rsidR="00E30225" w:rsidRPr="005D42DC" w:rsidRDefault="00BC79AF" w:rsidP="00E30225">
      <w:pPr>
        <w:pStyle w:val="BodyText"/>
        <w:rPr>
          <w:lang w:val="en-US"/>
        </w:rPr>
      </w:pPr>
      <w:r>
        <w:rPr>
          <w:lang w:val="en-US"/>
        </w:rPr>
        <w:t xml:space="preserve">In this contribution, we further outline how the sPDCCH physical layer mapping is performed per sTTI based on these </w:t>
      </w:r>
      <w:r w:rsidR="00464F28">
        <w:rPr>
          <w:lang w:val="en-US"/>
        </w:rPr>
        <w:t>agreements and working assumptions</w:t>
      </w:r>
      <w:r>
        <w:rPr>
          <w:lang w:val="en-US"/>
        </w:rPr>
        <w:t xml:space="preserve">. </w:t>
      </w:r>
    </w:p>
    <w:p w14:paraId="1FA6C954" w14:textId="77777777" w:rsidR="00E30225" w:rsidRDefault="00E30225" w:rsidP="00E30225">
      <w:pPr>
        <w:pStyle w:val="Heading1"/>
      </w:pPr>
      <w:bookmarkStart w:id="0" w:name="_Ref178064866"/>
      <w:r w:rsidRPr="00CE0424">
        <w:t>Discussion</w:t>
      </w:r>
      <w:bookmarkEnd w:id="0"/>
    </w:p>
    <w:p w14:paraId="5C866FCF" w14:textId="77777777" w:rsidR="003B227E" w:rsidRDefault="00005A91" w:rsidP="009A5FF1">
      <w:pPr>
        <w:pStyle w:val="BodyText"/>
      </w:pPr>
      <w:r>
        <w:t xml:space="preserve">During the SI it was concluded to support both CRS and DMRS based transmission of sPDCCH. </w:t>
      </w:r>
      <w:r w:rsidR="00CD5445">
        <w:t>Although t</w:t>
      </w:r>
      <w:r>
        <w:t>he design</w:t>
      </w:r>
      <w:r w:rsidR="00040B8E">
        <w:t>s</w:t>
      </w:r>
      <w:r>
        <w:t xml:space="preserve"> for doing this could be different for DMRS and CRS </w:t>
      </w:r>
      <w:r w:rsidR="00A13BCB">
        <w:t>based transmissions based sPDCCH</w:t>
      </w:r>
      <w:r w:rsidR="00CD5445">
        <w:t xml:space="preserve">, </w:t>
      </w:r>
      <w:r w:rsidR="00600A67">
        <w:t>it is desirable to analyse whether a common design for</w:t>
      </w:r>
      <w:r w:rsidR="00CD5445">
        <w:t xml:space="preserve"> DMRS and CRS-based sPDCCH</w:t>
      </w:r>
      <w:r w:rsidR="00600A67">
        <w:t xml:space="preserve"> is feasible</w:t>
      </w:r>
      <w:r w:rsidR="00A13BCB">
        <w:t>.</w:t>
      </w:r>
    </w:p>
    <w:p w14:paraId="2C7C3F4D" w14:textId="77777777" w:rsidR="00850AC6" w:rsidRDefault="00850AC6" w:rsidP="00A971C3">
      <w:pPr>
        <w:pStyle w:val="Heading3"/>
      </w:pPr>
      <w:r>
        <w:t>CRS and DMRS operation in the same sTTI</w:t>
      </w:r>
    </w:p>
    <w:p w14:paraId="3595446A" w14:textId="77777777" w:rsidR="00B326A7" w:rsidRDefault="009A5FF1" w:rsidP="00A971C3">
      <w:pPr>
        <w:pStyle w:val="BodyText"/>
      </w:pPr>
      <w:r>
        <w:t xml:space="preserve">To allow more efficient resource usage, resource elements of a PRB in a given sTTI may be shared between sPDCCH of different UEs. An aspect to consider is whether or not UEs with CRS- and DMRS-based demodulation of sPDCCH can share the same PRB in the same sTTI. </w:t>
      </w:r>
      <w:r w:rsidR="00CE7715">
        <w:t>From the eNB perspective it will always be possible to configure one UE to operate with CRS-based demodulation a</w:t>
      </w:r>
      <w:r w:rsidR="00F91A3D">
        <w:t xml:space="preserve">nd </w:t>
      </w:r>
      <w:r w:rsidR="009C7988">
        <w:t xml:space="preserve">a </w:t>
      </w:r>
      <w:r w:rsidR="00F91A3D">
        <w:t>second UE to operate with DM</w:t>
      </w:r>
      <w:r w:rsidR="00CE7715">
        <w:t xml:space="preserve">RS based demodulation on sPDCCH. These UEs can </w:t>
      </w:r>
      <w:r>
        <w:t xml:space="preserve">have their sPDCCH sent in the same TTI but it may not be resource-efficient for CRS-based users and DMRS-based users to have their sPDCCH in the same PRB. Indeed, these users have different overhead and thus see a different number of usable resource elements in a PRB for sPDCCH or sPDSCH. </w:t>
      </w:r>
      <w:r w:rsidR="00C202DC">
        <w:t>Using the same PRB for sPDCCH candidates of CRS and DMRS users</w:t>
      </w:r>
      <w:r>
        <w:t xml:space="preserve"> makes the utilization of resources left unused by sPDCCH for sPDSCH more complicated. The design can be simplified if </w:t>
      </w:r>
      <w:r w:rsidR="00C202DC">
        <w:t xml:space="preserve">a PRB is shared between </w:t>
      </w:r>
      <w:r w:rsidR="00CE7715">
        <w:t xml:space="preserve">users with </w:t>
      </w:r>
      <w:r w:rsidR="00C202DC">
        <w:t xml:space="preserve">the same demodulation method, i.e. only between users with </w:t>
      </w:r>
      <w:r w:rsidR="00CE7715">
        <w:t xml:space="preserve">CRS based demodulation, </w:t>
      </w:r>
      <w:r w:rsidR="00C202DC">
        <w:t>or only</w:t>
      </w:r>
      <w:r w:rsidR="00CE7715">
        <w:t xml:space="preserve"> between users with DMRS based demodulation. However, </w:t>
      </w:r>
      <w:r w:rsidR="00C202DC">
        <w:t xml:space="preserve">PRB </w:t>
      </w:r>
      <w:r w:rsidR="00CE7715">
        <w:t xml:space="preserve">sharing between CRS and DMRS UE </w:t>
      </w:r>
      <w:r w:rsidR="00C202DC">
        <w:t>is</w:t>
      </w:r>
      <w:r w:rsidR="00CE7715">
        <w:t xml:space="preserve"> not carried out </w:t>
      </w:r>
      <w:r w:rsidR="00C202DC">
        <w:t>for sPDCCH</w:t>
      </w:r>
      <w:r w:rsidR="00CE7715">
        <w:t>.</w:t>
      </w:r>
    </w:p>
    <w:p w14:paraId="3A6E6F60" w14:textId="77777777" w:rsidR="00CE7715" w:rsidRDefault="00CE7715" w:rsidP="00A971C3">
      <w:pPr>
        <w:pStyle w:val="BodyText"/>
      </w:pPr>
      <w:r>
        <w:t xml:space="preserve"> </w:t>
      </w:r>
    </w:p>
    <w:p w14:paraId="39B379B0" w14:textId="77777777" w:rsidR="00F97909" w:rsidRDefault="00767F41" w:rsidP="00F97909">
      <w:pPr>
        <w:pStyle w:val="Proposal"/>
      </w:pPr>
      <w:r>
        <w:t xml:space="preserve">The eNB shall be able to operate UEs configured with different control channel demodulation assumptions within the same </w:t>
      </w:r>
      <w:r w:rsidR="00FE2FF7">
        <w:t>sTTI</w:t>
      </w:r>
      <w:r>
        <w:t xml:space="preserve"> </w:t>
      </w:r>
    </w:p>
    <w:p w14:paraId="3550172D" w14:textId="77777777" w:rsidR="00FE1B5F" w:rsidRDefault="00FE1B5F" w:rsidP="00FE1B5F">
      <w:pPr>
        <w:pStyle w:val="Proposal"/>
      </w:pPr>
      <w:bookmarkStart w:id="1" w:name="_Toc462726549"/>
      <w:bookmarkStart w:id="2" w:name="_Toc462733834"/>
      <w:bookmarkStart w:id="3" w:name="_Ref462741486"/>
      <w:bookmarkStart w:id="4" w:name="_Toc462742565"/>
      <w:bookmarkStart w:id="5" w:name="_Toc462743254"/>
      <w:bookmarkStart w:id="6" w:name="_Toc462743714"/>
      <w:bookmarkStart w:id="7" w:name="_Toc462744228"/>
      <w:bookmarkStart w:id="8" w:name="_Toc462744791"/>
      <w:r>
        <w:t>Sharing of resources within a PRB can be done between UEs operating with CRS, and between UEs operating with DMRS based demodulation</w:t>
      </w:r>
    </w:p>
    <w:p w14:paraId="5C95E2B3" w14:textId="77777777" w:rsidR="00CE7715" w:rsidRDefault="00FE1B5F" w:rsidP="003B227E">
      <w:pPr>
        <w:pStyle w:val="Proposal"/>
      </w:pPr>
      <w:r>
        <w:t>The design for sPDCCH is not optimized to support coexistence of UEs using CRS-based demodulation and UEs using DMRS-bas</w:t>
      </w:r>
      <w:r w:rsidR="00D325BC">
        <w:t>ed demodulation in the same PRB</w:t>
      </w:r>
      <w:r>
        <w:t xml:space="preserve"> </w:t>
      </w:r>
      <w:bookmarkEnd w:id="1"/>
      <w:bookmarkEnd w:id="2"/>
      <w:bookmarkEnd w:id="3"/>
      <w:bookmarkEnd w:id="4"/>
      <w:bookmarkEnd w:id="5"/>
      <w:bookmarkEnd w:id="6"/>
      <w:bookmarkEnd w:id="7"/>
      <w:bookmarkEnd w:id="8"/>
    </w:p>
    <w:p w14:paraId="7D26E68F" w14:textId="77777777" w:rsidR="003B227E" w:rsidRPr="00F93539" w:rsidRDefault="003B227E" w:rsidP="00A971C3">
      <w:pPr>
        <w:pStyle w:val="BodyText"/>
        <w:rPr>
          <w:i/>
        </w:rPr>
      </w:pPr>
      <w:r>
        <w:t xml:space="preserve"> </w:t>
      </w:r>
    </w:p>
    <w:p w14:paraId="5867ED9D" w14:textId="15277D57" w:rsidR="00040B8E" w:rsidRPr="00850AC6" w:rsidRDefault="00040B8E" w:rsidP="00A971C3">
      <w:pPr>
        <w:pStyle w:val="Heading3"/>
      </w:pPr>
      <w:r>
        <w:t>sPDCCH</w:t>
      </w:r>
      <w:r w:rsidR="00AB5D50">
        <w:t xml:space="preserve"> </w:t>
      </w:r>
      <w:r w:rsidR="00E24976">
        <w:t>Configuration</w:t>
      </w:r>
    </w:p>
    <w:p w14:paraId="26138F02" w14:textId="14D2A1F2" w:rsidR="00C327D2" w:rsidRPr="00A971C3" w:rsidRDefault="006068D5" w:rsidP="00A971C3">
      <w:pPr>
        <w:rPr>
          <w:lang w:val="en-US"/>
        </w:rPr>
      </w:pPr>
      <w:r>
        <w:t>In RAN1#88bis, it has been agreed that t</w:t>
      </w:r>
      <w:r w:rsidRPr="006068D5">
        <w:t xml:space="preserve">he number of OFDM symbols per </w:t>
      </w:r>
      <w:r>
        <w:t>PRB set for CRS-</w:t>
      </w:r>
      <w:r w:rsidRPr="006068D5">
        <w:t xml:space="preserve">based sPDCCH for 2/3-symbol </w:t>
      </w:r>
      <w:r>
        <w:t>sTTI and slot-sTTI</w:t>
      </w:r>
      <w:r w:rsidRPr="006068D5">
        <w:t xml:space="preserve"> is 1 or 2 configured by higher layer</w:t>
      </w:r>
      <w:r w:rsidR="00C3787A">
        <w:t>.</w:t>
      </w:r>
      <w:r w:rsidR="00975872" w:rsidRPr="00975872">
        <w:t xml:space="preserve"> </w:t>
      </w:r>
      <w:r w:rsidR="00975872">
        <w:t>One symbol sPDCCH enables to exploit frequency diversity with low aggregation level.</w:t>
      </w:r>
    </w:p>
    <w:p w14:paraId="5761F393" w14:textId="77777777" w:rsidR="00584F7A" w:rsidRDefault="008A4A72" w:rsidP="00A971C3">
      <w:pPr>
        <w:pStyle w:val="BodyText"/>
      </w:pPr>
      <w:r>
        <w:t>F</w:t>
      </w:r>
      <w:r w:rsidR="00CD5445" w:rsidRPr="00D325BC">
        <w:t>or DMRS</w:t>
      </w:r>
      <w:r>
        <w:t>-based SPDCCH</w:t>
      </w:r>
      <w:r w:rsidR="00AC5C78" w:rsidRPr="00D325BC">
        <w:t xml:space="preserve"> with 2os sTTI,</w:t>
      </w:r>
      <w:r w:rsidR="00CD5445" w:rsidRPr="00D325BC">
        <w:t xml:space="preserve"> </w:t>
      </w:r>
      <w:r>
        <w:t xml:space="preserve">with </w:t>
      </w:r>
      <w:r w:rsidR="00CD5445" w:rsidRPr="00D325BC">
        <w:t>a design based on DMRS pairs in time domain</w:t>
      </w:r>
      <w:r w:rsidR="0099115B">
        <w:t xml:space="preserve">, </w:t>
      </w:r>
      <w:r w:rsidR="00C327D2" w:rsidRPr="00D325BC">
        <w:t xml:space="preserve">a </w:t>
      </w:r>
      <w:r w:rsidR="00CD5445" w:rsidRPr="00D325BC">
        <w:t>2 symbols sPDCCH is preferred</w:t>
      </w:r>
      <w:r w:rsidR="00C327D2" w:rsidRPr="00D325BC">
        <w:t>,</w:t>
      </w:r>
      <w:r w:rsidR="00CD5445">
        <w:t xml:space="preserve"> since UE</w:t>
      </w:r>
      <w:r w:rsidR="00AC5C78">
        <w:t>s</w:t>
      </w:r>
      <w:r w:rsidR="00CD5445">
        <w:t xml:space="preserve"> need anyway to wait for the end of sTTI for channel estimation. </w:t>
      </w:r>
      <w:r w:rsidR="00C3787A">
        <w:t xml:space="preserve">In that case </w:t>
      </w:r>
      <w:r w:rsidR="00CD5445">
        <w:t>DMRS is thus not shared between sPDCCH and sPDSCH in a given PRB of the sTTI</w:t>
      </w:r>
      <w:r w:rsidR="00C327D2">
        <w:t>.</w:t>
      </w:r>
      <w:r w:rsidR="00350AC4">
        <w:t xml:space="preserve"> </w:t>
      </w:r>
      <w:r w:rsidR="00C3787A">
        <w:t xml:space="preserve">This </w:t>
      </w:r>
      <w:r w:rsidR="00AC5C78">
        <w:t>gives more freedom for</w:t>
      </w:r>
      <w:r w:rsidR="00C3787A">
        <w:t xml:space="preserve"> </w:t>
      </w:r>
      <w:r w:rsidR="005D0BF0">
        <w:t>applying</w:t>
      </w:r>
      <w:r w:rsidR="00C3787A">
        <w:t xml:space="preserve"> beamforming for sPDCCH. </w:t>
      </w:r>
      <w:r w:rsidR="00584F7A">
        <w:t>Furthermore, for some sTTI in a subframe the TTI length is 3 symbols instead of 2 symbols, as visible on the DL pattern agreed in RAN1</w:t>
      </w:r>
      <w:r w:rsidR="00584F7A">
        <w:rPr>
          <w:lang w:val="en-US"/>
        </w:rPr>
        <w:t>#</w:t>
      </w:r>
      <w:r w:rsidR="00584F7A">
        <w:t>87 [3].</w:t>
      </w:r>
      <w:r w:rsidR="00D34769">
        <w:t xml:space="preserve"> To allow beamforming flexibility, a 3 symbol sPDCCH can be considered for the 3-symbol long sTTI. </w:t>
      </w:r>
    </w:p>
    <w:p w14:paraId="63CA42EA" w14:textId="77777777" w:rsidR="00EE662B" w:rsidRPr="00A971C3" w:rsidRDefault="002E07D2" w:rsidP="00A971C3">
      <w:pPr>
        <w:pStyle w:val="BodyText"/>
        <w:rPr>
          <w:lang w:val="en-US"/>
        </w:rPr>
      </w:pPr>
      <w:r>
        <w:t>F</w:t>
      </w:r>
      <w:r w:rsidR="00350AC4">
        <w:t xml:space="preserve">or DMRS with </w:t>
      </w:r>
      <w:r w:rsidR="00CD5445">
        <w:t>1-slot sTTI</w:t>
      </w:r>
      <w:r w:rsidR="00350AC4">
        <w:t>, a</w:t>
      </w:r>
      <w:r w:rsidR="00CD5445" w:rsidRPr="00547CD9">
        <w:t xml:space="preserve"> </w:t>
      </w:r>
      <w:r w:rsidR="00CD5445">
        <w:t xml:space="preserve">2 symbols sPDCCH is suitable. Separate DMRS </w:t>
      </w:r>
      <w:r w:rsidR="00C3787A">
        <w:t xml:space="preserve">for 1-slot TTI </w:t>
      </w:r>
      <w:r w:rsidR="00CD5445">
        <w:t xml:space="preserve">is preferred to be able to do channel estimation for sPDCCH </w:t>
      </w:r>
      <w:r w:rsidR="00C3787A">
        <w:t xml:space="preserve">and early sPDCCH </w:t>
      </w:r>
      <w:r w:rsidR="00CD5445">
        <w:t>decoding</w:t>
      </w:r>
      <w:r w:rsidR="00C3787A">
        <w:t>.</w:t>
      </w:r>
      <w:r w:rsidR="008A4A72">
        <w:t xml:space="preserve"> Nevertheless, </w:t>
      </w:r>
      <w:r w:rsidR="008A4A72" w:rsidRPr="008A4A72">
        <w:t xml:space="preserve">3 OFDM symbol </w:t>
      </w:r>
      <w:r w:rsidR="008A4A72" w:rsidRPr="008A4A72">
        <w:lastRenderedPageBreak/>
        <w:t xml:space="preserve">sPDCCH is </w:t>
      </w:r>
      <w:r w:rsidR="000B2C04">
        <w:t xml:space="preserve">also suitable </w:t>
      </w:r>
      <w:r w:rsidR="008A4A72" w:rsidRPr="008A4A72">
        <w:t xml:space="preserve">for </w:t>
      </w:r>
      <w:r w:rsidR="000B2C04">
        <w:t>1-</w:t>
      </w:r>
      <w:r w:rsidR="008A4A72" w:rsidRPr="008A4A72">
        <w:t xml:space="preserve">slot sTTI for those cases with only few REs available </w:t>
      </w:r>
      <w:r w:rsidR="000B2C04">
        <w:t>within the first 2 symbols in the slot</w:t>
      </w:r>
      <w:r w:rsidR="008A4A72" w:rsidRPr="008A4A72">
        <w:t xml:space="preserve"> due to reference signals and other kind of overhead</w:t>
      </w:r>
      <w:r w:rsidR="000B2C04">
        <w:t>.</w:t>
      </w:r>
    </w:p>
    <w:p w14:paraId="6175F627" w14:textId="77777777" w:rsidR="00A34AAE" w:rsidRDefault="00610D98" w:rsidP="00A971C3">
      <w:pPr>
        <w:pStyle w:val="BodyText"/>
      </w:pPr>
      <w:r>
        <w:t xml:space="preserve">If </w:t>
      </w:r>
      <w:r w:rsidR="00E568F3">
        <w:t>Proposal 2</w:t>
      </w:r>
      <w:r>
        <w:t xml:space="preserve"> is agreed as a principle, all REs of a PRB in a given sTTI can be used for sPDCCH at the exception of:</w:t>
      </w:r>
    </w:p>
    <w:p w14:paraId="05712CA2" w14:textId="77777777" w:rsidR="00610D98" w:rsidRDefault="00610D98" w:rsidP="000344FD">
      <w:pPr>
        <w:pStyle w:val="BodyText"/>
        <w:numPr>
          <w:ilvl w:val="1"/>
          <w:numId w:val="23"/>
        </w:numPr>
      </w:pPr>
      <w:r>
        <w:t>The REs used by the cell configured CRS</w:t>
      </w:r>
    </w:p>
    <w:p w14:paraId="61C9FCFF" w14:textId="77777777" w:rsidR="00610D98" w:rsidRDefault="00610D98" w:rsidP="000344FD">
      <w:pPr>
        <w:pStyle w:val="BodyText"/>
        <w:numPr>
          <w:ilvl w:val="1"/>
          <w:numId w:val="23"/>
        </w:numPr>
      </w:pPr>
      <w:r>
        <w:t>The REs used by the cell configured non-zero power and zero power CSI-RS</w:t>
      </w:r>
    </w:p>
    <w:p w14:paraId="1CFB9AAE" w14:textId="77777777" w:rsidR="00610D98" w:rsidRDefault="00610D98" w:rsidP="000344FD">
      <w:pPr>
        <w:pStyle w:val="BodyText"/>
        <w:numPr>
          <w:ilvl w:val="1"/>
          <w:numId w:val="23"/>
        </w:numPr>
      </w:pPr>
      <w:r>
        <w:t>The REs used by the (UE-specific) DMRS known to this UE</w:t>
      </w:r>
    </w:p>
    <w:p w14:paraId="7B69C918" w14:textId="77777777" w:rsidR="007C2C5A" w:rsidRDefault="007C2C5A" w:rsidP="007C2C5A">
      <w:pPr>
        <w:pStyle w:val="BodyText"/>
      </w:pPr>
      <w:r>
        <w:t>A UE using CRS-based demodulation will see more REs usable for sPDCCH than a UE using DMRS-based demodulation.</w:t>
      </w:r>
    </w:p>
    <w:p w14:paraId="24548D4A" w14:textId="77777777" w:rsidR="00D221AF" w:rsidRDefault="00D221AF" w:rsidP="007C2C5A">
      <w:pPr>
        <w:pStyle w:val="BodyText"/>
      </w:pPr>
    </w:p>
    <w:p w14:paraId="5ABD1531" w14:textId="77777777" w:rsidR="000B2C04" w:rsidRDefault="00B828CA" w:rsidP="00D221AF">
      <w:pPr>
        <w:pStyle w:val="Proposal"/>
      </w:pPr>
      <w:r>
        <w:t xml:space="preserve">Support </w:t>
      </w:r>
      <w:r w:rsidR="004D41AD">
        <w:t>2 OFDM symbols for DMRS-based sPDCCH transmissions</w:t>
      </w:r>
      <w:r w:rsidR="007C32AF">
        <w:t xml:space="preserve"> for slot sTTI</w:t>
      </w:r>
      <w:r w:rsidR="000B2C04">
        <w:t xml:space="preserve"> </w:t>
      </w:r>
    </w:p>
    <w:p w14:paraId="22E2D351" w14:textId="259002EE" w:rsidR="004D41AD" w:rsidRDefault="000B2C04" w:rsidP="000B2C04">
      <w:pPr>
        <w:pStyle w:val="Proposal"/>
      </w:pPr>
      <w:r>
        <w:t xml:space="preserve">For the case of only few REs available within the first 2 OFDM symbols in a slot, support 3 OFDM symbols </w:t>
      </w:r>
      <w:r w:rsidRPr="000B2C04">
        <w:t>for DMRS-based sPDCCH transmissions for slot sTTI</w:t>
      </w:r>
    </w:p>
    <w:p w14:paraId="72D18E15" w14:textId="0B90BC1D" w:rsidR="007C32AF" w:rsidRDefault="009B36D4" w:rsidP="007C32AF">
      <w:pPr>
        <w:pStyle w:val="Proposal"/>
      </w:pPr>
      <w:r>
        <w:t xml:space="preserve">Support </w:t>
      </w:r>
      <w:r w:rsidR="007C32AF">
        <w:t xml:space="preserve">the same number of OFDM symbols for DMRS-based sPDCCH transmissions as contained in the </w:t>
      </w:r>
      <w:r w:rsidR="00F5199B">
        <w:t xml:space="preserve">DL </w:t>
      </w:r>
      <w:r w:rsidR="007C32AF">
        <w:t>short TTI for 2os sTTI</w:t>
      </w:r>
    </w:p>
    <w:p w14:paraId="6C44BCA7" w14:textId="77777777" w:rsidR="00D221AF" w:rsidRDefault="00D221AF" w:rsidP="007C2C5A">
      <w:pPr>
        <w:pStyle w:val="BodyText"/>
      </w:pPr>
    </w:p>
    <w:p w14:paraId="24064AC8" w14:textId="77777777" w:rsidR="00AB5D50" w:rsidRDefault="00AB5D50" w:rsidP="00AB5D50">
      <w:pPr>
        <w:pStyle w:val="Heading4"/>
      </w:pPr>
      <w:bookmarkStart w:id="9" w:name="_Toc462726029"/>
      <w:bookmarkStart w:id="10" w:name="_Toc462726550"/>
      <w:bookmarkStart w:id="11" w:name="_Toc462733836"/>
      <w:bookmarkStart w:id="12" w:name="_Toc462726169"/>
      <w:bookmarkStart w:id="13" w:name="_Toc462726554"/>
      <w:bookmarkStart w:id="14" w:name="_Toc462733840"/>
      <w:bookmarkStart w:id="15" w:name="_Toc462742569"/>
      <w:bookmarkEnd w:id="9"/>
      <w:bookmarkEnd w:id="10"/>
      <w:bookmarkEnd w:id="11"/>
      <w:bookmarkEnd w:id="12"/>
      <w:bookmarkEnd w:id="13"/>
      <w:bookmarkEnd w:id="14"/>
      <w:bookmarkEnd w:id="15"/>
      <w:r>
        <w:t>sPDCCH mapping</w:t>
      </w:r>
    </w:p>
    <w:p w14:paraId="206F94BA" w14:textId="17BB6AE8" w:rsidR="0099115B" w:rsidRDefault="0099115B" w:rsidP="00B212D1">
      <w:pPr>
        <w:pStyle w:val="BodyText"/>
      </w:pPr>
      <w:r>
        <w:t xml:space="preserve">As agreed in RAN1#88bis, an </w:t>
      </w:r>
      <w:r w:rsidR="00264760">
        <w:t>s</w:t>
      </w:r>
      <w:r w:rsidRPr="0099115B">
        <w:t xml:space="preserve">REG consists of 1 </w:t>
      </w:r>
      <w:r>
        <w:t>P</w:t>
      </w:r>
      <w:r w:rsidRPr="0099115B">
        <w:t>RB within 1 OFDM symbol including RE</w:t>
      </w:r>
      <w:r w:rsidR="00595B36">
        <w:t>s for CRS and/or DMRS applied to</w:t>
      </w:r>
      <w:r w:rsidRPr="0099115B">
        <w:t xml:space="preserve"> DMRS</w:t>
      </w:r>
      <w:r>
        <w:t>-</w:t>
      </w:r>
      <w:r w:rsidRPr="0099115B">
        <w:t>based sPDCCH</w:t>
      </w:r>
      <w:r w:rsidR="00700F38">
        <w:t xml:space="preserve">. Considering a common </w:t>
      </w:r>
      <w:r w:rsidR="00264760">
        <w:t>s</w:t>
      </w:r>
      <w:r>
        <w:t xml:space="preserve">REG definition for CRS-based </w:t>
      </w:r>
      <w:r w:rsidR="00D61DB7">
        <w:t xml:space="preserve">sPDCCH </w:t>
      </w:r>
      <w:r>
        <w:t xml:space="preserve">and DMRS-based </w:t>
      </w:r>
      <w:r w:rsidR="00264760">
        <w:t>s</w:t>
      </w:r>
      <w:r>
        <w:t xml:space="preserve">PDCCH, </w:t>
      </w:r>
      <w:r w:rsidR="00464F28" w:rsidRPr="00464F28">
        <w:t>an</w:t>
      </w:r>
      <w:r w:rsidR="00264760">
        <w:t xml:space="preserve"> s</w:t>
      </w:r>
      <w:r w:rsidR="00464F28" w:rsidRPr="00464F28">
        <w:t>REG consists of 1 PRB within 1 OFDM symbol</w:t>
      </w:r>
      <w:r w:rsidR="00464F28">
        <w:t xml:space="preserve"> should be also defined for CRS-based </w:t>
      </w:r>
      <w:r w:rsidR="00264760">
        <w:t>s</w:t>
      </w:r>
      <w:r w:rsidR="00464F28">
        <w:t>PDCCH.</w:t>
      </w:r>
    </w:p>
    <w:p w14:paraId="73A974A4" w14:textId="77777777" w:rsidR="00E76BEF" w:rsidRDefault="00E76BEF" w:rsidP="00B212D1">
      <w:pPr>
        <w:pStyle w:val="BodyText"/>
      </w:pPr>
    </w:p>
    <w:p w14:paraId="46ECA5F3" w14:textId="68D0F17A" w:rsidR="00464F28" w:rsidRDefault="001C15CD" w:rsidP="00464F28">
      <w:pPr>
        <w:pStyle w:val="Proposal"/>
      </w:pPr>
      <w:r>
        <w:t>Confirm the working assumption: a</w:t>
      </w:r>
      <w:r w:rsidR="00464F28" w:rsidRPr="00464F28">
        <w:t xml:space="preserve">n </w:t>
      </w:r>
      <w:r w:rsidR="004E4EE3">
        <w:t>sREG</w:t>
      </w:r>
      <w:r w:rsidR="00464F28" w:rsidRPr="00464F28">
        <w:t xml:space="preserve"> consists of 1 PRB within 1 OFDM symbol including REs for </w:t>
      </w:r>
      <w:r w:rsidR="007E444A">
        <w:t>CRS and/or DMRS applied for</w:t>
      </w:r>
      <w:r w:rsidR="00464F28">
        <w:t xml:space="preserve"> C</w:t>
      </w:r>
      <w:r w:rsidR="00464F28" w:rsidRPr="00464F28">
        <w:t>RS-based sPDCCH</w:t>
      </w:r>
    </w:p>
    <w:p w14:paraId="7FA7242E" w14:textId="77777777" w:rsidR="00464F28" w:rsidRDefault="00464F28" w:rsidP="00B212D1">
      <w:pPr>
        <w:pStyle w:val="BodyText"/>
      </w:pPr>
    </w:p>
    <w:p w14:paraId="05352240" w14:textId="1E563B7A" w:rsidR="00605FC8" w:rsidRDefault="00FE6212" w:rsidP="00EC14B8">
      <w:pPr>
        <w:pStyle w:val="BodyText"/>
      </w:pPr>
      <w:r>
        <w:t>Assuming that sPDCCH spans only the first OFDM symbol</w:t>
      </w:r>
      <w:r w:rsidR="00700F38">
        <w:t xml:space="preserve"> of a 2 symbol sTTI and that an </w:t>
      </w:r>
      <w:r w:rsidR="004E4EE3">
        <w:t>s</w:t>
      </w:r>
      <w:r>
        <w:t>CCE is composed of 36 REs like a</w:t>
      </w:r>
      <w:r w:rsidR="00C101FF">
        <w:t>n</w:t>
      </w:r>
      <w:r w:rsidR="00700F38">
        <w:t xml:space="preserve"> E</w:t>
      </w:r>
      <w:r>
        <w:t xml:space="preserve">CCE or a CCE, 3 PRBs are needed </w:t>
      </w:r>
      <w:r w:rsidR="00700F38">
        <w:t xml:space="preserve">to build a </w:t>
      </w:r>
      <w:r w:rsidR="004E4EE3">
        <w:t>s</w:t>
      </w:r>
      <w:r w:rsidR="00D66D55">
        <w:t>CCE</w:t>
      </w:r>
      <w:r w:rsidR="00700F38">
        <w:t xml:space="preserve"> (i.e. 3 </w:t>
      </w:r>
      <w:r w:rsidR="004E4EE3">
        <w:t>sREG</w:t>
      </w:r>
      <w:r w:rsidR="00360608">
        <w:t>)</w:t>
      </w:r>
      <w:r w:rsidR="00D66D55">
        <w:t>. These 3 PRBs can</w:t>
      </w:r>
      <w:r w:rsidR="007E444A">
        <w:t xml:space="preserve"> be distributed over the sPDCCH-PRB-</w:t>
      </w:r>
      <w:r w:rsidR="00D66D55">
        <w:t>set</w:t>
      </w:r>
      <w:r w:rsidR="00EB5D35">
        <w:t xml:space="preserve"> or can be loca</w:t>
      </w:r>
      <w:r w:rsidR="00FE4374">
        <w:t>lized as three consecutive PRBs</w:t>
      </w:r>
      <w:r w:rsidR="00700F38">
        <w:t xml:space="preserve">. In Figure 1, </w:t>
      </w:r>
      <w:r w:rsidR="00CC6D34">
        <w:t xml:space="preserve">an example of </w:t>
      </w:r>
      <w:r w:rsidR="00F63C59">
        <w:t>distributed and localized configuration</w:t>
      </w:r>
      <w:r w:rsidR="00700F38">
        <w:t xml:space="preserve">s are depicted for </w:t>
      </w:r>
      <w:r w:rsidR="004E4EE3">
        <w:t>4</w:t>
      </w:r>
      <w:r w:rsidR="00700F38">
        <w:t xml:space="preserve"> </w:t>
      </w:r>
      <w:r w:rsidR="004E4EE3">
        <w:t>s</w:t>
      </w:r>
      <w:r w:rsidR="00F63C59">
        <w:t>CCEs</w:t>
      </w:r>
      <w:r w:rsidR="00700F38">
        <w:t xml:space="preserve"> and 1 OFDM symbol s</w:t>
      </w:r>
      <w:r w:rsidR="00E76BEF">
        <w:t>PDCCH</w:t>
      </w:r>
      <w:r w:rsidR="00CC6D34">
        <w:t xml:space="preserve"> (</w:t>
      </w:r>
      <w:r w:rsidR="00CC6D34" w:rsidRPr="00CC6D34">
        <w:t xml:space="preserve">the unused PRBs shown in Figure </w:t>
      </w:r>
      <w:r w:rsidR="001A38B4">
        <w:t xml:space="preserve">1 </w:t>
      </w:r>
      <w:r w:rsidR="00CC6D34" w:rsidRPr="00CC6D34">
        <w:t>can be further assigned for building other sCCE as well as the possibility to be used for sPDSCH allocation</w:t>
      </w:r>
      <w:r w:rsidR="00CC6D34">
        <w:t>)</w:t>
      </w:r>
      <w:r w:rsidR="00F63C59">
        <w:t>.</w:t>
      </w:r>
    </w:p>
    <w:p w14:paraId="2F38BAF2" w14:textId="77777777" w:rsidR="00E24976" w:rsidRDefault="00E24976" w:rsidP="00EC14B8">
      <w:pPr>
        <w:pStyle w:val="BodyText"/>
      </w:pPr>
    </w:p>
    <w:p w14:paraId="626F9DFB" w14:textId="358E1327" w:rsidR="00C0309C" w:rsidRDefault="004E4EE3" w:rsidP="00C0309C">
      <w:pPr>
        <w:pStyle w:val="BodyText"/>
        <w:keepNext/>
        <w:jc w:val="center"/>
      </w:pPr>
      <w:r w:rsidRPr="004E4EE3">
        <w:rPr>
          <w:noProof/>
          <w:lang w:val="en-US" w:eastAsia="en-US"/>
        </w:rPr>
        <w:t xml:space="preserve"> </w:t>
      </w:r>
      <w:r>
        <w:rPr>
          <w:noProof/>
          <w:lang w:val="sv-SE" w:eastAsia="sv-SE"/>
        </w:rPr>
        <w:drawing>
          <wp:inline distT="0" distB="0" distL="0" distR="0" wp14:anchorId="23F514D2" wp14:editId="29A32CAF">
            <wp:extent cx="3867150" cy="1775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8204" cy="1780808"/>
                    </a:xfrm>
                    <a:prstGeom prst="rect">
                      <a:avLst/>
                    </a:prstGeom>
                  </pic:spPr>
                </pic:pic>
              </a:graphicData>
            </a:graphic>
          </wp:inline>
        </w:drawing>
      </w:r>
    </w:p>
    <w:p w14:paraId="6F0C90E1" w14:textId="1650E15B" w:rsidR="00FE4374" w:rsidRDefault="00C0309C" w:rsidP="00C0309C">
      <w:pPr>
        <w:pStyle w:val="Caption"/>
      </w:pPr>
      <w:r>
        <w:t xml:space="preserve">Figure </w:t>
      </w:r>
      <w:r>
        <w:fldChar w:fldCharType="begin"/>
      </w:r>
      <w:r>
        <w:instrText xml:space="preserve"> SEQ Figure \* ARABIC </w:instrText>
      </w:r>
      <w:r>
        <w:fldChar w:fldCharType="separate"/>
      </w:r>
      <w:r w:rsidR="00A36326">
        <w:rPr>
          <w:noProof/>
        </w:rPr>
        <w:t>1</w:t>
      </w:r>
      <w:r>
        <w:fldChar w:fldCharType="end"/>
      </w:r>
      <w:r>
        <w:t xml:space="preserve"> Distributed an</w:t>
      </w:r>
      <w:r w:rsidR="00582C68">
        <w:t xml:space="preserve">d Localized configurations for </w:t>
      </w:r>
      <w:r w:rsidR="004E4EE3">
        <w:t>4</w:t>
      </w:r>
      <w:r w:rsidR="00700F38">
        <w:t xml:space="preserve"> </w:t>
      </w:r>
      <w:r w:rsidR="004E4EE3">
        <w:t>sCCE</w:t>
      </w:r>
      <w:r w:rsidR="00700F38">
        <w:t xml:space="preserve"> composed of 3 </w:t>
      </w:r>
      <w:r w:rsidR="004E4EE3">
        <w:t>sREG</w:t>
      </w:r>
      <w:r>
        <w:t>s</w:t>
      </w:r>
      <w:r w:rsidR="00582C68">
        <w:t xml:space="preserve"> each</w:t>
      </w:r>
      <w:r>
        <w:t xml:space="preserve"> within a 1os-</w:t>
      </w:r>
      <w:r w:rsidR="00700F38">
        <w:t>s</w:t>
      </w:r>
      <w:r w:rsidR="00582C68">
        <w:t>PDCCH-PRB-set</w:t>
      </w:r>
      <w:r w:rsidR="001A38B4">
        <w:t xml:space="preserve"> consisting of 18 PRBs</w:t>
      </w:r>
    </w:p>
    <w:p w14:paraId="501EFAC1" w14:textId="77777777" w:rsidR="00FE4374" w:rsidRDefault="00FE4374" w:rsidP="00EC14B8">
      <w:pPr>
        <w:pStyle w:val="BodyText"/>
      </w:pPr>
    </w:p>
    <w:p w14:paraId="4F86910F" w14:textId="77777777" w:rsidR="00760BF7" w:rsidRDefault="00BF32DB" w:rsidP="00BF32DB">
      <w:r>
        <w:t xml:space="preserve">The same considerations described above for 1 OFDM symbol sPDCCH can be extended for 2 OFDM symbols sPDCCH. 2 OFDM symbols are suitable for CRS-based sPDCCH transmissions over poor channel conditions </w:t>
      </w:r>
      <w:r>
        <w:lastRenderedPageBreak/>
        <w:t xml:space="preserve">or for the short TTI operation within a </w:t>
      </w:r>
      <w:r w:rsidRPr="00D325BC">
        <w:t xml:space="preserve">small </w:t>
      </w:r>
      <w:r>
        <w:t>frequency region. Likewise, as mentioned, 2 OFDM symbols sPDCCH is more suitable for DMRS-based transmissions.</w:t>
      </w:r>
      <w:r w:rsidR="00582C68">
        <w:t xml:space="preserve"> </w:t>
      </w:r>
    </w:p>
    <w:p w14:paraId="346CA74E" w14:textId="1EB93F49" w:rsidR="00982B48" w:rsidRDefault="00700F38" w:rsidP="00BF32DB">
      <w:r>
        <w:t xml:space="preserve">If three </w:t>
      </w:r>
      <w:r w:rsidR="004E4EE3">
        <w:t>s</w:t>
      </w:r>
      <w:r>
        <w:t xml:space="preserve">REG are needed to build an </w:t>
      </w:r>
      <w:r w:rsidR="004E4EE3">
        <w:t>s</w:t>
      </w:r>
      <w:r w:rsidR="00582C68">
        <w:t xml:space="preserve">CCE, there are two mapping options </w:t>
      </w:r>
      <w:r>
        <w:t>to</w:t>
      </w:r>
      <w:r w:rsidR="00582C68">
        <w:t xml:space="preserve"> be considered</w:t>
      </w:r>
      <w:r>
        <w:t xml:space="preserve"> for 2 OFDM symbol s</w:t>
      </w:r>
      <w:r w:rsidR="00E76BEF">
        <w:t>PDCCH</w:t>
      </w:r>
      <w:r w:rsidR="00982B48">
        <w:t>. These options including an example of distributed and localized configurations are depicted for 4 sCCEs and 2 OFDM symbols sPDCCH in Figure 2 (</w:t>
      </w:r>
      <w:r w:rsidR="00982B48" w:rsidRPr="00CC6D34">
        <w:t xml:space="preserve">the unused PRBs shown in </w:t>
      </w:r>
      <w:r w:rsidR="00982B48">
        <w:t xml:space="preserve">the </w:t>
      </w:r>
      <w:r w:rsidR="00982B48" w:rsidRPr="00CC6D34">
        <w:t>Figure can be further assigned for building other sCCE as well as the possibility to be used for sPDSCH allocation</w:t>
      </w:r>
      <w:r w:rsidR="00982B48">
        <w:t>)</w:t>
      </w:r>
      <w:r w:rsidR="00582C68">
        <w:t>.</w:t>
      </w:r>
      <w:r w:rsidR="00982B48">
        <w:t xml:space="preserve"> </w:t>
      </w:r>
    </w:p>
    <w:p w14:paraId="7877C935" w14:textId="43BD9A54" w:rsidR="00BF32DB" w:rsidRDefault="00C355A8" w:rsidP="00BF32DB">
      <w:r>
        <w:t xml:space="preserve">In option A (Figure 2-left), the </w:t>
      </w:r>
      <w:r w:rsidR="004E4EE3">
        <w:t>s</w:t>
      </w:r>
      <w:r>
        <w:t xml:space="preserve">REG forming an </w:t>
      </w:r>
      <w:r w:rsidR="004E4EE3">
        <w:t>s</w:t>
      </w:r>
      <w:r>
        <w:t>CCE are selected in the order: time-first-frequency-second. Thus, it is possible to utilize from the beginning the 2 OFDM symbols available per PRB. However, option A comprises</w:t>
      </w:r>
      <w:r w:rsidR="00E76BEF">
        <w:t xml:space="preserve"> a low</w:t>
      </w:r>
      <w:r w:rsidR="00700F38">
        <w:t xml:space="preserve"> frequency diversity of the </w:t>
      </w:r>
      <w:r w:rsidR="004E4EE3">
        <w:t>s</w:t>
      </w:r>
      <w:r>
        <w:t xml:space="preserve">REG </w:t>
      </w:r>
      <w:r w:rsidR="00700F38">
        <w:t>in</w:t>
      </w:r>
      <w:r>
        <w:t xml:space="preserve"> a distributed configuration.</w:t>
      </w:r>
      <w:r w:rsidR="00115D13">
        <w:t xml:space="preserve"> </w:t>
      </w:r>
      <w:r>
        <w:t xml:space="preserve">On the other hand, </w:t>
      </w:r>
      <w:r w:rsidR="00700F38">
        <w:t xml:space="preserve">in </w:t>
      </w:r>
      <w:r>
        <w:t>option B (Figure 2-right)</w:t>
      </w:r>
      <w:r w:rsidR="00115D13">
        <w:t xml:space="preserve">, </w:t>
      </w:r>
      <w:r w:rsidR="00115D13" w:rsidRPr="00115D13">
        <w:t xml:space="preserve">the </w:t>
      </w:r>
      <w:r w:rsidR="004E4EE3">
        <w:t>s</w:t>
      </w:r>
      <w:r w:rsidR="00115D13" w:rsidRPr="00115D13">
        <w:t xml:space="preserve">REG forming an </w:t>
      </w:r>
      <w:r w:rsidR="004E4EE3">
        <w:t>s</w:t>
      </w:r>
      <w:r w:rsidR="00115D13" w:rsidRPr="00115D13">
        <w:t>CCE are selected in the order: frequency-first-</w:t>
      </w:r>
      <w:r w:rsidR="00115D13">
        <w:t>time</w:t>
      </w:r>
      <w:r w:rsidR="00115D13" w:rsidRPr="00115D13">
        <w:t>-second</w:t>
      </w:r>
      <w:r w:rsidR="00115D13">
        <w:t>. With option B, hig</w:t>
      </w:r>
      <w:r w:rsidR="00700F38">
        <w:t xml:space="preserve">her frequency diversity of the </w:t>
      </w:r>
      <w:r w:rsidR="004E4EE3">
        <w:t>s</w:t>
      </w:r>
      <w:r w:rsidR="00115D13">
        <w:t>REG can be achieved. For both options, the localized configuration comprises same conditions.</w:t>
      </w:r>
    </w:p>
    <w:p w14:paraId="7385D586" w14:textId="77777777" w:rsidR="00BD3239" w:rsidRDefault="00BD3239" w:rsidP="00BF32DB"/>
    <w:p w14:paraId="480CCB00" w14:textId="66A61825" w:rsidR="001E393B" w:rsidRDefault="00760BF7" w:rsidP="00BD3239">
      <w:pPr>
        <w:pStyle w:val="Observation"/>
      </w:pPr>
      <w:r>
        <w:t xml:space="preserve">Selecting the </w:t>
      </w:r>
      <w:r w:rsidR="00F37FEA">
        <w:t>s</w:t>
      </w:r>
      <w:r w:rsidR="004E4EE3">
        <w:t>REG</w:t>
      </w:r>
      <w:r w:rsidRPr="00115D13">
        <w:t xml:space="preserve"> forming an </w:t>
      </w:r>
      <w:r w:rsidR="00F37FEA">
        <w:t>s</w:t>
      </w:r>
      <w:r w:rsidR="004E4EE3">
        <w:t>CCE</w:t>
      </w:r>
      <w:r w:rsidRPr="00115D13">
        <w:t xml:space="preserve"> in the order frequency-first-time-second</w:t>
      </w:r>
      <w:r>
        <w:t>, higher frequency diversity can be achieved</w:t>
      </w:r>
    </w:p>
    <w:p w14:paraId="6CAA3757" w14:textId="079A5DCA" w:rsidR="00BD3239" w:rsidRDefault="00BD3239" w:rsidP="007141EB">
      <w:pPr>
        <w:pStyle w:val="Observation"/>
        <w:numPr>
          <w:ilvl w:val="0"/>
          <w:numId w:val="0"/>
        </w:numPr>
        <w:ind w:left="360"/>
      </w:pPr>
    </w:p>
    <w:p w14:paraId="2B0F02D3" w14:textId="0CF9326A" w:rsidR="00C621E7" w:rsidRDefault="004E4EE3" w:rsidP="00C621E7">
      <w:pPr>
        <w:keepNext/>
        <w:jc w:val="center"/>
      </w:pPr>
      <w:r w:rsidRPr="004E4EE3">
        <w:rPr>
          <w:noProof/>
          <w:lang w:val="en-US" w:eastAsia="en-US"/>
        </w:rPr>
        <w:t xml:space="preserve"> </w:t>
      </w:r>
      <w:r>
        <w:rPr>
          <w:noProof/>
          <w:lang w:val="sv-SE" w:eastAsia="sv-SE"/>
        </w:rPr>
        <w:drawing>
          <wp:inline distT="0" distB="0" distL="0" distR="0" wp14:anchorId="078725CE" wp14:editId="2A2E3B24">
            <wp:extent cx="6120765" cy="154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544320"/>
                    </a:xfrm>
                    <a:prstGeom prst="rect">
                      <a:avLst/>
                    </a:prstGeom>
                  </pic:spPr>
                </pic:pic>
              </a:graphicData>
            </a:graphic>
          </wp:inline>
        </w:drawing>
      </w:r>
    </w:p>
    <w:p w14:paraId="79EC3064" w14:textId="2A25ADD3" w:rsidR="00C621E7" w:rsidRDefault="00C621E7" w:rsidP="00C621E7">
      <w:pPr>
        <w:pStyle w:val="Caption"/>
      </w:pPr>
      <w:r>
        <w:t xml:space="preserve">Figure </w:t>
      </w:r>
      <w:r>
        <w:fldChar w:fldCharType="begin"/>
      </w:r>
      <w:r>
        <w:instrText xml:space="preserve"> SEQ Figure \* ARABIC </w:instrText>
      </w:r>
      <w:r>
        <w:fldChar w:fldCharType="separate"/>
      </w:r>
      <w:r w:rsidR="00A36326">
        <w:rPr>
          <w:noProof/>
        </w:rPr>
        <w:t>2</w:t>
      </w:r>
      <w:r>
        <w:fldChar w:fldCharType="end"/>
      </w:r>
      <w:r w:rsidR="00582C68">
        <w:t xml:space="preserve"> </w:t>
      </w:r>
      <w:r w:rsidR="00582C68" w:rsidRPr="00582C68">
        <w:t>Distributed an</w:t>
      </w:r>
      <w:r w:rsidR="00582C68">
        <w:t xml:space="preserve">d Localized configurations for </w:t>
      </w:r>
      <w:r w:rsidR="004E4EE3">
        <w:t>4</w:t>
      </w:r>
      <w:r w:rsidR="00582C68" w:rsidRPr="00582C68">
        <w:t xml:space="preserve"> </w:t>
      </w:r>
      <w:r w:rsidR="004E4EE3">
        <w:t>s</w:t>
      </w:r>
      <w:r w:rsidR="00582C68" w:rsidRPr="00582C68">
        <w:t xml:space="preserve">CCE composed of 3 </w:t>
      </w:r>
      <w:r w:rsidR="004E4EE3">
        <w:t>s</w:t>
      </w:r>
      <w:r w:rsidR="00582C68" w:rsidRPr="00582C68">
        <w:t>REGs</w:t>
      </w:r>
      <w:r w:rsidR="00582C68">
        <w:t xml:space="preserve"> each</w:t>
      </w:r>
      <w:r w:rsidR="00582C68" w:rsidRPr="00582C68">
        <w:t xml:space="preserve"> within a </w:t>
      </w:r>
      <w:r w:rsidR="00582C68">
        <w:t>2</w:t>
      </w:r>
      <w:r w:rsidR="00582C68" w:rsidRPr="00582C68">
        <w:t>os-</w:t>
      </w:r>
      <w:r w:rsidR="00663669">
        <w:t>s</w:t>
      </w:r>
      <w:r w:rsidR="00582C68" w:rsidRPr="00582C68">
        <w:t>PDCCH-PRB-set</w:t>
      </w:r>
      <w:r w:rsidR="00582C68">
        <w:t>. Option A: Time-first-frequency-second. Option B: Frequency-first-time-second</w:t>
      </w:r>
    </w:p>
    <w:p w14:paraId="75096110" w14:textId="77777777" w:rsidR="00760BF7" w:rsidRPr="00760BF7" w:rsidRDefault="00760BF7" w:rsidP="00760BF7"/>
    <w:p w14:paraId="03DDA305" w14:textId="589BFF9A" w:rsidR="00F63C59" w:rsidRDefault="008C7292" w:rsidP="00F63C59">
      <w:pPr>
        <w:pStyle w:val="BodyText"/>
      </w:pPr>
      <w:r>
        <w:t xml:space="preserve">As described above, </w:t>
      </w:r>
      <w:r w:rsidR="00F63C59">
        <w:t xml:space="preserve">the actual number of REs in a </w:t>
      </w:r>
      <w:r w:rsidR="004E4EE3">
        <w:t>sREG</w:t>
      </w:r>
      <w:r w:rsidR="00F63C59">
        <w:t xml:space="preserve"> usable for sPDCCH may be variable depending on the presence of </w:t>
      </w:r>
      <w:r>
        <w:t xml:space="preserve">the already mentioned </w:t>
      </w:r>
      <w:r w:rsidR="00F63C59">
        <w:t>reference signals</w:t>
      </w:r>
      <w:r>
        <w:t>. Based on this, the</w:t>
      </w:r>
      <w:r w:rsidR="00F63C59">
        <w:t xml:space="preserve"> eNB should carefully select an appropriate aggregation level based on the presence of other signals in a given sTTI.</w:t>
      </w:r>
      <w:r>
        <w:t xml:space="preserve"> </w:t>
      </w:r>
      <w:r w:rsidR="00720210">
        <w:t>For the case of</w:t>
      </w:r>
      <w:r>
        <w:t xml:space="preserve"> high overhead of reference signals, a minimum aggregation level of 2, i.e. 2 </w:t>
      </w:r>
      <w:r w:rsidR="004E4EE3">
        <w:t>s</w:t>
      </w:r>
      <w:r>
        <w:t>CCE, could be considered</w:t>
      </w:r>
      <w:r w:rsidR="00A44C89">
        <w:t xml:space="preserve"> assuming that a</w:t>
      </w:r>
      <w:r w:rsidR="00982B48">
        <w:t>n</w:t>
      </w:r>
      <w:r w:rsidR="00A44C89">
        <w:t xml:space="preserve"> </w:t>
      </w:r>
      <w:r w:rsidR="004E4EE3">
        <w:t>s</w:t>
      </w:r>
      <w:r w:rsidR="00A44C89">
        <w:t xml:space="preserve">CCE is defined as 3 </w:t>
      </w:r>
      <w:r w:rsidR="004E4EE3">
        <w:t>s</w:t>
      </w:r>
      <w:r w:rsidR="00A44C89">
        <w:t>REG</w:t>
      </w:r>
      <w:r>
        <w:t xml:space="preserve">. Thus, and as depicted in Figure 2, </w:t>
      </w:r>
      <w:r w:rsidR="00956B82">
        <w:t>three full PRB are utilized</w:t>
      </w:r>
      <w:r w:rsidR="00982B48">
        <w:t xml:space="preserve"> for 2 sCCE</w:t>
      </w:r>
      <w:r w:rsidR="00956B82">
        <w:t>.</w:t>
      </w:r>
    </w:p>
    <w:p w14:paraId="68C3A233" w14:textId="77777777" w:rsidR="00F63C59" w:rsidRDefault="00F63C59" w:rsidP="00F63C59">
      <w:pPr>
        <w:pStyle w:val="BodyText"/>
      </w:pPr>
    </w:p>
    <w:p w14:paraId="34325EE3" w14:textId="654F0916" w:rsidR="00FE4374" w:rsidRDefault="00F63C59" w:rsidP="00F63C59">
      <w:pPr>
        <w:pStyle w:val="Observation"/>
      </w:pPr>
      <w:bookmarkStart w:id="16" w:name="_Toc462726558"/>
      <w:bookmarkStart w:id="17" w:name="_Toc462742563"/>
      <w:bookmarkStart w:id="18" w:name="_Toc462743710"/>
      <w:bookmarkStart w:id="19" w:name="_Toc462744224"/>
      <w:bookmarkStart w:id="20" w:name="_Toc462744787"/>
      <w:r>
        <w:t xml:space="preserve">The number of usable REs within one </w:t>
      </w:r>
      <w:r w:rsidR="004E4EE3">
        <w:t>sREG</w:t>
      </w:r>
      <w:r>
        <w:t xml:space="preserve"> may be different depending on the presence of reference signals within the </w:t>
      </w:r>
      <w:bookmarkEnd w:id="16"/>
      <w:bookmarkEnd w:id="17"/>
      <w:bookmarkEnd w:id="18"/>
      <w:bookmarkEnd w:id="19"/>
      <w:bookmarkEnd w:id="20"/>
      <w:r w:rsidR="00C207B3">
        <w:t>sTTI</w:t>
      </w:r>
    </w:p>
    <w:p w14:paraId="0B6EF493" w14:textId="26311651" w:rsidR="00BB09B6" w:rsidRDefault="00A4028B" w:rsidP="00F63C59">
      <w:pPr>
        <w:pStyle w:val="Observation"/>
      </w:pPr>
      <w:r>
        <w:t>A higher</w:t>
      </w:r>
      <w:r w:rsidR="00BB09B6">
        <w:t xml:space="preserve"> aggregation level </w:t>
      </w:r>
      <w:r w:rsidR="00DD442E">
        <w:t xml:space="preserve">can </w:t>
      </w:r>
      <w:r w:rsidR="00C91B06">
        <w:t>cope with</w:t>
      </w:r>
      <w:r w:rsidR="00BB09B6">
        <w:t xml:space="preserve"> high </w:t>
      </w:r>
      <w:r>
        <w:t xml:space="preserve">RS </w:t>
      </w:r>
      <w:r w:rsidR="00720210">
        <w:t>overhead</w:t>
      </w:r>
    </w:p>
    <w:p w14:paraId="0C9BA715" w14:textId="77777777" w:rsidR="00682D74" w:rsidRDefault="00682D74" w:rsidP="00682D74">
      <w:pPr>
        <w:pStyle w:val="BodyText"/>
      </w:pPr>
    </w:p>
    <w:p w14:paraId="7800920A" w14:textId="488585E1" w:rsidR="00C4072C" w:rsidRDefault="00DD442E">
      <w:r>
        <w:t>For DMRS-based sPDCCH, a</w:t>
      </w:r>
      <w:r w:rsidR="00C207B3">
        <w:t xml:space="preserve"> </w:t>
      </w:r>
      <w:r w:rsidR="00700F38">
        <w:t>further</w:t>
      </w:r>
      <w:r w:rsidR="00C207B3">
        <w:t xml:space="preserve"> option to consider </w:t>
      </w:r>
      <w:r w:rsidR="004E4EE3">
        <w:t xml:space="preserve">in order </w:t>
      </w:r>
      <w:r>
        <w:t>to increase</w:t>
      </w:r>
      <w:r w:rsidR="004E4EE3">
        <w:t xml:space="preserve"> </w:t>
      </w:r>
      <w:r>
        <w:t>the number of</w:t>
      </w:r>
      <w:r w:rsidR="00C207B3" w:rsidRPr="00C207B3">
        <w:t xml:space="preserve"> REs available within 2 </w:t>
      </w:r>
      <w:r w:rsidR="00C207B3">
        <w:t xml:space="preserve">OFDM </w:t>
      </w:r>
      <w:r w:rsidR="00C207B3" w:rsidRPr="00C207B3">
        <w:t>symbols</w:t>
      </w:r>
      <w:r w:rsidR="00C207B3">
        <w:t xml:space="preserve"> SPDCCH is that </w:t>
      </w:r>
      <w:r w:rsidR="00720210">
        <w:t>a</w:t>
      </w:r>
      <w:r w:rsidR="00982B48">
        <w:t>n</w:t>
      </w:r>
      <w:r w:rsidR="00720210">
        <w:t xml:space="preserve"> </w:t>
      </w:r>
      <w:r w:rsidR="004E4EE3">
        <w:t>s</w:t>
      </w:r>
      <w:r w:rsidR="00C207B3" w:rsidRPr="00C207B3">
        <w:t xml:space="preserve">CCE </w:t>
      </w:r>
      <w:r w:rsidR="00700F38">
        <w:t>is</w:t>
      </w:r>
      <w:r w:rsidR="00C207B3" w:rsidRPr="00C207B3">
        <w:t xml:space="preserve"> defined to be compo</w:t>
      </w:r>
      <w:r w:rsidR="00C207B3">
        <w:t xml:space="preserve">sed by 48 REs instead of 36 REs, i.e. 1 </w:t>
      </w:r>
      <w:r w:rsidR="00982B48">
        <w:t>s</w:t>
      </w:r>
      <w:r w:rsidR="004E4EE3">
        <w:t>CCE</w:t>
      </w:r>
      <w:r w:rsidR="00C207B3">
        <w:t xml:space="preserve"> = 4 </w:t>
      </w:r>
      <w:r w:rsidR="004E4EE3">
        <w:t>sREG</w:t>
      </w:r>
      <w:r w:rsidR="00C207B3">
        <w:t>.</w:t>
      </w:r>
      <w:r w:rsidR="00C207B3" w:rsidRPr="00C207B3">
        <w:t xml:space="preserve"> </w:t>
      </w:r>
      <w:r>
        <w:t xml:space="preserve">The 12 additional REs help compensating the DMRS overhead compared to CRS based sPDCCH. </w:t>
      </w:r>
      <w:r w:rsidR="00C207B3" w:rsidRPr="00C207B3">
        <w:t>Therefore, for 2 OFDM symbol sPDCCH, a</w:t>
      </w:r>
      <w:r w:rsidR="00700F38">
        <w:t xml:space="preserve">n </w:t>
      </w:r>
      <w:r w:rsidR="004E4EE3">
        <w:t>sCCE</w:t>
      </w:r>
      <w:r w:rsidR="00C207B3" w:rsidRPr="00C207B3">
        <w:t xml:space="preserve"> is composed of 2 full PRB</w:t>
      </w:r>
      <w:r w:rsidR="007F18A3">
        <w:t>, as shown in Figure 3.</w:t>
      </w:r>
      <w:r w:rsidR="00982B48">
        <w:t xml:space="preserve"> Figure 3 shows an example of distributed and localized configurations for 4 sCCEs (</w:t>
      </w:r>
      <w:r w:rsidR="00982B48" w:rsidRPr="00CC6D34">
        <w:t xml:space="preserve">the unused PRBs shown in </w:t>
      </w:r>
      <w:r w:rsidR="00982B48">
        <w:t xml:space="preserve">the </w:t>
      </w:r>
      <w:r w:rsidR="00461783">
        <w:t>f</w:t>
      </w:r>
      <w:r w:rsidR="00982B48" w:rsidRPr="00CC6D34">
        <w:t>igure can be further assigned for building other sCCE as well as the possibility to be used for sPDSCH allocation</w:t>
      </w:r>
      <w:r w:rsidR="00982B48">
        <w:t>).</w:t>
      </w:r>
    </w:p>
    <w:p w14:paraId="2AED4F04" w14:textId="77777777" w:rsidR="00C4072C" w:rsidRDefault="00C4072C"/>
    <w:p w14:paraId="2858712F" w14:textId="77777777" w:rsidR="00C4072C" w:rsidRDefault="00C4072C" w:rsidP="00C4072C">
      <w:pPr>
        <w:pStyle w:val="Proposal"/>
      </w:pPr>
      <w:r>
        <w:t>One sCCE</w:t>
      </w:r>
      <w:r w:rsidRPr="0085075F">
        <w:t xml:space="preserve"> </w:t>
      </w:r>
      <w:r>
        <w:t>is composed by 36 REs, i.e. 3 sREG</w:t>
      </w:r>
      <w:r w:rsidRPr="0085075F">
        <w:t xml:space="preserve">, for 1os and 2os </w:t>
      </w:r>
      <w:r>
        <w:t xml:space="preserve">CRS-based </w:t>
      </w:r>
      <w:r w:rsidRPr="0085075F">
        <w:t>sPDCCH</w:t>
      </w:r>
      <w:r>
        <w:t xml:space="preserve"> </w:t>
      </w:r>
    </w:p>
    <w:p w14:paraId="63FAD3F1" w14:textId="77777777" w:rsidR="00C4072C" w:rsidRPr="007E444A" w:rsidRDefault="00C4072C" w:rsidP="00C4072C">
      <w:pPr>
        <w:pStyle w:val="Proposal"/>
      </w:pPr>
      <w:r>
        <w:t>One sCCE is composed by 48 REs, i.e. 4 sREG (2 full PRB), for 2os</w:t>
      </w:r>
      <w:r w:rsidRPr="00DD442E">
        <w:t xml:space="preserve"> </w:t>
      </w:r>
      <w:r>
        <w:t xml:space="preserve">DMRS-based sPDCCH </w:t>
      </w:r>
    </w:p>
    <w:p w14:paraId="318188E4" w14:textId="77777777" w:rsidR="007F18A3" w:rsidRDefault="007F18A3" w:rsidP="008149FE"/>
    <w:p w14:paraId="516D56DD" w14:textId="6A32BDA2" w:rsidR="007F18A3" w:rsidRDefault="00200C8C" w:rsidP="007F18A3">
      <w:pPr>
        <w:keepNext/>
        <w:jc w:val="center"/>
      </w:pPr>
      <w:r w:rsidRPr="00200C8C">
        <w:rPr>
          <w:noProof/>
          <w:lang w:val="en-US" w:eastAsia="en-US"/>
        </w:rPr>
        <w:t xml:space="preserve"> </w:t>
      </w:r>
      <w:r>
        <w:rPr>
          <w:noProof/>
          <w:lang w:val="sv-SE" w:eastAsia="sv-SE"/>
        </w:rPr>
        <w:drawing>
          <wp:inline distT="0" distB="0" distL="0" distR="0" wp14:anchorId="12417B14" wp14:editId="35AD6BE3">
            <wp:extent cx="4140679" cy="19091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69478" cy="1922402"/>
                    </a:xfrm>
                    <a:prstGeom prst="rect">
                      <a:avLst/>
                    </a:prstGeom>
                  </pic:spPr>
                </pic:pic>
              </a:graphicData>
            </a:graphic>
          </wp:inline>
        </w:drawing>
      </w:r>
    </w:p>
    <w:p w14:paraId="6AAA336D" w14:textId="151123A8" w:rsidR="00582C68" w:rsidRDefault="007F18A3" w:rsidP="007F18A3">
      <w:pPr>
        <w:pStyle w:val="Caption"/>
      </w:pPr>
      <w:r>
        <w:t xml:space="preserve">Figure </w:t>
      </w:r>
      <w:r>
        <w:fldChar w:fldCharType="begin"/>
      </w:r>
      <w:r>
        <w:instrText xml:space="preserve"> SEQ Figure \* ARABIC </w:instrText>
      </w:r>
      <w:r>
        <w:fldChar w:fldCharType="separate"/>
      </w:r>
      <w:r w:rsidR="00A36326">
        <w:rPr>
          <w:noProof/>
        </w:rPr>
        <w:t>3</w:t>
      </w:r>
      <w:r>
        <w:fldChar w:fldCharType="end"/>
      </w:r>
      <w:r w:rsidRPr="007F18A3">
        <w:t xml:space="preserve"> Distributed and Localized configurations for </w:t>
      </w:r>
      <w:r w:rsidR="004E4EE3">
        <w:t>4</w:t>
      </w:r>
      <w:r w:rsidRPr="007F18A3">
        <w:t xml:space="preserve"> </w:t>
      </w:r>
      <w:r w:rsidR="004E4EE3">
        <w:t>sCCE</w:t>
      </w:r>
      <w:r w:rsidRPr="007F18A3">
        <w:t xml:space="preserve"> composed of </w:t>
      </w:r>
      <w:r>
        <w:t>4</w:t>
      </w:r>
      <w:r w:rsidRPr="007F18A3">
        <w:t xml:space="preserve"> </w:t>
      </w:r>
      <w:r w:rsidR="004E4EE3">
        <w:t>sREG</w:t>
      </w:r>
      <w:r w:rsidRPr="007F18A3">
        <w:t>s each within a 2os-</w:t>
      </w:r>
      <w:r w:rsidR="004E4EE3">
        <w:t>s</w:t>
      </w:r>
      <w:r w:rsidRPr="007F18A3">
        <w:t>PDCCH-PRB-set</w:t>
      </w:r>
      <w:r w:rsidR="00461783">
        <w:t xml:space="preserve"> of 18 PRBs</w:t>
      </w:r>
      <w:r w:rsidRPr="007F18A3">
        <w:t xml:space="preserve">. </w:t>
      </w:r>
      <w:r>
        <w:t xml:space="preserve">  </w:t>
      </w:r>
    </w:p>
    <w:p w14:paraId="1E83BFF4" w14:textId="77777777" w:rsidR="0085075F" w:rsidRPr="0085075F" w:rsidRDefault="0085075F" w:rsidP="0085075F"/>
    <w:p w14:paraId="580E27FF" w14:textId="24D92B16" w:rsidR="00A36326" w:rsidRDefault="00E76BEF" w:rsidP="00A36326">
      <w:r>
        <w:t>As described in proposals 5 and 6, a 3 OFDM symbols</w:t>
      </w:r>
      <w:r w:rsidR="00FD6099">
        <w:t xml:space="preserve"> </w:t>
      </w:r>
      <w:r w:rsidR="005C34B9">
        <w:t>s</w:t>
      </w:r>
      <w:r w:rsidR="00F06200">
        <w:t xml:space="preserve">PDCCH </w:t>
      </w:r>
      <w:r w:rsidR="00A36326">
        <w:t>based on DMRS-based transmission can</w:t>
      </w:r>
      <w:r w:rsidR="00F06200">
        <w:t xml:space="preserve"> be also considered for both 2os-sTTI</w:t>
      </w:r>
      <w:r w:rsidR="00A36326">
        <w:t xml:space="preserve"> (</w:t>
      </w:r>
      <w:r w:rsidR="005C34B9">
        <w:t xml:space="preserve">for the </w:t>
      </w:r>
      <w:r w:rsidR="00A36326">
        <w:t>3 symbols sTTI</w:t>
      </w:r>
      <w:r w:rsidR="005C34B9">
        <w:t xml:space="preserve"> case</w:t>
      </w:r>
      <w:r w:rsidR="00A36326">
        <w:t>)</w:t>
      </w:r>
      <w:r w:rsidR="00F06200">
        <w:t xml:space="preserve"> and slot-</w:t>
      </w:r>
      <w:r w:rsidR="00A36326">
        <w:t>sTTI (with high reference signal overhead)</w:t>
      </w:r>
      <w:r w:rsidR="00F06200">
        <w:t xml:space="preserve">. </w:t>
      </w:r>
      <w:r w:rsidR="00C6624E">
        <w:t xml:space="preserve">Thereby, 1 </w:t>
      </w:r>
      <w:r w:rsidR="00200C8C">
        <w:t>s</w:t>
      </w:r>
      <w:r w:rsidR="004E4EE3">
        <w:t>CCE</w:t>
      </w:r>
      <w:r w:rsidR="00F06200">
        <w:t xml:space="preserve"> </w:t>
      </w:r>
      <w:r w:rsidR="00A36326">
        <w:t xml:space="preserve">composed </w:t>
      </w:r>
      <w:r w:rsidR="00F06200">
        <w:t xml:space="preserve">of 3 </w:t>
      </w:r>
      <w:r w:rsidR="00200C8C">
        <w:t>s</w:t>
      </w:r>
      <w:r w:rsidR="004E4EE3">
        <w:t>REG</w:t>
      </w:r>
      <w:r w:rsidR="00C6624E">
        <w:t xml:space="preserve"> can be </w:t>
      </w:r>
      <w:r w:rsidR="00EA4F61">
        <w:t>built with one full PRB along 3</w:t>
      </w:r>
      <w:r w:rsidR="00D17A16">
        <w:t xml:space="preserve"> symbols</w:t>
      </w:r>
      <w:r w:rsidR="009F3934">
        <w:t>.</w:t>
      </w:r>
      <w:r w:rsidR="00D17A16">
        <w:t xml:space="preserve"> </w:t>
      </w:r>
      <w:r w:rsidR="009F3934">
        <w:t>F</w:t>
      </w:r>
      <w:r w:rsidR="00D17A16">
        <w:t xml:space="preserve">igure </w:t>
      </w:r>
      <w:r w:rsidR="00F06200">
        <w:t>4</w:t>
      </w:r>
      <w:r w:rsidR="009F3934">
        <w:t xml:space="preserve"> </w:t>
      </w:r>
      <w:r w:rsidR="009F3934" w:rsidRPr="009F3934">
        <w:t xml:space="preserve">shows an example of distributed and localized configurations for 4 sCCEs </w:t>
      </w:r>
      <w:r w:rsidR="009F3934">
        <w:t>and 3 OFDM symbols sPDCCH</w:t>
      </w:r>
      <w:r w:rsidR="009F3934" w:rsidRPr="009F3934">
        <w:t>.</w:t>
      </w:r>
      <w:r w:rsidR="009F3934">
        <w:t xml:space="preserve"> </w:t>
      </w:r>
    </w:p>
    <w:p w14:paraId="32214BD0" w14:textId="77777777" w:rsidR="00EA4F61" w:rsidRDefault="00EA4F61" w:rsidP="008149FE"/>
    <w:p w14:paraId="42662CCD" w14:textId="100F062E" w:rsidR="00A36326" w:rsidRDefault="00200C8C" w:rsidP="00A36326">
      <w:pPr>
        <w:keepNext/>
        <w:jc w:val="center"/>
      </w:pPr>
      <w:r w:rsidRPr="00200C8C">
        <w:rPr>
          <w:noProof/>
          <w:lang w:val="en-US" w:eastAsia="en-US"/>
        </w:rPr>
        <w:t xml:space="preserve"> </w:t>
      </w:r>
      <w:r>
        <w:rPr>
          <w:noProof/>
          <w:lang w:val="sv-SE" w:eastAsia="sv-SE"/>
        </w:rPr>
        <w:drawing>
          <wp:inline distT="0" distB="0" distL="0" distR="0" wp14:anchorId="711926B5" wp14:editId="2B6E7841">
            <wp:extent cx="3038475" cy="12827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42542" cy="1284427"/>
                    </a:xfrm>
                    <a:prstGeom prst="rect">
                      <a:avLst/>
                    </a:prstGeom>
                  </pic:spPr>
                </pic:pic>
              </a:graphicData>
            </a:graphic>
          </wp:inline>
        </w:drawing>
      </w:r>
    </w:p>
    <w:p w14:paraId="64D17DD3" w14:textId="572F7325" w:rsidR="00F06200" w:rsidRDefault="00A36326" w:rsidP="00A36326">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005C34B9">
        <w:t>3os</w:t>
      </w:r>
      <w:r w:rsidR="00075C6D">
        <w:t>-</w:t>
      </w:r>
      <w:r w:rsidR="005C34B9">
        <w:t>sPDCCH configuration</w:t>
      </w:r>
      <w:r w:rsidR="00075C6D">
        <w:t xml:space="preserve"> with 4 sCCE</w:t>
      </w:r>
      <w:r w:rsidR="005C34B9">
        <w:t xml:space="preserve">: one </w:t>
      </w:r>
      <w:r w:rsidR="00F37FEA">
        <w:t>s</w:t>
      </w:r>
      <w:r w:rsidR="004E4EE3">
        <w:t>CCE</w:t>
      </w:r>
      <w:r w:rsidRPr="00A36326">
        <w:t xml:space="preserve"> = </w:t>
      </w:r>
      <w:r w:rsidR="00F37FEA">
        <w:t xml:space="preserve">3 sREG, i.e. </w:t>
      </w:r>
      <w:r w:rsidRPr="00A36326">
        <w:t xml:space="preserve">1 </w:t>
      </w:r>
      <w:r w:rsidR="00F37FEA">
        <w:t xml:space="preserve">full </w:t>
      </w:r>
      <w:r w:rsidRPr="00A36326">
        <w:t>PRB of 3 OFDM symbols</w:t>
      </w:r>
    </w:p>
    <w:p w14:paraId="53D5012F" w14:textId="20B1EFD3" w:rsidR="00F06200" w:rsidRDefault="00F06200" w:rsidP="008149FE"/>
    <w:p w14:paraId="780DE0FF" w14:textId="354D0DDE" w:rsidR="00EB200E" w:rsidRDefault="00E24976" w:rsidP="00EB200E">
      <w:pPr>
        <w:pStyle w:val="Heading4"/>
      </w:pPr>
      <w:r>
        <w:t>sPDCCH-PRB-set configuration</w:t>
      </w:r>
    </w:p>
    <w:p w14:paraId="691072D5" w14:textId="0DC71600" w:rsidR="00E24976" w:rsidRDefault="00C4072C" w:rsidP="00E24976">
      <w:pPr>
        <w:pStyle w:val="BodyText"/>
      </w:pPr>
      <w:r>
        <w:t>In RAN1#86bis, a working assumption has been defined so that a</w:t>
      </w:r>
      <w:r w:rsidR="00E24976">
        <w:t xml:space="preserve"> UE can </w:t>
      </w:r>
      <w:r w:rsidR="00E24976" w:rsidRPr="002E2B17">
        <w:t>be co</w:t>
      </w:r>
      <w:r w:rsidR="00E24976">
        <w:t>nfigured</w:t>
      </w:r>
      <w:r w:rsidR="00E24976" w:rsidRPr="002E2B17">
        <w:t xml:space="preserve"> by high</w:t>
      </w:r>
      <w:r w:rsidR="00E24976">
        <w:t>er-layer signal</w:t>
      </w:r>
      <w:r w:rsidR="00E24976" w:rsidRPr="002E2B17">
        <w:t>ling</w:t>
      </w:r>
      <w:r w:rsidR="00E24976">
        <w:t xml:space="preserve"> with one or two sPDCCH-PRB-</w:t>
      </w:r>
      <w:r w:rsidR="00E24976" w:rsidRPr="002E2B17">
        <w:t>set(s) containing the UE’s user-specific sTTI search space</w:t>
      </w:r>
      <w:r w:rsidR="00E24976">
        <w:t xml:space="preserve">. As described in previous section, the PRB-set(s) can be configured either localized or distributed. </w:t>
      </w:r>
      <w:r w:rsidR="00E24976" w:rsidRPr="000F352E">
        <w:t>Wit</w:t>
      </w:r>
      <w:r w:rsidR="00537FB9">
        <w:t xml:space="preserve">h localized configuration, the </w:t>
      </w:r>
      <w:r w:rsidR="004E4EE3">
        <w:t>sREG</w:t>
      </w:r>
      <w:r w:rsidR="00E24976">
        <w:t xml:space="preserve">s building the same </w:t>
      </w:r>
      <w:r w:rsidR="00200C8C">
        <w:t>s</w:t>
      </w:r>
      <w:r w:rsidR="004E4EE3">
        <w:t>CCE</w:t>
      </w:r>
      <w:r w:rsidR="00E24976" w:rsidRPr="000F352E">
        <w:t xml:space="preserve"> </w:t>
      </w:r>
      <w:r w:rsidR="00E24976">
        <w:t>are</w:t>
      </w:r>
      <w:r w:rsidR="00E24976" w:rsidRPr="000F352E">
        <w:t xml:space="preserve"> localized in frequency domain to allow for a sPDCCH resource allocation confined in a limited frequency band. This </w:t>
      </w:r>
      <w:r w:rsidR="00E24976">
        <w:t>exploits scheduling and</w:t>
      </w:r>
      <w:r w:rsidR="00E24976" w:rsidRPr="000F352E">
        <w:t xml:space="preserve"> beamforming</w:t>
      </w:r>
      <w:r w:rsidR="00E24976">
        <w:t xml:space="preserve"> gains</w:t>
      </w:r>
      <w:r w:rsidR="00E24976" w:rsidRPr="000F352E">
        <w:t xml:space="preserve"> for DMRS-based sPDCCH</w:t>
      </w:r>
      <w:r w:rsidR="00E24976">
        <w:t xml:space="preserve"> when CSI is available at the eNB</w:t>
      </w:r>
      <w:r w:rsidR="00E24976" w:rsidRPr="000F352E">
        <w:t>.</w:t>
      </w:r>
      <w:r w:rsidR="00E24976">
        <w:t xml:space="preserve"> Therefore, it is then preferred to configure at least one PRB-set as localized </w:t>
      </w:r>
      <w:r w:rsidR="00E24976" w:rsidRPr="000F352E">
        <w:t xml:space="preserve">for DMRS-based </w:t>
      </w:r>
      <w:r w:rsidR="00E24976">
        <w:t>sPDCCH. Nevertheless, t</w:t>
      </w:r>
      <w:r w:rsidR="00E24976" w:rsidRPr="00BD31EC">
        <w:t>o provide robust control signalling and fallback when CSI is limited or unavailable</w:t>
      </w:r>
      <w:r w:rsidR="00E24976">
        <w:t xml:space="preserve">, a second PRB-set should be configured as distributed </w:t>
      </w:r>
      <w:r w:rsidR="00E24976" w:rsidRPr="000F352E">
        <w:t xml:space="preserve">for DMRS-based </w:t>
      </w:r>
      <w:r w:rsidR="00E24976">
        <w:t>sPDCCH. For CRS-based sPDCCH, it is then preferred to configure at least one PRB-set as distributed in order to achieve frequency diversity gains.</w:t>
      </w:r>
    </w:p>
    <w:p w14:paraId="37124AA4" w14:textId="77777777" w:rsidR="00E24976" w:rsidRDefault="00E24976" w:rsidP="00E24976">
      <w:pPr>
        <w:pStyle w:val="BodyText"/>
      </w:pPr>
    </w:p>
    <w:p w14:paraId="37C177E4" w14:textId="4FBA8405" w:rsidR="00F37FEA" w:rsidRDefault="00F37FEA" w:rsidP="00F37FEA">
      <w:pPr>
        <w:pStyle w:val="Proposal"/>
      </w:pPr>
      <w:bookmarkStart w:id="21" w:name="_Toc462743255"/>
      <w:bookmarkStart w:id="22" w:name="_Toc462733835"/>
      <w:bookmarkStart w:id="23" w:name="_Toc462742566"/>
      <w:bookmarkStart w:id="24" w:name="_Toc462743715"/>
      <w:bookmarkStart w:id="25" w:name="_Toc462744229"/>
      <w:bookmarkStart w:id="26" w:name="_Toc462744792"/>
      <w:r w:rsidRPr="00F37FEA">
        <w:t>Confirm the working assumption: A sPDCCH RB set can be configured to a UE by higher-layer signalling either with distributed or localized mapping of sCCE to sREG</w:t>
      </w:r>
    </w:p>
    <w:p w14:paraId="53C659AE" w14:textId="77F6C3C5" w:rsidR="00E24976" w:rsidRDefault="00E24976" w:rsidP="007141EB">
      <w:pPr>
        <w:pStyle w:val="Proposal"/>
        <w:numPr>
          <w:ilvl w:val="2"/>
          <w:numId w:val="23"/>
        </w:numPr>
      </w:pPr>
      <w:r>
        <w:t xml:space="preserve">The choice of whether to use distributed or localized </w:t>
      </w:r>
      <w:r w:rsidR="004E4EE3">
        <w:t>sREG</w:t>
      </w:r>
      <w:r>
        <w:t xml:space="preserve">s location should be configurable by the </w:t>
      </w:r>
      <w:bookmarkEnd w:id="21"/>
      <w:bookmarkEnd w:id="22"/>
      <w:bookmarkEnd w:id="23"/>
      <w:bookmarkEnd w:id="24"/>
      <w:bookmarkEnd w:id="25"/>
      <w:bookmarkEnd w:id="26"/>
      <w:r>
        <w:t>eNB</w:t>
      </w:r>
    </w:p>
    <w:p w14:paraId="27081C9B" w14:textId="1638A719" w:rsidR="00F37FEA" w:rsidRDefault="00F37FEA" w:rsidP="00F37FEA">
      <w:pPr>
        <w:pStyle w:val="Proposal"/>
      </w:pPr>
      <w:r w:rsidRPr="00F37FEA">
        <w:t>Confirm the working assumption: A UE can be configured with one or two sPDCCH RB set(s) containing the UE’s user-specific sTTI search space</w:t>
      </w:r>
    </w:p>
    <w:p w14:paraId="7B6B5BD2" w14:textId="50C15BCB" w:rsidR="00E24976" w:rsidRPr="007E444A" w:rsidRDefault="00E24976" w:rsidP="007141EB">
      <w:pPr>
        <w:pStyle w:val="Proposal"/>
        <w:numPr>
          <w:ilvl w:val="2"/>
          <w:numId w:val="23"/>
        </w:numPr>
      </w:pPr>
      <w:r>
        <w:lastRenderedPageBreak/>
        <w:t>At least one sPDCCH-</w:t>
      </w:r>
      <w:r w:rsidRPr="007E444A">
        <w:t>PRB-set</w:t>
      </w:r>
      <w:r>
        <w:t xml:space="preserve"> is configured as distributed for </w:t>
      </w:r>
      <w:r w:rsidRPr="007E444A">
        <w:t>CRS-based</w:t>
      </w:r>
      <w:r>
        <w:t xml:space="preserve"> </w:t>
      </w:r>
      <w:r w:rsidR="00200C8C">
        <w:t>s</w:t>
      </w:r>
      <w:r>
        <w:t>PDCCH</w:t>
      </w:r>
    </w:p>
    <w:p w14:paraId="60AE91E8" w14:textId="64430E84" w:rsidR="00E24976" w:rsidRPr="007E444A" w:rsidRDefault="00E24976" w:rsidP="007141EB">
      <w:pPr>
        <w:pStyle w:val="Proposal"/>
        <w:numPr>
          <w:ilvl w:val="2"/>
          <w:numId w:val="23"/>
        </w:numPr>
      </w:pPr>
      <w:r w:rsidRPr="007E444A">
        <w:t xml:space="preserve">DMRS-based </w:t>
      </w:r>
      <w:r>
        <w:t>sPDCCH is configured with one localized and one distributed sPDCCH-</w:t>
      </w:r>
      <w:r w:rsidRPr="007E444A">
        <w:t>PRB-set</w:t>
      </w:r>
    </w:p>
    <w:p w14:paraId="276C05D0" w14:textId="77777777" w:rsidR="00F37FEA" w:rsidRDefault="00F37FEA" w:rsidP="008149FE"/>
    <w:p w14:paraId="7A3F4D75" w14:textId="24EB6512" w:rsidR="001E393B" w:rsidRDefault="00537FB9" w:rsidP="008149FE">
      <w:r>
        <w:t xml:space="preserve">Each </w:t>
      </w:r>
      <w:r w:rsidRPr="00537FB9">
        <w:t>sPDCCH-PRB-set</w:t>
      </w:r>
      <w:r>
        <w:t xml:space="preserve"> is composed by a group of PRBs.</w:t>
      </w:r>
      <w:r w:rsidR="006F5251">
        <w:t xml:space="preserve"> T</w:t>
      </w:r>
      <w:r>
        <w:t xml:space="preserve">he number of PRBs should be </w:t>
      </w:r>
      <w:r w:rsidR="006F5251">
        <w:t xml:space="preserve">well </w:t>
      </w:r>
      <w:r>
        <w:t>defined</w:t>
      </w:r>
      <w:r w:rsidR="006F5251">
        <w:t xml:space="preserve">, so </w:t>
      </w:r>
      <w:r>
        <w:t xml:space="preserve">high </w:t>
      </w:r>
      <w:r w:rsidR="006F5251">
        <w:t>order diversity can be</w:t>
      </w:r>
      <w:r w:rsidR="005F4195">
        <w:t xml:space="preserve"> achieved as well as</w:t>
      </w:r>
      <w:r w:rsidR="006F5251">
        <w:t xml:space="preserve"> excessive overhead is avoided. For that, the eNB should have full flexibility in order to define a proper </w:t>
      </w:r>
      <w:r w:rsidR="006F5251" w:rsidRPr="00537FB9">
        <w:t>sPDCCH-PRB-set</w:t>
      </w:r>
      <w:r w:rsidR="006F5251">
        <w:t xml:space="preserve"> size for each UE</w:t>
      </w:r>
      <w:r w:rsidR="004512CD">
        <w:t>.</w:t>
      </w:r>
    </w:p>
    <w:p w14:paraId="203294D6" w14:textId="04A99ED7" w:rsidR="001E393B" w:rsidRDefault="001E393B" w:rsidP="008149FE">
      <w:r>
        <w:t xml:space="preserve"> </w:t>
      </w:r>
    </w:p>
    <w:p w14:paraId="16A19DAC" w14:textId="415C10B1" w:rsidR="001E393B" w:rsidRDefault="001E393B" w:rsidP="001E393B">
      <w:pPr>
        <w:pStyle w:val="Observation"/>
      </w:pPr>
      <w:r>
        <w:t xml:space="preserve">The </w:t>
      </w:r>
      <w:r w:rsidRPr="001E393B">
        <w:t xml:space="preserve">number of PRBs </w:t>
      </w:r>
      <w:r w:rsidR="002E78A9">
        <w:t xml:space="preserve">in a </w:t>
      </w:r>
      <w:r w:rsidR="002E78A9" w:rsidRPr="00537FB9">
        <w:t>sPDCCH</w:t>
      </w:r>
      <w:r w:rsidR="002E78A9">
        <w:t xml:space="preserve"> </w:t>
      </w:r>
      <w:r w:rsidR="002E78A9" w:rsidRPr="00537FB9">
        <w:t>PRB-set</w:t>
      </w:r>
      <w:r w:rsidR="002E78A9">
        <w:t xml:space="preserve"> </w:t>
      </w:r>
      <w:r w:rsidRPr="001E393B">
        <w:t>should be well defined, so high order diversity can be achieved as well as excessive overhead is avoided</w:t>
      </w:r>
    </w:p>
    <w:p w14:paraId="754B30D1" w14:textId="77777777" w:rsidR="001E393B" w:rsidRDefault="001E393B" w:rsidP="008149FE"/>
    <w:p w14:paraId="654A25BA" w14:textId="3A56A0F1" w:rsidR="00EB200E" w:rsidRDefault="001E393B" w:rsidP="008149FE">
      <w:r>
        <w:t xml:space="preserve">In our companion paper about search space for </w:t>
      </w:r>
      <w:r w:rsidRPr="00E16B90">
        <w:t xml:space="preserve">sTTI </w:t>
      </w:r>
      <w:r w:rsidR="007141EB" w:rsidRPr="000D4F21">
        <w:t>[4</w:t>
      </w:r>
      <w:r w:rsidRPr="000D4F21">
        <w:t>],</w:t>
      </w:r>
      <w:r>
        <w:t xml:space="preserve"> it is discussed that the same sPDCCH-PRB-set can be shared among different UEs, where each UE supports up to three aggregation levels {1, 2, 4} and up to four sPDCCH candidates. </w:t>
      </w:r>
      <w:r w:rsidR="007141EB">
        <w:t>As proposed in [4</w:t>
      </w:r>
      <w:r>
        <w:t xml:space="preserve">], </w:t>
      </w:r>
      <w:r w:rsidRPr="001E393B">
        <w:t xml:space="preserve">the low aggregation levels, i.e. </w:t>
      </w:r>
      <w:r w:rsidR="00CF19C7">
        <w:t xml:space="preserve">AL </w:t>
      </w:r>
      <w:r w:rsidRPr="001E393B">
        <w:t xml:space="preserve">1 and 2, comprise up to three sPDCCH candidates and the high aggregation level, i.e. </w:t>
      </w:r>
      <w:r w:rsidR="00CF19C7">
        <w:t xml:space="preserve">AL </w:t>
      </w:r>
      <w:r w:rsidRPr="001E393B">
        <w:t>4, up to two candidates</w:t>
      </w:r>
      <w:r w:rsidR="00F05BA1">
        <w:t xml:space="preserve"> (with the possibility of supporting only one AL 4 candidate)</w:t>
      </w:r>
      <w:r>
        <w:t xml:space="preserve">. If three candidates are configured for AL 2, it requires that the UE’s </w:t>
      </w:r>
      <w:r w:rsidRPr="001E393B">
        <w:t xml:space="preserve">sPDCCH-PRB-set </w:t>
      </w:r>
      <w:r>
        <w:t xml:space="preserve">contains at least 6 sCCE. On the other hand, if two candidates of aggregation level 4 are considered, </w:t>
      </w:r>
      <w:r w:rsidRPr="001E393B">
        <w:t xml:space="preserve">it requires that the </w:t>
      </w:r>
      <w:r>
        <w:t xml:space="preserve">UE’s </w:t>
      </w:r>
      <w:r w:rsidRPr="001E393B">
        <w:t>sP</w:t>
      </w:r>
      <w:r>
        <w:t>DCCH-PRB-set contains at least 8</w:t>
      </w:r>
      <w:r w:rsidRPr="001E393B">
        <w:t xml:space="preserve"> sCCE</w:t>
      </w:r>
      <w:r>
        <w:t>.</w:t>
      </w:r>
    </w:p>
    <w:p w14:paraId="71595AD9" w14:textId="77777777" w:rsidR="00A03938" w:rsidRDefault="00A03938" w:rsidP="008149FE"/>
    <w:p w14:paraId="21459EB2" w14:textId="64B912F1" w:rsidR="00A03938" w:rsidRPr="00A03938" w:rsidRDefault="00A03938" w:rsidP="00A03938">
      <w:pPr>
        <w:pStyle w:val="Observation"/>
      </w:pPr>
      <w:r>
        <w:t xml:space="preserve">The </w:t>
      </w:r>
      <w:r w:rsidRPr="00A03938">
        <w:t>UE’s sPDCCH-PRB-set should contain at least as many sCCE as required to support the maximum number of sPDCCH candidates defined per aggregation level</w:t>
      </w:r>
      <w:r w:rsidR="00521F6C">
        <w:t xml:space="preserve"> per UE</w:t>
      </w:r>
    </w:p>
    <w:p w14:paraId="6132E231" w14:textId="6174DA30" w:rsidR="001E393B" w:rsidRDefault="001E393B" w:rsidP="008149FE"/>
    <w:p w14:paraId="0AC53F9B" w14:textId="0383A3EB" w:rsidR="00E30FF7" w:rsidRDefault="00E30FF7" w:rsidP="008149FE">
      <w:r w:rsidRPr="00E30FF7">
        <w:t xml:space="preserve">Likewise, if the same sPDCCH-PRB-set is configured for multiple UEs and each UE is configured at least with one high AL candidate, i.e. AL 4, the PRB-set size could contain as many sCCE as required to </w:t>
      </w:r>
      <w:r w:rsidR="008026E5">
        <w:t>support</w:t>
      </w:r>
      <w:r w:rsidRPr="00E30FF7">
        <w:t xml:space="preserve"> </w:t>
      </w:r>
      <w:r>
        <w:t xml:space="preserve">eventually </w:t>
      </w:r>
      <w:r w:rsidRPr="00E30FF7">
        <w:t>each UE with such aggregation</w:t>
      </w:r>
      <w:r>
        <w:t xml:space="preserve"> level</w:t>
      </w:r>
      <w:r w:rsidRPr="00E30FF7">
        <w:t xml:space="preserve"> sPDCCH. However, this obviously </w:t>
      </w:r>
      <w:r>
        <w:t>can lead</w:t>
      </w:r>
      <w:r w:rsidRPr="00E30FF7">
        <w:t xml:space="preserve"> to an excessive sPDCCH overhead along the available frequency bandwidth. For that, the eNB should carefully configure the number of UEs sharing the same sPDCCH-PRB-set</w:t>
      </w:r>
      <w:r>
        <w:t>.</w:t>
      </w:r>
    </w:p>
    <w:p w14:paraId="0A8C4E79" w14:textId="77777777" w:rsidR="008026E5" w:rsidRDefault="008026E5" w:rsidP="008149FE"/>
    <w:p w14:paraId="6139D218" w14:textId="081C3731" w:rsidR="008026E5" w:rsidRPr="00A03938" w:rsidRDefault="008026E5" w:rsidP="00F4251D">
      <w:pPr>
        <w:pStyle w:val="Observation"/>
      </w:pPr>
      <w:r>
        <w:t>I</w:t>
      </w:r>
      <w:r w:rsidRPr="008026E5">
        <w:t>f the same sPDCCH-PRB-set is configured for multiple UEs</w:t>
      </w:r>
      <w:r>
        <w:t xml:space="preserve">, the </w:t>
      </w:r>
      <w:r w:rsidRPr="00A03938">
        <w:t xml:space="preserve">sPDCCH-PRB-set should </w:t>
      </w:r>
      <w:r>
        <w:t xml:space="preserve">support only a limited number of </w:t>
      </w:r>
      <w:r w:rsidR="007141EB">
        <w:t xml:space="preserve">simultaneous </w:t>
      </w:r>
      <w:r>
        <w:t>UEs with a high AL sPDCCH</w:t>
      </w:r>
      <w:r w:rsidR="00521F6C">
        <w:t xml:space="preserve"> in the same sTTI</w:t>
      </w:r>
      <w:r>
        <w:t xml:space="preserve">. </w:t>
      </w:r>
    </w:p>
    <w:p w14:paraId="77D2AC3A" w14:textId="7A244FA4" w:rsidR="00E30FF7" w:rsidRDefault="00E30FF7" w:rsidP="008149FE"/>
    <w:p w14:paraId="0A7FD849" w14:textId="4F6A6AA2" w:rsidR="00A03938" w:rsidRDefault="00A03938" w:rsidP="008149FE">
      <w:r>
        <w:t xml:space="preserve">Hence, we propose to define the </w:t>
      </w:r>
      <w:r w:rsidRPr="00A03938">
        <w:t>sPDCCH-PRB-set</w:t>
      </w:r>
      <w:r>
        <w:t xml:space="preserve"> size based on </w:t>
      </w:r>
      <w:r w:rsidR="00F4251D">
        <w:t xml:space="preserve">at least </w:t>
      </w:r>
      <w:r w:rsidR="008026E5">
        <w:t xml:space="preserve">containing </w:t>
      </w:r>
      <w:r w:rsidR="00F4251D">
        <w:t>the</w:t>
      </w:r>
      <w:r>
        <w:t xml:space="preserve"> </w:t>
      </w:r>
      <w:r w:rsidRPr="00A03938">
        <w:t xml:space="preserve">number of </w:t>
      </w:r>
      <w:r>
        <w:t>s</w:t>
      </w:r>
      <w:r w:rsidRPr="00A03938">
        <w:t>CCEs</w:t>
      </w:r>
      <w:r>
        <w:t xml:space="preserve"> required to support the </w:t>
      </w:r>
      <w:r w:rsidRPr="00A03938">
        <w:t>number of sPDCCH candidates defined per aggregation level</w:t>
      </w:r>
      <w:r>
        <w:t xml:space="preserve"> </w:t>
      </w:r>
      <w:r w:rsidR="008026E5">
        <w:t>per</w:t>
      </w:r>
      <w:r>
        <w:t xml:space="preserve"> UE</w:t>
      </w:r>
      <w:r w:rsidR="00521F6C">
        <w:t xml:space="preserve"> as well as</w:t>
      </w:r>
      <w:r w:rsidR="008026E5">
        <w:t xml:space="preserve"> to support</w:t>
      </w:r>
      <w:r w:rsidR="00521F6C">
        <w:t>, if needed,</w:t>
      </w:r>
      <w:r w:rsidR="008026E5">
        <w:t xml:space="preserve"> a limited number of UEs with a high aggregation level sPDCCH, i.e. AL 4, in the same sTTI</w:t>
      </w:r>
      <w:r w:rsidR="00521F6C">
        <w:t xml:space="preserve"> (if the </w:t>
      </w:r>
      <w:r w:rsidR="00521F6C" w:rsidRPr="00A03938">
        <w:t>sPDCCH-PRB-set</w:t>
      </w:r>
      <w:r w:rsidR="00521F6C">
        <w:t xml:space="preserve"> is shared between multiple UEs)</w:t>
      </w:r>
      <w:r w:rsidR="008026E5">
        <w:t xml:space="preserve">. Also, the </w:t>
      </w:r>
      <w:r w:rsidR="008026E5" w:rsidRPr="00A03938">
        <w:t>sPDCCH-PRB-set</w:t>
      </w:r>
      <w:r w:rsidR="008026E5">
        <w:t xml:space="preserve"> size </w:t>
      </w:r>
      <w:r w:rsidR="00521F6C">
        <w:t>is based</w:t>
      </w:r>
      <w:r w:rsidR="008026E5">
        <w:t xml:space="preserve"> on</w:t>
      </w:r>
      <w:r>
        <w:t xml:space="preserve"> the number of OFDM symbols per sPDCCH and the number of sREG per sCCE.</w:t>
      </w:r>
    </w:p>
    <w:p w14:paraId="0FDD1A08" w14:textId="7EF77FDC" w:rsidR="00A03938" w:rsidRDefault="00A03938" w:rsidP="00DF7455">
      <w:pPr>
        <w:pStyle w:val="BodyText"/>
      </w:pPr>
      <w:r>
        <w:t xml:space="preserve">The </w:t>
      </w:r>
      <w:r w:rsidRPr="00401E38">
        <w:t xml:space="preserve">sPDCCH-PRB-set </w:t>
      </w:r>
      <w:r w:rsidR="00E4013A">
        <w:t>size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oMath>
      <w:r w:rsidR="00E4013A">
        <w:t xml:space="preserve">) </w:t>
      </w:r>
      <w:r w:rsidR="00EA08FA">
        <w:t>is defined as the relation</w:t>
      </w:r>
      <w:r>
        <w:t xml:space="preserve"> between </w:t>
      </w:r>
      <w:r w:rsidR="00EA08FA">
        <w:t xml:space="preserve">the number of sCCE to be supported </w:t>
      </w:r>
      <w:r w:rsidR="00087F33">
        <w:t>(</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sCCE</m:t>
            </m:r>
          </m:sub>
        </m:sSub>
      </m:oMath>
      <w:r w:rsidR="00EA08FA">
        <w:t xml:space="preserve">), </w:t>
      </w:r>
      <w:r w:rsidR="00087F33">
        <w:t xml:space="preserve">the </w:t>
      </w:r>
      <w:r>
        <w:t>number of sREG per sCCE (</w:t>
      </w:r>
      <m:oMath>
        <m:r>
          <m:rPr>
            <m:sty m:val="bi"/>
          </m:rPr>
          <w:rPr>
            <w:rFonts w:ascii="Cambria Math" w:hAnsi="Cambria Math"/>
          </w:rPr>
          <m:t>nr_of_sREG_per_sCCE</m:t>
        </m:r>
      </m:oMath>
      <w:r>
        <w:t xml:space="preserve">) </w:t>
      </w:r>
      <w:r w:rsidR="00EA08FA">
        <w:t>and</w:t>
      </w:r>
      <w:r w:rsidR="00087F33">
        <w:t xml:space="preserve"> the number of OFDM symbols per sPDCCH (</w:t>
      </w:r>
      <m:oMath>
        <m:r>
          <m:rPr>
            <m:sty m:val="bi"/>
          </m:rPr>
          <w:rPr>
            <w:rFonts w:ascii="Cambria Math" w:hAnsi="Cambria Math"/>
          </w:rPr>
          <m:t>nr_of_OFDM_symbols_per_sPDCCH</m:t>
        </m:r>
      </m:oMath>
      <w:r w:rsidR="00087F33">
        <w:t>)</w:t>
      </w:r>
      <w:r w:rsidR="00DF7455">
        <w:t xml:space="preserve"> as follows.</w:t>
      </w:r>
    </w:p>
    <w:p w14:paraId="432BF911" w14:textId="77777777" w:rsidR="00EA08FA" w:rsidRDefault="00EA08FA" w:rsidP="007141EB">
      <w:pPr>
        <w:pStyle w:val="Proposal"/>
        <w:numPr>
          <w:ilvl w:val="0"/>
          <w:numId w:val="0"/>
        </w:numPr>
        <w:ind w:left="1701"/>
      </w:pPr>
    </w:p>
    <w:p w14:paraId="79519E39" w14:textId="76130B7A" w:rsidR="00A03938" w:rsidRPr="00401E38" w:rsidRDefault="00580CA5" w:rsidP="007141EB">
      <w:pPr>
        <w:pStyle w:val="Proposal"/>
        <w:numPr>
          <w:ilvl w:val="0"/>
          <w:numId w:val="0"/>
        </w:numPr>
        <w:ind w:left="1701"/>
      </w:pPr>
      <m:oMathPara>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sCCE</m:t>
                  </m:r>
                </m:sub>
              </m:sSub>
              <m:r>
                <m:rPr>
                  <m:sty m:val="bi"/>
                </m:rPr>
                <w:rPr>
                  <w:rFonts w:ascii="Cambria Math" w:hAnsi="Cambria Math"/>
                </w:rPr>
                <m:t>*nr_of_sREG_per_sCCE</m:t>
              </m:r>
            </m:num>
            <m:den>
              <m:r>
                <m:rPr>
                  <m:sty m:val="bi"/>
                </m:rPr>
                <w:rPr>
                  <w:rFonts w:ascii="Cambria Math" w:hAnsi="Cambria Math"/>
                </w:rPr>
                <m:t xml:space="preserve">nr_of_OFDM_symbols_per_sPDCCH </m:t>
              </m:r>
            </m:den>
          </m:f>
        </m:oMath>
      </m:oMathPara>
    </w:p>
    <w:p w14:paraId="62D66513" w14:textId="49E7C7D9" w:rsidR="00A03938" w:rsidRDefault="00EA08FA" w:rsidP="008149FE">
      <w:r>
        <w:tab/>
      </w:r>
      <w:r>
        <w:tab/>
      </w:r>
      <w:r>
        <w:tab/>
      </w:r>
    </w:p>
    <w:p w14:paraId="52A07151" w14:textId="218A1351" w:rsidR="00EA08FA" w:rsidRDefault="000D4F21" w:rsidP="00DF7455">
      <w:pPr>
        <w:pStyle w:val="BodyText"/>
      </w:pPr>
      <m:oMath>
        <m:sSub>
          <m:sSubPr>
            <m:ctrlPr>
              <w:rPr>
                <w:rFonts w:ascii="Cambria Math" w:hAnsi="Cambria Math"/>
                <w:b/>
                <w:bCs/>
                <w:i/>
              </w:rPr>
            </m:ctrlPr>
          </m:sSubPr>
          <m:e>
            <m:r>
              <w:rPr>
                <w:rFonts w:ascii="Cambria Math" w:hAnsi="Cambria Math"/>
              </w:rPr>
              <m:t>N</m:t>
            </m:r>
          </m:e>
          <m:sub>
            <m:r>
              <w:rPr>
                <w:rFonts w:ascii="Cambria Math" w:hAnsi="Cambria Math"/>
              </w:rPr>
              <m:t>sCCE</m:t>
            </m:r>
          </m:sub>
        </m:sSub>
      </m:oMath>
      <w:r>
        <w:rPr>
          <w:b/>
          <w:bCs/>
        </w:rPr>
        <w:t xml:space="preserve"> </w:t>
      </w:r>
      <w:r w:rsidRPr="000D4F21">
        <w:t>is based on the number of sCCE required to support the maximum number of sPDCCH candidates define</w:t>
      </w:r>
      <w:r w:rsidR="00DF7455">
        <w:t>d per aggregation level per UE and</w:t>
      </w:r>
      <w:r w:rsidRPr="000D4F21">
        <w:t xml:space="preserve"> to support, if needed, a limited number of simultaneous UEs with a high aggregation level sPDCCH, e.</w:t>
      </w:r>
      <w:r>
        <w:t>g.</w:t>
      </w:r>
      <w:r w:rsidRPr="000D4F21">
        <w:t xml:space="preserve"> AL 4, in the same sTTI (if the sPDCCH-PRB-set is shared between multiple UEs). </w:t>
      </w:r>
    </w:p>
    <w:p w14:paraId="5A13391D" w14:textId="0AB6E875" w:rsidR="00B129CF" w:rsidRDefault="00DF7455" w:rsidP="008149FE">
      <w:r>
        <w:lastRenderedPageBreak/>
        <w:t>T</w:t>
      </w:r>
      <w:r w:rsidR="00087F33">
        <w:t xml:space="preserve">aking into </w:t>
      </w:r>
      <w:r w:rsidR="00773B8E">
        <w:t>account</w:t>
      </w:r>
      <w:r w:rsidR="00087F33">
        <w:t xml:space="preserve"> the case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sCCE</m:t>
            </m:r>
          </m:sub>
        </m:sSub>
        <m:r>
          <m:rPr>
            <m:sty m:val="bi"/>
          </m:rPr>
          <w:rPr>
            <w:rFonts w:ascii="Cambria Math" w:hAnsi="Cambria Math"/>
          </w:rPr>
          <m:t>=8 sCCE</m:t>
        </m:r>
      </m:oMath>
      <w:r w:rsidR="00087F33" w:rsidRPr="007141EB">
        <w:rPr>
          <w:bCs/>
        </w:rPr>
        <w:t>,</w:t>
      </w:r>
      <w:r w:rsidR="00087F33">
        <w:t xml:space="preserve"> </w:t>
      </w:r>
      <w:r w:rsidR="00116748">
        <w:t>e.g.</w:t>
      </w:r>
      <w:r w:rsidR="00B129CF">
        <w:t xml:space="preserve"> for the case of supporting </w:t>
      </w:r>
      <w:r w:rsidR="00087F33">
        <w:t>two candidates of aggregation level 4 for a UE</w:t>
      </w:r>
      <w:r w:rsidR="00B129CF">
        <w:t>, the</w:t>
      </w:r>
      <w:r w:rsidR="00E4013A">
        <w:t xml:space="preserve"> </w:t>
      </w:r>
      <w:r w:rsidR="00773B8E" w:rsidRPr="00773B8E">
        <w:t>UE’s sPDCCH-PRB-set size</w:t>
      </w:r>
      <w:r w:rsidR="00773B8E">
        <w:t xml:space="preserve">s considering </w:t>
      </w:r>
      <w:r w:rsidR="00773B8E" w:rsidRPr="00773B8E">
        <w:t>1</w:t>
      </w:r>
      <w:r w:rsidR="008C49B2">
        <w:t>os</w:t>
      </w:r>
      <w:r w:rsidR="00773B8E" w:rsidRPr="00773B8E">
        <w:t>, 2</w:t>
      </w:r>
      <w:r w:rsidR="008C49B2">
        <w:t>os</w:t>
      </w:r>
      <w:r w:rsidR="00773B8E" w:rsidRPr="00773B8E">
        <w:t xml:space="preserve"> and 3os sPDCCH as well as 1 sCCE = 3 sREG and 4 sREG</w:t>
      </w:r>
      <w:r w:rsidR="00773B8E">
        <w:t xml:space="preserve"> are shown in Table 1.</w:t>
      </w:r>
      <w:r w:rsidR="00F733F7">
        <w:t xml:space="preserve"> As can be observed in Table 1, supporting 8 sCCE within a </w:t>
      </w:r>
      <w:r w:rsidR="00F733F7" w:rsidRPr="00F733F7">
        <w:t>UE’s sPDCCH-PRB-set</w:t>
      </w:r>
      <w:r w:rsidR="00F733F7">
        <w:t xml:space="preserve"> leads to a</w:t>
      </w:r>
      <w:r w:rsidR="008246CC">
        <w:t xml:space="preserve"> somewhat</w:t>
      </w:r>
      <w:r w:rsidR="00F733F7">
        <w:t xml:space="preserve"> high sPDCCH overhead. For instance, </w:t>
      </w:r>
      <w:r w:rsidR="008246CC">
        <w:t>a PRB-set size of 24 PRBs is needed for the case of 1os-sPDCCH.</w:t>
      </w:r>
      <w:r w:rsidR="003429A8">
        <w:t xml:space="preserve"> Therefore, it becomes obvious that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sCCE</m:t>
            </m:r>
          </m:sub>
        </m:sSub>
      </m:oMath>
      <w:r w:rsidR="003429A8">
        <w:t xml:space="preserve"> will be </w:t>
      </w:r>
      <w:r w:rsidR="00116748">
        <w:t>also based on</w:t>
      </w:r>
      <w:r w:rsidR="008C49B2">
        <w:t xml:space="preserve"> different aspects, such as</w:t>
      </w:r>
      <w:r w:rsidR="00116748">
        <w:t xml:space="preserve"> the system bandwidth.</w:t>
      </w:r>
    </w:p>
    <w:p w14:paraId="6CD1D3DE" w14:textId="18D3FC37" w:rsidR="00116748" w:rsidRDefault="00116748" w:rsidP="008149FE"/>
    <w:p w14:paraId="728EB36B" w14:textId="0B05A6F7" w:rsidR="00116748" w:rsidRDefault="00580CA5" w:rsidP="00116748">
      <w:pPr>
        <w:pStyle w:val="Observation"/>
      </w:pPr>
      <m:oMath>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sCCE</m:t>
            </m:r>
          </m:sub>
        </m:sSub>
      </m:oMath>
      <w:r w:rsidR="00116748">
        <w:rPr>
          <w:b w:val="0"/>
          <w:bCs w:val="0"/>
        </w:rPr>
        <w:t xml:space="preserve"> </w:t>
      </w:r>
      <w:r w:rsidR="00116748" w:rsidRPr="007141EB">
        <w:t xml:space="preserve">will be also based on different </w:t>
      </w:r>
      <w:r w:rsidR="004936D8">
        <w:t>cases</w:t>
      </w:r>
      <w:r w:rsidR="004936D8" w:rsidRPr="007141EB">
        <w:t xml:space="preserve"> </w:t>
      </w:r>
      <w:r w:rsidR="000C7A12">
        <w:t xml:space="preserve">or </w:t>
      </w:r>
      <w:r w:rsidR="004936D8" w:rsidRPr="007141EB">
        <w:t>aspects</w:t>
      </w:r>
      <w:r w:rsidR="004936D8">
        <w:t xml:space="preserve"> </w:t>
      </w:r>
      <w:r w:rsidR="00116748" w:rsidRPr="007141EB">
        <w:t>such as the system bandwidth</w:t>
      </w:r>
    </w:p>
    <w:p w14:paraId="38AC5407" w14:textId="2AA06B8E" w:rsidR="00B129CF" w:rsidRDefault="00B129CF" w:rsidP="008149FE"/>
    <w:p w14:paraId="6C5824F5" w14:textId="0BC1431E" w:rsidR="00B129CF" w:rsidRDefault="00B129CF" w:rsidP="007141EB">
      <w:pPr>
        <w:pStyle w:val="Caption"/>
        <w:keepNext/>
      </w:pPr>
      <w:r>
        <w:t xml:space="preserve">Table </w:t>
      </w:r>
      <w:r>
        <w:fldChar w:fldCharType="begin"/>
      </w:r>
      <w:r>
        <w:instrText xml:space="preserve"> SEQ Table \* ARABIC </w:instrText>
      </w:r>
      <w:r>
        <w:fldChar w:fldCharType="separate"/>
      </w:r>
      <w:r>
        <w:rPr>
          <w:noProof/>
        </w:rPr>
        <w:t>1</w:t>
      </w:r>
      <w:r>
        <w:fldChar w:fldCharType="end"/>
      </w:r>
      <w:r w:rsidR="00E4013A">
        <w:t xml:space="preserve"> </w:t>
      </w:r>
      <w:r w:rsidR="00773B8E">
        <w:t xml:space="preserve">UE’s </w:t>
      </w:r>
      <w:r w:rsidR="00E4013A">
        <w:t xml:space="preserve">sPDCCH-PRB-set size </w:t>
      </w:r>
      <w:r w:rsidR="00773B8E">
        <w:t xml:space="preserve">for the case of </w:t>
      </w:r>
      <m:oMath>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sCCE</m:t>
            </m:r>
          </m:sub>
        </m:sSub>
        <m:r>
          <m:rPr>
            <m:sty m:val="bi"/>
          </m:rPr>
          <w:rPr>
            <w:rFonts w:ascii="Cambria Math" w:hAnsi="Cambria Math"/>
          </w:rPr>
          <m:t>=8 sCCE</m:t>
        </m:r>
      </m:oMath>
      <w:r w:rsidR="00116748">
        <w:t xml:space="preserve"> and </w:t>
      </w:r>
      <w:r w:rsidR="00773B8E">
        <w:t>considering 1</w:t>
      </w:r>
      <w:r w:rsidR="000C7A12">
        <w:t>os</w:t>
      </w:r>
      <w:r w:rsidR="00773B8E">
        <w:t>, 2</w:t>
      </w:r>
      <w:r w:rsidR="000C7A12">
        <w:t>os</w:t>
      </w:r>
      <w:r w:rsidR="00773B8E">
        <w:t xml:space="preserve"> and 3os sPDCCH as well as 1 sCCE = 3 sREG and 4 sREG</w:t>
      </w:r>
    </w:p>
    <w:p w14:paraId="674AE141" w14:textId="10388A47" w:rsidR="00B129CF" w:rsidRDefault="000C7A12" w:rsidP="007141EB">
      <w:pPr>
        <w:jc w:val="center"/>
      </w:pPr>
      <w:r>
        <w:rPr>
          <w:noProof/>
          <w:lang w:val="sv-SE" w:eastAsia="sv-SE"/>
        </w:rPr>
        <w:drawing>
          <wp:inline distT="0" distB="0" distL="0" distR="0" wp14:anchorId="6148DF1C" wp14:editId="267A902B">
            <wp:extent cx="4336388" cy="242303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49808" cy="2430529"/>
                    </a:xfrm>
                    <a:prstGeom prst="rect">
                      <a:avLst/>
                    </a:prstGeom>
                  </pic:spPr>
                </pic:pic>
              </a:graphicData>
            </a:graphic>
          </wp:inline>
        </w:drawing>
      </w:r>
    </w:p>
    <w:p w14:paraId="6D47D3CA" w14:textId="736D06D7" w:rsidR="00A03938" w:rsidRDefault="00B129CF" w:rsidP="008149FE">
      <w:r>
        <w:t xml:space="preserve"> </w:t>
      </w:r>
      <w:r w:rsidR="00087F33">
        <w:t xml:space="preserve"> </w:t>
      </w:r>
    </w:p>
    <w:p w14:paraId="3B9CFD9A" w14:textId="32A8E636" w:rsidR="004512CD" w:rsidRPr="004512CD" w:rsidRDefault="004512CD" w:rsidP="008149FE"/>
    <w:p w14:paraId="31A5CC3B" w14:textId="0B1A1432" w:rsidR="005F060D" w:rsidRDefault="00F252F0" w:rsidP="005F060D">
      <w:pPr>
        <w:pStyle w:val="Heading2"/>
      </w:pPr>
      <w:r>
        <w:t>I</w:t>
      </w:r>
      <w:r w:rsidR="005F060D">
        <w:t>n</w:t>
      </w:r>
      <w:r>
        <w:t>creasing</w:t>
      </w:r>
      <w:r w:rsidR="005F060D">
        <w:t xml:space="preserve"> sPDCCH CRC length</w:t>
      </w:r>
    </w:p>
    <w:p w14:paraId="4098AEA1" w14:textId="00EE8855" w:rsidR="005F060D" w:rsidRDefault="005F060D" w:rsidP="005F060D">
      <w:r>
        <w:t>There have been proposals about increasing the sPDCCH CRC length from 16 to 24 bits. This is motivated by the lower rate of false detection, and to avoid additional pruning algorithms in the UE to mitigate this.</w:t>
      </w:r>
      <w:r w:rsidR="0058744F">
        <w:t xml:space="preserve"> A longer CRC has some impact on the control channel performance.</w:t>
      </w:r>
    </w:p>
    <w:p w14:paraId="3C701CFF" w14:textId="0E7F2969" w:rsidR="005F060D" w:rsidRDefault="008345A7" w:rsidP="005F060D">
      <w:r w:rsidRPr="00565D2E">
        <w:fldChar w:fldCharType="begin"/>
      </w:r>
      <w:r w:rsidRPr="00565D2E">
        <w:instrText xml:space="preserve"> REF _Ref481158013 \h  \* MERGEFORMAT </w:instrText>
      </w:r>
      <w:r w:rsidRPr="00565D2E">
        <w:fldChar w:fldCharType="separate"/>
      </w:r>
      <w:r w:rsidRPr="00565D2E">
        <w:t xml:space="preserve">Figure </w:t>
      </w:r>
      <w:r w:rsidRPr="00565D2E">
        <w:rPr>
          <w:noProof/>
        </w:rPr>
        <w:t>5</w:t>
      </w:r>
      <w:r w:rsidRPr="00565D2E">
        <w:fldChar w:fldCharType="end"/>
      </w:r>
      <w:r w:rsidRPr="00565D2E">
        <w:t xml:space="preserve"> shows sPDCCH BLER for </w:t>
      </w:r>
      <w:r>
        <w:t xml:space="preserve">sPDCCH </w:t>
      </w:r>
      <w:r w:rsidR="00836279">
        <w:t xml:space="preserve">of AL1 </w:t>
      </w:r>
      <w:r>
        <w:t>in 10 MHz system bandwidth with an sPDCCH-PRB-set size of 18 PRBs</w:t>
      </w:r>
      <w:r w:rsidRPr="00565D2E">
        <w:t xml:space="preserve">, </w:t>
      </w:r>
      <w:r>
        <w:t>assuming the</w:t>
      </w:r>
      <w:r w:rsidRPr="00565D2E">
        <w:t xml:space="preserve"> </w:t>
      </w:r>
      <w:r>
        <w:t xml:space="preserve">distributed and localized configurations for the sCCE0 depicted in </w:t>
      </w:r>
      <w:r w:rsidRPr="00565D2E">
        <w:fldChar w:fldCharType="begin"/>
      </w:r>
      <w:r w:rsidRPr="00565D2E">
        <w:instrText xml:space="preserve"> REF _Ref481158069 \h  \* MERGEFORMAT </w:instrText>
      </w:r>
      <w:r w:rsidRPr="00565D2E">
        <w:fldChar w:fldCharType="separate"/>
      </w:r>
      <w:r w:rsidRPr="00565D2E">
        <w:t xml:space="preserve">Figure </w:t>
      </w:r>
      <w:r w:rsidRPr="00565D2E">
        <w:rPr>
          <w:noProof/>
        </w:rPr>
        <w:t>1</w:t>
      </w:r>
      <w:r w:rsidRPr="00565D2E">
        <w:fldChar w:fldCharType="end"/>
      </w:r>
      <w:r>
        <w:t xml:space="preserve">. Results for an EVA channel (left) and for an ETU channel (right) both at 3 km/h are depicted in Figure 5. The figure shows simulations both for the standard 16 bits CRC, as well as performance when 8 additional bits are used, i.e. 24 bits CRC. As can be observed, 24 bits CRC will increase the code rate and BLER, which leads to a loss of </w:t>
      </w:r>
      <w:r w:rsidR="005F060D" w:rsidRPr="008345A7">
        <w:t>about 1.5-2 dB.</w:t>
      </w:r>
    </w:p>
    <w:p w14:paraId="3415398E" w14:textId="36CD4255" w:rsidR="005F060D" w:rsidRDefault="005F060D" w:rsidP="005F060D"/>
    <w:p w14:paraId="5EF1533E" w14:textId="77777777" w:rsidR="008345A7" w:rsidRPr="00F95F6C" w:rsidRDefault="008345A7" w:rsidP="008345A7"/>
    <w:p w14:paraId="6B136549" w14:textId="5507D409" w:rsidR="008345A7" w:rsidRPr="004E1C52" w:rsidRDefault="008345A7" w:rsidP="008345A7">
      <w:pPr>
        <w:keepNext/>
        <w:rPr>
          <w:lang w:val="sv-SE"/>
        </w:rPr>
      </w:pPr>
      <w:r>
        <w:rPr>
          <w:rFonts w:ascii="Times New Roman" w:hAnsi="Times New Roman"/>
          <w:noProof/>
          <w:color w:val="000000"/>
          <w:w w:val="0"/>
          <w:sz w:val="0"/>
          <w:szCs w:val="0"/>
          <w:u w:color="000000"/>
          <w:bdr w:val="none" w:sz="0" w:space="0" w:color="000000"/>
          <w:shd w:val="clear" w:color="000000" w:fill="000000"/>
          <w:lang w:val="sv-SE" w:eastAsia="sv-SE"/>
        </w:rPr>
        <w:lastRenderedPageBreak/>
        <w:drawing>
          <wp:inline distT="0" distB="0" distL="0" distR="0" wp14:anchorId="15EA564D" wp14:editId="032DA577">
            <wp:extent cx="3039194" cy="2279395"/>
            <wp:effectExtent l="0" t="0" r="889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VA_RAN1-89-1SCCE.png"/>
                    <pic:cNvPicPr/>
                  </pic:nvPicPr>
                  <pic:blipFill>
                    <a:blip r:embed="rId19">
                      <a:extLst>
                        <a:ext uri="{28A0092B-C50C-407E-A947-70E740481C1C}">
                          <a14:useLocalDpi xmlns:a14="http://schemas.microsoft.com/office/drawing/2010/main" val="0"/>
                        </a:ext>
                      </a:extLst>
                    </a:blip>
                    <a:stretch>
                      <a:fillRect/>
                    </a:stretch>
                  </pic:blipFill>
                  <pic:spPr>
                    <a:xfrm>
                      <a:off x="0" y="0"/>
                      <a:ext cx="3060867" cy="2295650"/>
                    </a:xfrm>
                    <a:prstGeom prst="rect">
                      <a:avLst/>
                    </a:prstGeom>
                  </pic:spPr>
                </pic:pic>
              </a:graphicData>
            </a:graphic>
          </wp:inline>
        </w:drawing>
      </w:r>
      <w:r w:rsidRPr="00F95F6C">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noProof/>
          <w:lang w:val="sv-SE" w:eastAsia="sv-SE"/>
        </w:rPr>
        <w:drawing>
          <wp:inline distT="0" distB="0" distL="0" distR="0" wp14:anchorId="6B5089A3" wp14:editId="221E0493">
            <wp:extent cx="3067840" cy="230088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_RAN1-89-1SCCE.png"/>
                    <pic:cNvPicPr/>
                  </pic:nvPicPr>
                  <pic:blipFill>
                    <a:blip r:embed="rId20">
                      <a:extLst>
                        <a:ext uri="{28A0092B-C50C-407E-A947-70E740481C1C}">
                          <a14:useLocalDpi xmlns:a14="http://schemas.microsoft.com/office/drawing/2010/main" val="0"/>
                        </a:ext>
                      </a:extLst>
                    </a:blip>
                    <a:stretch>
                      <a:fillRect/>
                    </a:stretch>
                  </pic:blipFill>
                  <pic:spPr>
                    <a:xfrm>
                      <a:off x="0" y="0"/>
                      <a:ext cx="3147816" cy="2360863"/>
                    </a:xfrm>
                    <a:prstGeom prst="rect">
                      <a:avLst/>
                    </a:prstGeom>
                  </pic:spPr>
                </pic:pic>
              </a:graphicData>
            </a:graphic>
          </wp:inline>
        </w:drawing>
      </w:r>
    </w:p>
    <w:p w14:paraId="622193B5" w14:textId="77777777" w:rsidR="008345A7" w:rsidRPr="004E1C52" w:rsidRDefault="008345A7" w:rsidP="008345A7">
      <w:pPr>
        <w:keepNext/>
        <w:rPr>
          <w:lang w:val="sv-SE"/>
        </w:rPr>
      </w:pPr>
      <w:r w:rsidRPr="004E1C52">
        <w:rPr>
          <w:lang w:val="sv-SE"/>
        </w:rPr>
        <w:t xml:space="preserve">    </w:t>
      </w:r>
      <w:r w:rsidRPr="004E1C52">
        <w:rPr>
          <w:lang w:val="sv-SE"/>
        </w:rPr>
        <w:tab/>
      </w:r>
      <w:r w:rsidRPr="004E1C52">
        <w:rPr>
          <w:lang w:val="sv-SE"/>
        </w:rPr>
        <w:tab/>
      </w:r>
      <w:r w:rsidRPr="004E1C52">
        <w:rPr>
          <w:lang w:val="sv-SE"/>
        </w:rPr>
        <w:tab/>
        <w:t xml:space="preserve">     EVA 3km/h</w:t>
      </w:r>
      <w:r w:rsidRPr="004E1C52">
        <w:rPr>
          <w:lang w:val="sv-SE"/>
        </w:rPr>
        <w:tab/>
      </w:r>
      <w:r w:rsidRPr="004E1C52">
        <w:rPr>
          <w:lang w:val="sv-SE"/>
        </w:rPr>
        <w:tab/>
      </w:r>
      <w:r w:rsidRPr="004E1C52">
        <w:rPr>
          <w:lang w:val="sv-SE"/>
        </w:rPr>
        <w:tab/>
      </w:r>
      <w:r w:rsidRPr="004E1C52">
        <w:rPr>
          <w:lang w:val="sv-SE"/>
        </w:rPr>
        <w:tab/>
      </w:r>
      <w:r w:rsidRPr="004E1C52">
        <w:rPr>
          <w:lang w:val="sv-SE"/>
        </w:rPr>
        <w:tab/>
      </w:r>
      <w:r w:rsidRPr="004E1C52">
        <w:rPr>
          <w:lang w:val="sv-SE"/>
        </w:rPr>
        <w:tab/>
        <w:t xml:space="preserve">     ETU 3km/h</w:t>
      </w:r>
    </w:p>
    <w:p w14:paraId="3D2C8010" w14:textId="77777777" w:rsidR="008345A7" w:rsidRPr="004E1C52" w:rsidRDefault="008345A7" w:rsidP="008345A7">
      <w:pPr>
        <w:keepNext/>
        <w:rPr>
          <w:lang w:val="sv-SE"/>
        </w:rPr>
      </w:pPr>
    </w:p>
    <w:p w14:paraId="6F39C292" w14:textId="34820EC3" w:rsidR="008345A7" w:rsidRPr="00863570" w:rsidRDefault="008345A7" w:rsidP="008345A7">
      <w:pPr>
        <w:pStyle w:val="Caption"/>
        <w:jc w:val="both"/>
        <w:rPr>
          <w:b w:val="0"/>
        </w:rPr>
      </w:pPr>
      <w:r w:rsidRPr="00863570">
        <w:rPr>
          <w:b w:val="0"/>
        </w:rPr>
        <w:t xml:space="preserve">Figure </w:t>
      </w:r>
      <w:r w:rsidRPr="00863570">
        <w:rPr>
          <w:b w:val="0"/>
        </w:rPr>
        <w:fldChar w:fldCharType="begin"/>
      </w:r>
      <w:r w:rsidRPr="00863570">
        <w:rPr>
          <w:b w:val="0"/>
        </w:rPr>
        <w:instrText xml:space="preserve"> SEQ Figure \* ARABIC </w:instrText>
      </w:r>
      <w:r w:rsidRPr="00863570">
        <w:rPr>
          <w:b w:val="0"/>
        </w:rPr>
        <w:fldChar w:fldCharType="separate"/>
      </w:r>
      <w:r w:rsidRPr="00863570">
        <w:rPr>
          <w:b w:val="0"/>
          <w:noProof/>
        </w:rPr>
        <w:t>5</w:t>
      </w:r>
      <w:r w:rsidRPr="00863570">
        <w:rPr>
          <w:b w:val="0"/>
        </w:rPr>
        <w:fldChar w:fldCharType="end"/>
      </w:r>
      <w:r w:rsidRPr="00863570">
        <w:rPr>
          <w:b w:val="0"/>
        </w:rPr>
        <w:t>. Link performance of different sREG mappings for one sCCE</w:t>
      </w:r>
      <w:r w:rsidR="001F2F5F" w:rsidRPr="00863570">
        <w:rPr>
          <w:b w:val="0"/>
        </w:rPr>
        <w:t xml:space="preserve"> sPDCCH</w:t>
      </w:r>
      <w:r w:rsidRPr="00863570">
        <w:rPr>
          <w:b w:val="0"/>
        </w:rPr>
        <w:t>. EVA on the left, ETU on the right. Both plots include curve sets with different payloads of 14 and 34 bits excluding CRC, and with CRC length 16 or 24 bits.</w:t>
      </w:r>
    </w:p>
    <w:p w14:paraId="33547BB4" w14:textId="77777777" w:rsidR="008345A7" w:rsidRDefault="008345A7" w:rsidP="005F060D"/>
    <w:p w14:paraId="0866E9B7" w14:textId="3D123EFB" w:rsidR="005F060D" w:rsidRDefault="005F060D" w:rsidP="008345A7">
      <w:r>
        <w:t xml:space="preserve">The loss in demodulation performance may be compensated by using higher aggregation levels, but this may then lead </w:t>
      </w:r>
      <w:r w:rsidR="00863570">
        <w:t xml:space="preserve">to </w:t>
      </w:r>
      <w:r>
        <w:t>more scheduling restrictions, and larger control overhead.</w:t>
      </w:r>
    </w:p>
    <w:p w14:paraId="4DE9133B" w14:textId="3FB39A4D" w:rsidR="00A50F15" w:rsidRDefault="00A50F15" w:rsidP="008149FE"/>
    <w:p w14:paraId="0ADE1DCB" w14:textId="58D37F1A" w:rsidR="008345A7" w:rsidRDefault="008345A7" w:rsidP="008345A7">
      <w:pPr>
        <w:pStyle w:val="Observation"/>
      </w:pPr>
      <w:r>
        <w:t xml:space="preserve">The </w:t>
      </w:r>
      <w:r w:rsidR="00863570">
        <w:t>benefits</w:t>
      </w:r>
      <w:r>
        <w:t xml:space="preserve"> from increasing the sPDCCH CRC length need to be compared </w:t>
      </w:r>
      <w:r w:rsidR="00863570">
        <w:t>with</w:t>
      </w:r>
      <w:r>
        <w:t xml:space="preserve"> the SNR loss resulting from the increased coding rate</w:t>
      </w:r>
    </w:p>
    <w:p w14:paraId="6833573C" w14:textId="77777777" w:rsidR="008345A7" w:rsidRPr="00EC3E8B" w:rsidRDefault="008345A7" w:rsidP="008149FE"/>
    <w:p w14:paraId="01938CD0" w14:textId="77777777" w:rsidR="00C01F33" w:rsidRPr="00CE0424" w:rsidRDefault="00C01F33" w:rsidP="00CE0424">
      <w:pPr>
        <w:pStyle w:val="Heading1"/>
      </w:pPr>
      <w:r w:rsidRPr="00CE0424">
        <w:t>Conclusion</w:t>
      </w:r>
    </w:p>
    <w:p w14:paraId="148DBAE4" w14:textId="77777777" w:rsidR="008E065E" w:rsidRDefault="00A13BCB" w:rsidP="00A13BCB">
      <w:r>
        <w:t xml:space="preserve">In this contribution, we discuss the design of sPDCCH and </w:t>
      </w:r>
      <w:r w:rsidR="005E00D1">
        <w:t>have the following observation</w:t>
      </w:r>
      <w:r>
        <w:t>:</w:t>
      </w:r>
    </w:p>
    <w:p w14:paraId="6DEE9108" w14:textId="314134A2" w:rsidR="007141EB" w:rsidRPr="007141EB" w:rsidRDefault="007141EB" w:rsidP="0092134F">
      <w:pPr>
        <w:pStyle w:val="Observation"/>
        <w:numPr>
          <w:ilvl w:val="0"/>
          <w:numId w:val="27"/>
        </w:numPr>
        <w:ind w:left="1701" w:hanging="1701"/>
      </w:pPr>
      <w:r w:rsidRPr="007141EB">
        <w:t>Selecting the sREG forming an sCCE in the order frequency-first-time-second, higher frequency diversity can be achieved</w:t>
      </w:r>
    </w:p>
    <w:p w14:paraId="2B27A799" w14:textId="110CB61E" w:rsidR="007141EB" w:rsidRPr="007141EB" w:rsidRDefault="007141EB" w:rsidP="0092134F">
      <w:pPr>
        <w:pStyle w:val="Observation"/>
        <w:numPr>
          <w:ilvl w:val="0"/>
          <w:numId w:val="27"/>
        </w:numPr>
        <w:ind w:left="1701" w:hanging="1701"/>
        <w:rPr>
          <w:lang w:val="en-US"/>
        </w:rPr>
      </w:pPr>
      <w:r w:rsidRPr="007141EB">
        <w:rPr>
          <w:lang w:val="en-US"/>
        </w:rPr>
        <w:t>The number of usable REs within one sREG may be different depending on the presence of reference signals within the sTTI</w:t>
      </w:r>
    </w:p>
    <w:p w14:paraId="08169AAA" w14:textId="77777777" w:rsidR="006A4F98" w:rsidRDefault="006A4F98" w:rsidP="006A4F98">
      <w:pPr>
        <w:pStyle w:val="Observation"/>
        <w:numPr>
          <w:ilvl w:val="0"/>
          <w:numId w:val="27"/>
        </w:numPr>
      </w:pPr>
      <w:r>
        <w:t>A higher aggregation level can cope with high RS overhead</w:t>
      </w:r>
    </w:p>
    <w:p w14:paraId="00E18857" w14:textId="7A510C4C" w:rsidR="007141EB" w:rsidRPr="007141EB" w:rsidRDefault="007141EB" w:rsidP="0092134F">
      <w:pPr>
        <w:pStyle w:val="Observation"/>
        <w:numPr>
          <w:ilvl w:val="0"/>
          <w:numId w:val="27"/>
        </w:numPr>
        <w:ind w:left="1701" w:hanging="1701"/>
        <w:rPr>
          <w:lang w:val="en-US"/>
        </w:rPr>
      </w:pPr>
      <w:r>
        <w:rPr>
          <w:lang w:val="en-US"/>
        </w:rPr>
        <w:t>T</w:t>
      </w:r>
      <w:r w:rsidRPr="007141EB">
        <w:rPr>
          <w:lang w:val="en-US"/>
        </w:rPr>
        <w:t>he number of PRBs should be well defined, so high order diversity can be achieved as well as excessive overhead is avoided</w:t>
      </w:r>
    </w:p>
    <w:p w14:paraId="0B91587A" w14:textId="61B703D0" w:rsidR="007141EB" w:rsidRPr="007141EB" w:rsidRDefault="007141EB" w:rsidP="0092134F">
      <w:pPr>
        <w:pStyle w:val="Observation"/>
        <w:numPr>
          <w:ilvl w:val="0"/>
          <w:numId w:val="27"/>
        </w:numPr>
        <w:ind w:left="1701" w:hanging="1701"/>
        <w:rPr>
          <w:lang w:val="en-US"/>
        </w:rPr>
      </w:pPr>
      <w:r w:rsidRPr="007141EB">
        <w:rPr>
          <w:lang w:val="en-US"/>
        </w:rPr>
        <w:t>The UE’s sPDCCH-PRB-set should contain at least as many sCCE as required to support the maximum number of sPDCCH candidates defined per aggregation level per UE</w:t>
      </w:r>
    </w:p>
    <w:p w14:paraId="725B926E" w14:textId="77777777" w:rsidR="006A4F98" w:rsidRPr="00A03938" w:rsidRDefault="006A4F98" w:rsidP="006A4F98">
      <w:pPr>
        <w:pStyle w:val="Observation"/>
      </w:pPr>
      <w:r>
        <w:t>I</w:t>
      </w:r>
      <w:r w:rsidRPr="008026E5">
        <w:t>f the same sPDCCH-PRB-set is configured for multiple UEs</w:t>
      </w:r>
      <w:r>
        <w:t xml:space="preserve">, the </w:t>
      </w:r>
      <w:r w:rsidRPr="00A03938">
        <w:t xml:space="preserve">sPDCCH-PRB-set should </w:t>
      </w:r>
      <w:r>
        <w:t xml:space="preserve">support only a limited number of simultaneous UEs with a high AL sPDCCH in the same sTTI. </w:t>
      </w:r>
    </w:p>
    <w:p w14:paraId="0451906E" w14:textId="756C82ED" w:rsidR="007141EB" w:rsidRDefault="00580CA5" w:rsidP="0092134F">
      <w:pPr>
        <w:pStyle w:val="Observation"/>
      </w:pPr>
      <m:oMath>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sCCE</m:t>
            </m:r>
          </m:sub>
        </m:sSub>
      </m:oMath>
      <w:r w:rsidR="007141EB">
        <w:rPr>
          <w:b w:val="0"/>
          <w:bCs w:val="0"/>
        </w:rPr>
        <w:t xml:space="preserve"> </w:t>
      </w:r>
      <w:r w:rsidR="007141EB" w:rsidRPr="007141EB">
        <w:t xml:space="preserve">will be also based on different </w:t>
      </w:r>
      <w:r w:rsidR="001F502B">
        <w:t xml:space="preserve">cases and </w:t>
      </w:r>
      <w:r w:rsidR="007141EB" w:rsidRPr="007141EB">
        <w:t>aspects such as the system bandwidth</w:t>
      </w:r>
    </w:p>
    <w:p w14:paraId="343F4400" w14:textId="70B51934" w:rsidR="003B3640" w:rsidRPr="007141EB" w:rsidRDefault="007141EB" w:rsidP="0092134F">
      <w:pPr>
        <w:pStyle w:val="Observation"/>
        <w:numPr>
          <w:ilvl w:val="0"/>
          <w:numId w:val="27"/>
        </w:numPr>
        <w:ind w:left="1701" w:hanging="1701"/>
        <w:rPr>
          <w:lang w:val="en-US"/>
        </w:rPr>
      </w:pPr>
      <w:r w:rsidRPr="007141EB">
        <w:rPr>
          <w:lang w:val="en-US"/>
        </w:rPr>
        <w:t xml:space="preserve">The </w:t>
      </w:r>
      <w:r w:rsidR="007E5A4C">
        <w:t xml:space="preserve">benefits from increasing the sPDCCH CRC length need to be compared with the SNR loss resulting from the increased </w:t>
      </w:r>
      <w:bookmarkStart w:id="27" w:name="_GoBack"/>
      <w:bookmarkEnd w:id="27"/>
      <w:r w:rsidRPr="007141EB">
        <w:rPr>
          <w:lang w:val="en-US"/>
        </w:rPr>
        <w:t>coding rate</w:t>
      </w:r>
    </w:p>
    <w:p w14:paraId="7A20879E" w14:textId="77777777" w:rsidR="003B3640" w:rsidRDefault="003B3640" w:rsidP="003B3640">
      <w:pPr>
        <w:pStyle w:val="BodyText"/>
      </w:pPr>
      <w:r w:rsidRPr="004D559D">
        <w:t xml:space="preserve">Based on the discussion in section </w:t>
      </w:r>
      <w:r w:rsidRPr="004D559D">
        <w:rPr>
          <w:highlight w:val="cyan"/>
        </w:rPr>
        <w:fldChar w:fldCharType="begin"/>
      </w:r>
      <w:r w:rsidRPr="004D559D">
        <w:instrText xml:space="preserve"> REF _Ref178064866 \r \h </w:instrText>
      </w:r>
      <w:r w:rsidRPr="004D559D">
        <w:rPr>
          <w:highlight w:val="cyan"/>
        </w:rPr>
        <w:instrText xml:space="preserve"> \* MERGEFORMAT </w:instrText>
      </w:r>
      <w:r w:rsidRPr="004D559D">
        <w:rPr>
          <w:highlight w:val="cyan"/>
        </w:rPr>
      </w:r>
      <w:r w:rsidRPr="004D559D">
        <w:rPr>
          <w:highlight w:val="cyan"/>
        </w:rPr>
        <w:fldChar w:fldCharType="separate"/>
      </w:r>
      <w:r w:rsidRPr="004D559D">
        <w:t>2</w:t>
      </w:r>
      <w:r w:rsidRPr="004D559D">
        <w:rPr>
          <w:highlight w:val="cyan"/>
        </w:rPr>
        <w:fldChar w:fldCharType="end"/>
      </w:r>
      <w:r w:rsidRPr="004D559D">
        <w:t xml:space="preserve"> we propose the following:</w:t>
      </w:r>
    </w:p>
    <w:p w14:paraId="2A724AC3" w14:textId="77777777" w:rsidR="007141EB" w:rsidRDefault="00B93BDD" w:rsidP="007141EB">
      <w:pPr>
        <w:pStyle w:val="Proposal"/>
        <w:numPr>
          <w:ilvl w:val="0"/>
          <w:numId w:val="26"/>
        </w:numPr>
      </w:pPr>
      <w:r>
        <w:lastRenderedPageBreak/>
        <w:t xml:space="preserve">The </w:t>
      </w:r>
      <w:r w:rsidR="007141EB">
        <w:t xml:space="preserve">eNB shall be able to operate UEs configured with different control channel demodulation assumptions within the same sTTI </w:t>
      </w:r>
    </w:p>
    <w:p w14:paraId="7DAADB5A" w14:textId="77777777" w:rsidR="007141EB" w:rsidRDefault="007141EB" w:rsidP="007141EB">
      <w:pPr>
        <w:pStyle w:val="Proposal"/>
        <w:numPr>
          <w:ilvl w:val="0"/>
          <w:numId w:val="26"/>
        </w:numPr>
      </w:pPr>
      <w:r>
        <w:t>Sharing of resources within a PRB can be done between UEs operating with CRS, and between UEs operating with DMRS based demodulation</w:t>
      </w:r>
    </w:p>
    <w:p w14:paraId="1EADF499" w14:textId="77777777" w:rsidR="007141EB" w:rsidRDefault="007141EB" w:rsidP="007141EB">
      <w:pPr>
        <w:pStyle w:val="Proposal"/>
        <w:numPr>
          <w:ilvl w:val="0"/>
          <w:numId w:val="26"/>
        </w:numPr>
      </w:pPr>
      <w:r>
        <w:t xml:space="preserve">The design for sPDCCH is not optimized to support coexistence of UEs using CRS-based demodulation and UEs using DMRS-based demodulation in the same PRB </w:t>
      </w:r>
    </w:p>
    <w:p w14:paraId="4A80F31E" w14:textId="77777777" w:rsidR="007141EB" w:rsidRDefault="007141EB" w:rsidP="007141EB">
      <w:pPr>
        <w:pStyle w:val="Proposal"/>
        <w:numPr>
          <w:ilvl w:val="0"/>
          <w:numId w:val="26"/>
        </w:numPr>
      </w:pPr>
      <w:r>
        <w:t xml:space="preserve">Support 2 OFDM symbols for DMRS-based sPDCCH transmissions for slot sTTI </w:t>
      </w:r>
    </w:p>
    <w:p w14:paraId="4FFB9F70" w14:textId="77777777" w:rsidR="007141EB" w:rsidRDefault="007141EB" w:rsidP="007141EB">
      <w:pPr>
        <w:pStyle w:val="Proposal"/>
        <w:numPr>
          <w:ilvl w:val="0"/>
          <w:numId w:val="26"/>
        </w:numPr>
      </w:pPr>
      <w:r>
        <w:t>For the case of only few REs available within the first 2 OFDM symbols in a slot, support 3 OFDM symbols for DMRS-based sPDCCH transmissions for slot sTTI</w:t>
      </w:r>
    </w:p>
    <w:p w14:paraId="032067DA" w14:textId="77777777" w:rsidR="007141EB" w:rsidRDefault="007141EB" w:rsidP="007141EB">
      <w:pPr>
        <w:pStyle w:val="Proposal"/>
        <w:numPr>
          <w:ilvl w:val="0"/>
          <w:numId w:val="26"/>
        </w:numPr>
      </w:pPr>
      <w:r>
        <w:t>Support the same number of OFDM symbols for DMRS-based sPDCCH transmissions as contained in the DL short TTI for 2os sTTI</w:t>
      </w:r>
    </w:p>
    <w:p w14:paraId="5DB0F7D7" w14:textId="77777777" w:rsidR="007141EB" w:rsidRPr="007141EB" w:rsidRDefault="007141EB" w:rsidP="007141EB">
      <w:pPr>
        <w:pStyle w:val="Proposal"/>
        <w:numPr>
          <w:ilvl w:val="0"/>
          <w:numId w:val="26"/>
        </w:numPr>
      </w:pPr>
      <w:r w:rsidRPr="007141EB">
        <w:t>Confirm the working assumption: an sREG consists of 1 PRB within 1 OFDM symbol including REs for CRS and/or DMRS applied for CRS-based sPDCCH</w:t>
      </w:r>
    </w:p>
    <w:p w14:paraId="3AFAA693" w14:textId="77777777" w:rsidR="007141EB" w:rsidRDefault="007141EB" w:rsidP="007141EB">
      <w:pPr>
        <w:pStyle w:val="Proposal"/>
        <w:numPr>
          <w:ilvl w:val="0"/>
          <w:numId w:val="26"/>
        </w:numPr>
      </w:pPr>
      <w:r>
        <w:t xml:space="preserve">One sCCE is composed by 36 REs, i.e. 3 sREG, for 1os and 2os CRS-based sPDCCH </w:t>
      </w:r>
    </w:p>
    <w:p w14:paraId="3CD533F6" w14:textId="77777777" w:rsidR="007141EB" w:rsidRDefault="007141EB" w:rsidP="007141EB">
      <w:pPr>
        <w:pStyle w:val="Proposal"/>
        <w:numPr>
          <w:ilvl w:val="0"/>
          <w:numId w:val="26"/>
        </w:numPr>
      </w:pPr>
      <w:r>
        <w:t xml:space="preserve">One sCCE is composed by 48 REs, i.e. 4 sREG (2 full PRB), for 2os DMRS-based sPDCCH </w:t>
      </w:r>
    </w:p>
    <w:p w14:paraId="68CA903F" w14:textId="77777777" w:rsidR="007141EB" w:rsidRDefault="007141EB" w:rsidP="007141EB">
      <w:pPr>
        <w:pStyle w:val="Proposal"/>
      </w:pPr>
      <w:r w:rsidRPr="00F37FEA">
        <w:t>Confirm the working assumption: A sPDCCH RB set can be configured to a UE by higher-layer signalling either with distributed or localized mapping of sCCE to sREG</w:t>
      </w:r>
    </w:p>
    <w:p w14:paraId="3E0CA49E" w14:textId="77777777" w:rsidR="007141EB" w:rsidRDefault="007141EB" w:rsidP="007141EB">
      <w:pPr>
        <w:pStyle w:val="Proposal"/>
        <w:numPr>
          <w:ilvl w:val="2"/>
          <w:numId w:val="23"/>
        </w:numPr>
      </w:pPr>
      <w:r>
        <w:t>The choice of whether to use distributed or localized sREGs location should be configurable by the eNB</w:t>
      </w:r>
    </w:p>
    <w:p w14:paraId="0614122D" w14:textId="77777777" w:rsidR="007141EB" w:rsidRDefault="007141EB" w:rsidP="007141EB">
      <w:pPr>
        <w:pStyle w:val="Proposal"/>
      </w:pPr>
      <w:r w:rsidRPr="00F37FEA">
        <w:t>Confirm the working assumption: A UE can be configured with one or two sPDCCH RB set(s) containing the UE’s user-specific sTTI search space</w:t>
      </w:r>
    </w:p>
    <w:p w14:paraId="4B09F47B" w14:textId="77777777" w:rsidR="007141EB" w:rsidRPr="007E444A" w:rsidRDefault="007141EB" w:rsidP="007141EB">
      <w:pPr>
        <w:pStyle w:val="Proposal"/>
        <w:numPr>
          <w:ilvl w:val="2"/>
          <w:numId w:val="23"/>
        </w:numPr>
      </w:pPr>
      <w:r>
        <w:t>At least one sPDCCH-</w:t>
      </w:r>
      <w:r w:rsidRPr="007E444A">
        <w:t>PRB-set</w:t>
      </w:r>
      <w:r>
        <w:t xml:space="preserve"> is configured as distributed for </w:t>
      </w:r>
      <w:r w:rsidRPr="007E444A">
        <w:t>CRS-based</w:t>
      </w:r>
      <w:r>
        <w:t xml:space="preserve"> sPDCCH</w:t>
      </w:r>
    </w:p>
    <w:p w14:paraId="57F4EBFF" w14:textId="77777777" w:rsidR="007141EB" w:rsidRPr="007E444A" w:rsidRDefault="007141EB" w:rsidP="007141EB">
      <w:pPr>
        <w:pStyle w:val="Proposal"/>
        <w:numPr>
          <w:ilvl w:val="2"/>
          <w:numId w:val="23"/>
        </w:numPr>
      </w:pPr>
      <w:r w:rsidRPr="007E444A">
        <w:t xml:space="preserve">DMRS-based </w:t>
      </w:r>
      <w:r>
        <w:t>sPDCCH is configured with one localized and one distributed sPDCCH-</w:t>
      </w:r>
      <w:r w:rsidRPr="007E444A">
        <w:t>PRB-set</w:t>
      </w:r>
    </w:p>
    <w:p w14:paraId="0FA1FDB5" w14:textId="77777777" w:rsidR="007141EB" w:rsidRDefault="007141EB" w:rsidP="007141EB">
      <w:pPr>
        <w:pStyle w:val="Proposal"/>
        <w:numPr>
          <w:ilvl w:val="0"/>
          <w:numId w:val="0"/>
        </w:numPr>
        <w:ind w:left="1304"/>
      </w:pPr>
    </w:p>
    <w:p w14:paraId="595C8791" w14:textId="77777777" w:rsidR="00F507D1" w:rsidRPr="00CE0424" w:rsidRDefault="00F507D1" w:rsidP="00CE0424">
      <w:pPr>
        <w:pStyle w:val="Heading1"/>
      </w:pPr>
      <w:bookmarkStart w:id="28" w:name="_In-sequence_SDU_delivery"/>
      <w:bookmarkEnd w:id="28"/>
      <w:r w:rsidRPr="00CE0424">
        <w:t>References</w:t>
      </w:r>
    </w:p>
    <w:p w14:paraId="4DC9A5A9" w14:textId="77777777" w:rsidR="003A7EF3" w:rsidRDefault="00BC79AF" w:rsidP="00BC79AF">
      <w:pPr>
        <w:pStyle w:val="BodyText"/>
        <w:numPr>
          <w:ilvl w:val="0"/>
          <w:numId w:val="21"/>
        </w:numPr>
      </w:pPr>
      <w:bookmarkStart w:id="29" w:name="_Ref457986196"/>
      <w:r>
        <w:t xml:space="preserve">3GPP TR 36.881 </w:t>
      </w:r>
      <w:r w:rsidRPr="00BC79AF">
        <w:t>Study on latency reduction techniques for LTE</w:t>
      </w:r>
      <w:r>
        <w:t xml:space="preserve"> V 14.0.0</w:t>
      </w:r>
      <w:bookmarkEnd w:id="29"/>
    </w:p>
    <w:p w14:paraId="4BE51205" w14:textId="77777777" w:rsidR="00C55430" w:rsidRDefault="00C55430" w:rsidP="00600A67">
      <w:pPr>
        <w:pStyle w:val="BodyText"/>
        <w:numPr>
          <w:ilvl w:val="0"/>
          <w:numId w:val="21"/>
        </w:numPr>
      </w:pPr>
      <w:bookmarkStart w:id="30" w:name="_Ref462744559"/>
      <w:r>
        <w:t xml:space="preserve">R1-168350, Way forward on sPDCCH, </w:t>
      </w:r>
      <w:r w:rsidRPr="00C55430">
        <w:t>Huawei, HiSilicon,</w:t>
      </w:r>
      <w:r>
        <w:t xml:space="preserve"> </w:t>
      </w:r>
      <w:r w:rsidRPr="00C55430">
        <w:t>Qualcomm,</w:t>
      </w:r>
      <w:r>
        <w:t xml:space="preserve"> </w:t>
      </w:r>
      <w:r w:rsidRPr="00C55430">
        <w:t>Ericsson,</w:t>
      </w:r>
      <w:r>
        <w:t xml:space="preserve"> </w:t>
      </w:r>
      <w:r w:rsidRPr="00C55430">
        <w:t>Nokia</w:t>
      </w:r>
      <w:r>
        <w:t xml:space="preserve"> et al., </w:t>
      </w:r>
      <w:r w:rsidRPr="00C55430">
        <w:t xml:space="preserve">3GPP </w:t>
      </w:r>
      <w:r>
        <w:t xml:space="preserve">TSG RAN WG1 #86, </w:t>
      </w:r>
      <w:r w:rsidRPr="00C55430">
        <w:t>Gothenburg, Sweden</w:t>
      </w:r>
      <w:r>
        <w:t>,</w:t>
      </w:r>
      <w:r w:rsidRPr="00C55430">
        <w:t xml:space="preserve"> 22nd - 26th August 2016</w:t>
      </w:r>
      <w:bookmarkEnd w:id="30"/>
    </w:p>
    <w:p w14:paraId="2DF12A8D" w14:textId="77777777" w:rsidR="00584F7A" w:rsidRDefault="00584F7A" w:rsidP="00584F7A">
      <w:pPr>
        <w:pStyle w:val="BodyText"/>
        <w:numPr>
          <w:ilvl w:val="0"/>
          <w:numId w:val="21"/>
        </w:numPr>
      </w:pPr>
      <w:r w:rsidRPr="00584F7A">
        <w:t>R1-1613691</w:t>
      </w:r>
      <w:r w:rsidRPr="00584F7A">
        <w:tab/>
        <w:t>Way Forward on 2-symbols DL sTTI layout structure</w:t>
      </w:r>
      <w:r w:rsidRPr="00584F7A">
        <w:tab/>
        <w:t xml:space="preserve">Intel, Ericsson, CATT, Nokia, Alcatel-Lucent Shanghai Bell, Huawei, HiSilicon, NTT DoCoMo, Samsung, Qualcomm, Vodafone  </w:t>
      </w:r>
    </w:p>
    <w:p w14:paraId="1370F13C" w14:textId="150375E1" w:rsidR="0021243C" w:rsidRDefault="0021243C" w:rsidP="008345A7">
      <w:pPr>
        <w:pStyle w:val="Reference"/>
        <w:numPr>
          <w:ilvl w:val="0"/>
          <w:numId w:val="21"/>
        </w:numPr>
        <w:textAlignment w:val="auto"/>
      </w:pPr>
      <w:r w:rsidRPr="002E78A9">
        <w:t>R1-17</w:t>
      </w:r>
      <w:r w:rsidR="002E78A9" w:rsidRPr="002E78A9">
        <w:t>08863</w:t>
      </w:r>
      <w:r w:rsidRPr="00D56954">
        <w:t xml:space="preserve">, </w:t>
      </w:r>
      <w:r w:rsidRPr="0021243C">
        <w:t>Search space for sTTI</w:t>
      </w:r>
      <w:r>
        <w:t>,</w:t>
      </w:r>
      <w:r w:rsidR="00394CCD">
        <w:t xml:space="preserve"> Ericsson, </w:t>
      </w:r>
      <w:r>
        <w:t>3GPP TSG-RAN WG1 #89</w:t>
      </w:r>
      <w:r w:rsidRPr="00D56954">
        <w:t xml:space="preserve">, </w:t>
      </w:r>
      <w:r>
        <w:t>May 2017</w:t>
      </w:r>
    </w:p>
    <w:p w14:paraId="7322A1B8" w14:textId="77777777" w:rsidR="00764870" w:rsidRPr="00CE0424" w:rsidRDefault="00764870" w:rsidP="00764870">
      <w:pPr>
        <w:pStyle w:val="BodyText"/>
        <w:ind w:left="720"/>
      </w:pPr>
    </w:p>
    <w:sectPr w:rsidR="00764870" w:rsidRPr="00CE0424" w:rsidSect="00360608">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F611D" w14:textId="77777777" w:rsidR="00580CA5" w:rsidRDefault="00580CA5">
      <w:r>
        <w:separator/>
      </w:r>
    </w:p>
  </w:endnote>
  <w:endnote w:type="continuationSeparator" w:id="0">
    <w:p w14:paraId="2156FFAD" w14:textId="77777777" w:rsidR="00580CA5" w:rsidRDefault="0058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44B8" w14:textId="2816DD1A" w:rsidR="008C49B2" w:rsidRDefault="008C49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5A4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5A4C">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E65D7" w14:textId="77777777" w:rsidR="00580CA5" w:rsidRDefault="00580CA5">
      <w:r>
        <w:separator/>
      </w:r>
    </w:p>
  </w:footnote>
  <w:footnote w:type="continuationSeparator" w:id="0">
    <w:p w14:paraId="3CE960F9" w14:textId="77777777" w:rsidR="00580CA5" w:rsidRDefault="0058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513C8" w14:textId="77777777" w:rsidR="008C49B2" w:rsidRDefault="008C49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9F0"/>
    <w:multiLevelType w:val="hybridMultilevel"/>
    <w:tmpl w:val="3B243C94"/>
    <w:lvl w:ilvl="0" w:tplc="659228B8">
      <w:start w:val="1"/>
      <w:numFmt w:val="bullet"/>
      <w:lvlText w:val="•"/>
      <w:lvlJc w:val="left"/>
      <w:pPr>
        <w:tabs>
          <w:tab w:val="num" w:pos="720"/>
        </w:tabs>
        <w:ind w:left="720" w:hanging="360"/>
      </w:pPr>
      <w:rPr>
        <w:rFonts w:ascii="Arial" w:hAnsi="Arial" w:hint="default"/>
      </w:rPr>
    </w:lvl>
    <w:lvl w:ilvl="1" w:tplc="901C2692">
      <w:start w:val="2372"/>
      <w:numFmt w:val="bullet"/>
      <w:lvlText w:val="–"/>
      <w:lvlJc w:val="left"/>
      <w:pPr>
        <w:tabs>
          <w:tab w:val="num" w:pos="1440"/>
        </w:tabs>
        <w:ind w:left="1440" w:hanging="360"/>
      </w:pPr>
      <w:rPr>
        <w:rFonts w:ascii="Arial" w:hAnsi="Arial" w:hint="default"/>
      </w:rPr>
    </w:lvl>
    <w:lvl w:ilvl="2" w:tplc="3856B592">
      <w:start w:val="2372"/>
      <w:numFmt w:val="bullet"/>
      <w:lvlText w:val="•"/>
      <w:lvlJc w:val="left"/>
      <w:pPr>
        <w:tabs>
          <w:tab w:val="num" w:pos="2160"/>
        </w:tabs>
        <w:ind w:left="2160" w:hanging="360"/>
      </w:pPr>
      <w:rPr>
        <w:rFonts w:ascii="Arial" w:hAnsi="Arial" w:hint="default"/>
      </w:rPr>
    </w:lvl>
    <w:lvl w:ilvl="3" w:tplc="3E163DFA">
      <w:start w:val="2372"/>
      <w:numFmt w:val="bullet"/>
      <w:lvlText w:val="–"/>
      <w:lvlJc w:val="left"/>
      <w:pPr>
        <w:tabs>
          <w:tab w:val="num" w:pos="2880"/>
        </w:tabs>
        <w:ind w:left="2880" w:hanging="360"/>
      </w:pPr>
      <w:rPr>
        <w:rFonts w:ascii="Arial" w:hAnsi="Arial" w:hint="default"/>
      </w:rPr>
    </w:lvl>
    <w:lvl w:ilvl="4" w:tplc="239EE17A" w:tentative="1">
      <w:start w:val="1"/>
      <w:numFmt w:val="bullet"/>
      <w:lvlText w:val="•"/>
      <w:lvlJc w:val="left"/>
      <w:pPr>
        <w:tabs>
          <w:tab w:val="num" w:pos="3600"/>
        </w:tabs>
        <w:ind w:left="3600" w:hanging="360"/>
      </w:pPr>
      <w:rPr>
        <w:rFonts w:ascii="Arial" w:hAnsi="Arial" w:hint="default"/>
      </w:rPr>
    </w:lvl>
    <w:lvl w:ilvl="5" w:tplc="CAB2C8E4" w:tentative="1">
      <w:start w:val="1"/>
      <w:numFmt w:val="bullet"/>
      <w:lvlText w:val="•"/>
      <w:lvlJc w:val="left"/>
      <w:pPr>
        <w:tabs>
          <w:tab w:val="num" w:pos="4320"/>
        </w:tabs>
        <w:ind w:left="4320" w:hanging="360"/>
      </w:pPr>
      <w:rPr>
        <w:rFonts w:ascii="Arial" w:hAnsi="Arial" w:hint="default"/>
      </w:rPr>
    </w:lvl>
    <w:lvl w:ilvl="6" w:tplc="67DCF4A8" w:tentative="1">
      <w:start w:val="1"/>
      <w:numFmt w:val="bullet"/>
      <w:lvlText w:val="•"/>
      <w:lvlJc w:val="left"/>
      <w:pPr>
        <w:tabs>
          <w:tab w:val="num" w:pos="5040"/>
        </w:tabs>
        <w:ind w:left="5040" w:hanging="360"/>
      </w:pPr>
      <w:rPr>
        <w:rFonts w:ascii="Arial" w:hAnsi="Arial" w:hint="default"/>
      </w:rPr>
    </w:lvl>
    <w:lvl w:ilvl="7" w:tplc="6F44E5A0" w:tentative="1">
      <w:start w:val="1"/>
      <w:numFmt w:val="bullet"/>
      <w:lvlText w:val="•"/>
      <w:lvlJc w:val="left"/>
      <w:pPr>
        <w:tabs>
          <w:tab w:val="num" w:pos="5760"/>
        </w:tabs>
        <w:ind w:left="5760" w:hanging="360"/>
      </w:pPr>
      <w:rPr>
        <w:rFonts w:ascii="Arial" w:hAnsi="Arial" w:hint="default"/>
      </w:rPr>
    </w:lvl>
    <w:lvl w:ilvl="8" w:tplc="AAE810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735E14"/>
    <w:multiLevelType w:val="hybridMultilevel"/>
    <w:tmpl w:val="8C04F54A"/>
    <w:lvl w:ilvl="0" w:tplc="ED0228A4">
      <w:start w:val="3"/>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381B2F"/>
    <w:multiLevelType w:val="hybridMultilevel"/>
    <w:tmpl w:val="024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013BF2"/>
    <w:multiLevelType w:val="hybridMultilevel"/>
    <w:tmpl w:val="72AA8368"/>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D2E7012">
      <w:start w:val="4"/>
      <w:numFmt w:val="bullet"/>
      <w:lvlText w:val="-"/>
      <w:lvlJc w:val="left"/>
      <w:pPr>
        <w:ind w:left="2880" w:hanging="360"/>
      </w:pPr>
      <w:rPr>
        <w:rFonts w:ascii="Arial" w:eastAsia="Times New Roman" w:hAnsi="Arial" w:cs="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47CFF"/>
    <w:multiLevelType w:val="hybridMultilevel"/>
    <w:tmpl w:val="950C726A"/>
    <w:lvl w:ilvl="0" w:tplc="9E20C9D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6336B"/>
    <w:multiLevelType w:val="hybridMultilevel"/>
    <w:tmpl w:val="281AC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774BB"/>
    <w:multiLevelType w:val="hybridMultilevel"/>
    <w:tmpl w:val="193C5668"/>
    <w:lvl w:ilvl="0" w:tplc="18ACDE8A">
      <w:start w:val="3"/>
      <w:numFmt w:val="bullet"/>
      <w:lvlText w:val="-"/>
      <w:lvlJc w:val="left"/>
      <w:pPr>
        <w:ind w:left="927" w:hanging="360"/>
      </w:pPr>
      <w:rPr>
        <w:rFonts w:ascii="Arial" w:eastAsia="Times New Roman"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728939BF"/>
    <w:multiLevelType w:val="hybridMultilevel"/>
    <w:tmpl w:val="0D72490C"/>
    <w:lvl w:ilvl="0" w:tplc="0F3A8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1"/>
  </w:num>
  <w:num w:numId="4">
    <w:abstractNumId w:val="12"/>
  </w:num>
  <w:num w:numId="5">
    <w:abstractNumId w:val="9"/>
  </w:num>
  <w:num w:numId="6">
    <w:abstractNumId w:val="14"/>
  </w:num>
  <w:num w:numId="7">
    <w:abstractNumId w:val="21"/>
  </w:num>
  <w:num w:numId="8">
    <w:abstractNumId w:val="10"/>
  </w:num>
  <w:num w:numId="9">
    <w:abstractNumId w:val="7"/>
  </w:num>
  <w:num w:numId="10">
    <w:abstractNumId w:val="3"/>
  </w:num>
  <w:num w:numId="11">
    <w:abstractNumId w:val="2"/>
  </w:num>
  <w:num w:numId="12">
    <w:abstractNumId w:val="1"/>
  </w:num>
  <w:num w:numId="13">
    <w:abstractNumId w:val="19"/>
  </w:num>
  <w:num w:numId="14">
    <w:abstractNumId w:val="0"/>
  </w:num>
  <w:num w:numId="15">
    <w:abstractNumId w:val="8"/>
  </w:num>
  <w:num w:numId="16">
    <w:abstractNumId w:val="22"/>
  </w:num>
  <w:num w:numId="17">
    <w:abstractNumId w:val="13"/>
  </w:num>
  <w:num w:numId="18">
    <w:abstractNumId w:val="17"/>
  </w:num>
  <w:num w:numId="19">
    <w:abstractNumId w:val="24"/>
  </w:num>
  <w:num w:numId="20">
    <w:abstractNumId w:val="15"/>
  </w:num>
  <w:num w:numId="21">
    <w:abstractNumId w:val="26"/>
  </w:num>
  <w:num w:numId="22">
    <w:abstractNumId w:val="23"/>
  </w:num>
  <w:num w:numId="23">
    <w:abstractNumId w:val="20"/>
  </w:num>
  <w:num w:numId="24">
    <w:abstractNumId w:val="25"/>
  </w:num>
  <w:num w:numId="25">
    <w:abstractNumId w:val="5"/>
  </w:num>
  <w:num w:numId="26">
    <w:abstractNumId w:val="11"/>
    <w:lvlOverride w:ilvl="0">
      <w:startOverride w:val="1"/>
    </w:lvlOverride>
  </w:num>
  <w:num w:numId="27">
    <w:abstractNumId w:val="19"/>
    <w:lvlOverride w:ilvl="0">
      <w:startOverride w:val="1"/>
    </w:lvlOverride>
  </w:num>
  <w:num w:numId="28">
    <w:abstractNumId w:val="6"/>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A91"/>
    <w:rsid w:val="0000620F"/>
    <w:rsid w:val="00006446"/>
    <w:rsid w:val="00006896"/>
    <w:rsid w:val="00007CDC"/>
    <w:rsid w:val="00007EDB"/>
    <w:rsid w:val="00011B28"/>
    <w:rsid w:val="00014917"/>
    <w:rsid w:val="000151A1"/>
    <w:rsid w:val="00015D15"/>
    <w:rsid w:val="000175CE"/>
    <w:rsid w:val="00020CBC"/>
    <w:rsid w:val="000250B3"/>
    <w:rsid w:val="0002564D"/>
    <w:rsid w:val="00025ECA"/>
    <w:rsid w:val="000303D2"/>
    <w:rsid w:val="000325B8"/>
    <w:rsid w:val="00032982"/>
    <w:rsid w:val="000340C8"/>
    <w:rsid w:val="000344FD"/>
    <w:rsid w:val="00034C15"/>
    <w:rsid w:val="0003654D"/>
    <w:rsid w:val="0003686F"/>
    <w:rsid w:val="00036BA1"/>
    <w:rsid w:val="00040B8E"/>
    <w:rsid w:val="000422E2"/>
    <w:rsid w:val="00042CD7"/>
    <w:rsid w:val="00042F22"/>
    <w:rsid w:val="000444EF"/>
    <w:rsid w:val="00052677"/>
    <w:rsid w:val="00052A07"/>
    <w:rsid w:val="000534E3"/>
    <w:rsid w:val="0005606A"/>
    <w:rsid w:val="00057117"/>
    <w:rsid w:val="000616E7"/>
    <w:rsid w:val="0006478A"/>
    <w:rsid w:val="0006487E"/>
    <w:rsid w:val="00065E1A"/>
    <w:rsid w:val="0007265B"/>
    <w:rsid w:val="00073642"/>
    <w:rsid w:val="00075C6D"/>
    <w:rsid w:val="00076C39"/>
    <w:rsid w:val="00077E5F"/>
    <w:rsid w:val="0008036A"/>
    <w:rsid w:val="00081AE6"/>
    <w:rsid w:val="000855EB"/>
    <w:rsid w:val="00085B52"/>
    <w:rsid w:val="000866F2"/>
    <w:rsid w:val="00087435"/>
    <w:rsid w:val="00087F33"/>
    <w:rsid w:val="0009009F"/>
    <w:rsid w:val="0009012F"/>
    <w:rsid w:val="00091557"/>
    <w:rsid w:val="000924C1"/>
    <w:rsid w:val="000924F0"/>
    <w:rsid w:val="00092B4B"/>
    <w:rsid w:val="00093474"/>
    <w:rsid w:val="0009510F"/>
    <w:rsid w:val="000A0640"/>
    <w:rsid w:val="000A1B7B"/>
    <w:rsid w:val="000A56F2"/>
    <w:rsid w:val="000B1B8D"/>
    <w:rsid w:val="000B20A6"/>
    <w:rsid w:val="000B2719"/>
    <w:rsid w:val="000B2C04"/>
    <w:rsid w:val="000B372E"/>
    <w:rsid w:val="000B3A8F"/>
    <w:rsid w:val="000B4AB9"/>
    <w:rsid w:val="000B58C3"/>
    <w:rsid w:val="000B61E9"/>
    <w:rsid w:val="000B66A8"/>
    <w:rsid w:val="000B7B33"/>
    <w:rsid w:val="000C165A"/>
    <w:rsid w:val="000C2E19"/>
    <w:rsid w:val="000C4A84"/>
    <w:rsid w:val="000C7976"/>
    <w:rsid w:val="000C7A12"/>
    <w:rsid w:val="000D099F"/>
    <w:rsid w:val="000D0D07"/>
    <w:rsid w:val="000D4797"/>
    <w:rsid w:val="000D4F21"/>
    <w:rsid w:val="000E0527"/>
    <w:rsid w:val="000E1E92"/>
    <w:rsid w:val="000F06D6"/>
    <w:rsid w:val="000F0EB1"/>
    <w:rsid w:val="000F1106"/>
    <w:rsid w:val="000F352E"/>
    <w:rsid w:val="000F3BE9"/>
    <w:rsid w:val="000F3F6C"/>
    <w:rsid w:val="000F6DF3"/>
    <w:rsid w:val="001005FF"/>
    <w:rsid w:val="0010530B"/>
    <w:rsid w:val="001062FB"/>
    <w:rsid w:val="001063E6"/>
    <w:rsid w:val="00107908"/>
    <w:rsid w:val="00111DC7"/>
    <w:rsid w:val="00113CF4"/>
    <w:rsid w:val="001153EA"/>
    <w:rsid w:val="001155DC"/>
    <w:rsid w:val="00115643"/>
    <w:rsid w:val="00115D13"/>
    <w:rsid w:val="00115E25"/>
    <w:rsid w:val="00116748"/>
    <w:rsid w:val="00116765"/>
    <w:rsid w:val="001177E7"/>
    <w:rsid w:val="001219F5"/>
    <w:rsid w:val="00121A20"/>
    <w:rsid w:val="00122EDF"/>
    <w:rsid w:val="0012377F"/>
    <w:rsid w:val="00124314"/>
    <w:rsid w:val="00124D89"/>
    <w:rsid w:val="00126B4A"/>
    <w:rsid w:val="00132FD0"/>
    <w:rsid w:val="001344C0"/>
    <w:rsid w:val="001346FA"/>
    <w:rsid w:val="00135252"/>
    <w:rsid w:val="001353F1"/>
    <w:rsid w:val="00136F34"/>
    <w:rsid w:val="00137AB5"/>
    <w:rsid w:val="00137F0B"/>
    <w:rsid w:val="00142AA9"/>
    <w:rsid w:val="00151E23"/>
    <w:rsid w:val="001526E0"/>
    <w:rsid w:val="00153B04"/>
    <w:rsid w:val="001551B5"/>
    <w:rsid w:val="0015568B"/>
    <w:rsid w:val="001629B6"/>
    <w:rsid w:val="0016360E"/>
    <w:rsid w:val="00164685"/>
    <w:rsid w:val="001659C1"/>
    <w:rsid w:val="00165A95"/>
    <w:rsid w:val="00166E7F"/>
    <w:rsid w:val="00170546"/>
    <w:rsid w:val="00170C0D"/>
    <w:rsid w:val="00171187"/>
    <w:rsid w:val="00173A8E"/>
    <w:rsid w:val="00173AF5"/>
    <w:rsid w:val="00174693"/>
    <w:rsid w:val="001748BD"/>
    <w:rsid w:val="00177795"/>
    <w:rsid w:val="0018143F"/>
    <w:rsid w:val="00182773"/>
    <w:rsid w:val="00183D3A"/>
    <w:rsid w:val="0018412F"/>
    <w:rsid w:val="00184A23"/>
    <w:rsid w:val="00185502"/>
    <w:rsid w:val="00190676"/>
    <w:rsid w:val="00190AC1"/>
    <w:rsid w:val="0019341A"/>
    <w:rsid w:val="00197DF9"/>
    <w:rsid w:val="001A0E81"/>
    <w:rsid w:val="001A0FF8"/>
    <w:rsid w:val="001A1987"/>
    <w:rsid w:val="001A2564"/>
    <w:rsid w:val="001A38B4"/>
    <w:rsid w:val="001A4501"/>
    <w:rsid w:val="001A6173"/>
    <w:rsid w:val="001A6CBA"/>
    <w:rsid w:val="001A7F00"/>
    <w:rsid w:val="001B0D97"/>
    <w:rsid w:val="001B2715"/>
    <w:rsid w:val="001B501F"/>
    <w:rsid w:val="001B5A5D"/>
    <w:rsid w:val="001C15CD"/>
    <w:rsid w:val="001C1CE5"/>
    <w:rsid w:val="001C3D2A"/>
    <w:rsid w:val="001C692C"/>
    <w:rsid w:val="001D175C"/>
    <w:rsid w:val="001D19CB"/>
    <w:rsid w:val="001D51BA"/>
    <w:rsid w:val="001D6342"/>
    <w:rsid w:val="001D6D53"/>
    <w:rsid w:val="001E393B"/>
    <w:rsid w:val="001E3F2B"/>
    <w:rsid w:val="001E58E2"/>
    <w:rsid w:val="001E596C"/>
    <w:rsid w:val="001E7AED"/>
    <w:rsid w:val="001F238A"/>
    <w:rsid w:val="001F2F5F"/>
    <w:rsid w:val="001F3916"/>
    <w:rsid w:val="001F4FC7"/>
    <w:rsid w:val="001F502B"/>
    <w:rsid w:val="001F54C5"/>
    <w:rsid w:val="001F662C"/>
    <w:rsid w:val="001F6F78"/>
    <w:rsid w:val="001F7074"/>
    <w:rsid w:val="00200490"/>
    <w:rsid w:val="00200C8C"/>
    <w:rsid w:val="00201BD1"/>
    <w:rsid w:val="00201F3A"/>
    <w:rsid w:val="0020366F"/>
    <w:rsid w:val="00203F96"/>
    <w:rsid w:val="002069B2"/>
    <w:rsid w:val="00207FA3"/>
    <w:rsid w:val="0021243C"/>
    <w:rsid w:val="00214DA8"/>
    <w:rsid w:val="00215423"/>
    <w:rsid w:val="002158FA"/>
    <w:rsid w:val="00216CD3"/>
    <w:rsid w:val="00220600"/>
    <w:rsid w:val="002224DB"/>
    <w:rsid w:val="00223FCB"/>
    <w:rsid w:val="002252C3"/>
    <w:rsid w:val="002254BC"/>
    <w:rsid w:val="00225C54"/>
    <w:rsid w:val="00230765"/>
    <w:rsid w:val="002319E4"/>
    <w:rsid w:val="00235632"/>
    <w:rsid w:val="00235872"/>
    <w:rsid w:val="00241559"/>
    <w:rsid w:val="002435B3"/>
    <w:rsid w:val="002458EB"/>
    <w:rsid w:val="002500C8"/>
    <w:rsid w:val="0025080C"/>
    <w:rsid w:val="00254B23"/>
    <w:rsid w:val="00257543"/>
    <w:rsid w:val="002617E7"/>
    <w:rsid w:val="00264228"/>
    <w:rsid w:val="00264334"/>
    <w:rsid w:val="0026473E"/>
    <w:rsid w:val="00264760"/>
    <w:rsid w:val="00266214"/>
    <w:rsid w:val="00267C83"/>
    <w:rsid w:val="0027144F"/>
    <w:rsid w:val="00271F3A"/>
    <w:rsid w:val="00272738"/>
    <w:rsid w:val="00273278"/>
    <w:rsid w:val="002737F4"/>
    <w:rsid w:val="00277453"/>
    <w:rsid w:val="00280121"/>
    <w:rsid w:val="002805F5"/>
    <w:rsid w:val="00280751"/>
    <w:rsid w:val="00280C68"/>
    <w:rsid w:val="0028280A"/>
    <w:rsid w:val="00286ACD"/>
    <w:rsid w:val="00287838"/>
    <w:rsid w:val="002907B5"/>
    <w:rsid w:val="002929F5"/>
    <w:rsid w:val="00292C8F"/>
    <w:rsid w:val="00292EB7"/>
    <w:rsid w:val="00296227"/>
    <w:rsid w:val="00296F44"/>
    <w:rsid w:val="0029777D"/>
    <w:rsid w:val="002A055E"/>
    <w:rsid w:val="002A1D4E"/>
    <w:rsid w:val="002A1FC2"/>
    <w:rsid w:val="002A2206"/>
    <w:rsid w:val="002A2869"/>
    <w:rsid w:val="002B1106"/>
    <w:rsid w:val="002B24D6"/>
    <w:rsid w:val="002B4CE9"/>
    <w:rsid w:val="002C41E6"/>
    <w:rsid w:val="002C4E89"/>
    <w:rsid w:val="002C692E"/>
    <w:rsid w:val="002D071A"/>
    <w:rsid w:val="002D1464"/>
    <w:rsid w:val="002D34B2"/>
    <w:rsid w:val="002D41E6"/>
    <w:rsid w:val="002D4A15"/>
    <w:rsid w:val="002D7225"/>
    <w:rsid w:val="002D7637"/>
    <w:rsid w:val="002E07D2"/>
    <w:rsid w:val="002E17F2"/>
    <w:rsid w:val="002E2B17"/>
    <w:rsid w:val="002E57D9"/>
    <w:rsid w:val="002E6A8C"/>
    <w:rsid w:val="002E7775"/>
    <w:rsid w:val="002E78A9"/>
    <w:rsid w:val="002E7CAE"/>
    <w:rsid w:val="002F2771"/>
    <w:rsid w:val="002F37A9"/>
    <w:rsid w:val="002F5BBD"/>
    <w:rsid w:val="002F5C6A"/>
    <w:rsid w:val="00301CE6"/>
    <w:rsid w:val="00301E1E"/>
    <w:rsid w:val="003023AE"/>
    <w:rsid w:val="0030256B"/>
    <w:rsid w:val="00302CA2"/>
    <w:rsid w:val="0030501F"/>
    <w:rsid w:val="003058F8"/>
    <w:rsid w:val="0030638C"/>
    <w:rsid w:val="00306F69"/>
    <w:rsid w:val="00307BA1"/>
    <w:rsid w:val="00310511"/>
    <w:rsid w:val="00310A30"/>
    <w:rsid w:val="00311031"/>
    <w:rsid w:val="003110D0"/>
    <w:rsid w:val="00311702"/>
    <w:rsid w:val="00311CC7"/>
    <w:rsid w:val="00311E82"/>
    <w:rsid w:val="00313FD6"/>
    <w:rsid w:val="003143BD"/>
    <w:rsid w:val="003168A6"/>
    <w:rsid w:val="00317548"/>
    <w:rsid w:val="003203ED"/>
    <w:rsid w:val="00322C9F"/>
    <w:rsid w:val="003244F4"/>
    <w:rsid w:val="00324D23"/>
    <w:rsid w:val="003268E0"/>
    <w:rsid w:val="0033024B"/>
    <w:rsid w:val="00331751"/>
    <w:rsid w:val="0033385C"/>
    <w:rsid w:val="00334579"/>
    <w:rsid w:val="00335858"/>
    <w:rsid w:val="0033662A"/>
    <w:rsid w:val="00336BDA"/>
    <w:rsid w:val="00337F45"/>
    <w:rsid w:val="00340F49"/>
    <w:rsid w:val="003429A8"/>
    <w:rsid w:val="00342BD7"/>
    <w:rsid w:val="00343A07"/>
    <w:rsid w:val="00346DB5"/>
    <w:rsid w:val="0034778E"/>
    <w:rsid w:val="003477B1"/>
    <w:rsid w:val="00350AC4"/>
    <w:rsid w:val="00350DE2"/>
    <w:rsid w:val="00357380"/>
    <w:rsid w:val="003602D9"/>
    <w:rsid w:val="003604CE"/>
    <w:rsid w:val="00360608"/>
    <w:rsid w:val="003617E1"/>
    <w:rsid w:val="00362EF4"/>
    <w:rsid w:val="00365F79"/>
    <w:rsid w:val="00366E37"/>
    <w:rsid w:val="00370E47"/>
    <w:rsid w:val="003742AC"/>
    <w:rsid w:val="003766F3"/>
    <w:rsid w:val="0037697E"/>
    <w:rsid w:val="00377CE1"/>
    <w:rsid w:val="00383641"/>
    <w:rsid w:val="00384DC0"/>
    <w:rsid w:val="00385BF0"/>
    <w:rsid w:val="00385DED"/>
    <w:rsid w:val="003939FF"/>
    <w:rsid w:val="00394CCD"/>
    <w:rsid w:val="003A1EC8"/>
    <w:rsid w:val="003A2223"/>
    <w:rsid w:val="003A2A0F"/>
    <w:rsid w:val="003A45A1"/>
    <w:rsid w:val="003A5B0A"/>
    <w:rsid w:val="003A5C65"/>
    <w:rsid w:val="003A66F7"/>
    <w:rsid w:val="003A6BAC"/>
    <w:rsid w:val="003A7EF3"/>
    <w:rsid w:val="003B159C"/>
    <w:rsid w:val="003B227E"/>
    <w:rsid w:val="003B3640"/>
    <w:rsid w:val="003B369F"/>
    <w:rsid w:val="003B36A3"/>
    <w:rsid w:val="003B6466"/>
    <w:rsid w:val="003B7FE5"/>
    <w:rsid w:val="003C11C8"/>
    <w:rsid w:val="003C2702"/>
    <w:rsid w:val="003C6703"/>
    <w:rsid w:val="003C7806"/>
    <w:rsid w:val="003D0CD4"/>
    <w:rsid w:val="003D109F"/>
    <w:rsid w:val="003D2478"/>
    <w:rsid w:val="003D3C45"/>
    <w:rsid w:val="003D5B1F"/>
    <w:rsid w:val="003E15FA"/>
    <w:rsid w:val="003E1E1D"/>
    <w:rsid w:val="003E55E4"/>
    <w:rsid w:val="003E5F40"/>
    <w:rsid w:val="003E74E3"/>
    <w:rsid w:val="003F05C7"/>
    <w:rsid w:val="003F2C2C"/>
    <w:rsid w:val="003F2CD4"/>
    <w:rsid w:val="003F6BBE"/>
    <w:rsid w:val="004000E8"/>
    <w:rsid w:val="004009C9"/>
    <w:rsid w:val="00401E38"/>
    <w:rsid w:val="00402DBE"/>
    <w:rsid w:val="00402E2B"/>
    <w:rsid w:val="0040512B"/>
    <w:rsid w:val="00405CA5"/>
    <w:rsid w:val="00407CD3"/>
    <w:rsid w:val="00410134"/>
    <w:rsid w:val="00410630"/>
    <w:rsid w:val="00410B72"/>
    <w:rsid w:val="00410F18"/>
    <w:rsid w:val="004119F3"/>
    <w:rsid w:val="004122F3"/>
    <w:rsid w:val="0041263E"/>
    <w:rsid w:val="00413AAC"/>
    <w:rsid w:val="004151A7"/>
    <w:rsid w:val="00421105"/>
    <w:rsid w:val="00421697"/>
    <w:rsid w:val="00421D18"/>
    <w:rsid w:val="004242F4"/>
    <w:rsid w:val="00425ECB"/>
    <w:rsid w:val="00427248"/>
    <w:rsid w:val="00437447"/>
    <w:rsid w:val="0044120E"/>
    <w:rsid w:val="00441A92"/>
    <w:rsid w:val="00444F56"/>
    <w:rsid w:val="00445E76"/>
    <w:rsid w:val="00446488"/>
    <w:rsid w:val="004512CD"/>
    <w:rsid w:val="004517AA"/>
    <w:rsid w:val="00452B53"/>
    <w:rsid w:val="00452CAC"/>
    <w:rsid w:val="0045389A"/>
    <w:rsid w:val="00456704"/>
    <w:rsid w:val="00457565"/>
    <w:rsid w:val="00457B71"/>
    <w:rsid w:val="00461783"/>
    <w:rsid w:val="00464F28"/>
    <w:rsid w:val="00465CBE"/>
    <w:rsid w:val="004669E2"/>
    <w:rsid w:val="00470C31"/>
    <w:rsid w:val="004734D0"/>
    <w:rsid w:val="0047447B"/>
    <w:rsid w:val="0047455D"/>
    <w:rsid w:val="0047556B"/>
    <w:rsid w:val="00477768"/>
    <w:rsid w:val="00481704"/>
    <w:rsid w:val="00484B89"/>
    <w:rsid w:val="00484FD1"/>
    <w:rsid w:val="00486FDA"/>
    <w:rsid w:val="00490328"/>
    <w:rsid w:val="004903E5"/>
    <w:rsid w:val="00491BC5"/>
    <w:rsid w:val="00492BC5"/>
    <w:rsid w:val="004936D8"/>
    <w:rsid w:val="004951B0"/>
    <w:rsid w:val="004964F1"/>
    <w:rsid w:val="004A163A"/>
    <w:rsid w:val="004A16BC"/>
    <w:rsid w:val="004A2B94"/>
    <w:rsid w:val="004A5124"/>
    <w:rsid w:val="004A7404"/>
    <w:rsid w:val="004B147C"/>
    <w:rsid w:val="004B3836"/>
    <w:rsid w:val="004B77D0"/>
    <w:rsid w:val="004B7C0C"/>
    <w:rsid w:val="004C3898"/>
    <w:rsid w:val="004C4D69"/>
    <w:rsid w:val="004C6818"/>
    <w:rsid w:val="004D36B1"/>
    <w:rsid w:val="004D41AD"/>
    <w:rsid w:val="004D49A7"/>
    <w:rsid w:val="004D49D5"/>
    <w:rsid w:val="004D5DFD"/>
    <w:rsid w:val="004D7EBD"/>
    <w:rsid w:val="004E0478"/>
    <w:rsid w:val="004E1C52"/>
    <w:rsid w:val="004E267D"/>
    <w:rsid w:val="004E2680"/>
    <w:rsid w:val="004E28F9"/>
    <w:rsid w:val="004E462E"/>
    <w:rsid w:val="004E4EE3"/>
    <w:rsid w:val="004E56DC"/>
    <w:rsid w:val="004E5829"/>
    <w:rsid w:val="004E6B56"/>
    <w:rsid w:val="004E76F4"/>
    <w:rsid w:val="004F0B4E"/>
    <w:rsid w:val="004F0B6C"/>
    <w:rsid w:val="004F2078"/>
    <w:rsid w:val="004F4DA3"/>
    <w:rsid w:val="004F7087"/>
    <w:rsid w:val="004F7EE5"/>
    <w:rsid w:val="00500B4A"/>
    <w:rsid w:val="00502BE5"/>
    <w:rsid w:val="00502DD1"/>
    <w:rsid w:val="0050591F"/>
    <w:rsid w:val="00506557"/>
    <w:rsid w:val="0050677A"/>
    <w:rsid w:val="005108D8"/>
    <w:rsid w:val="005116F9"/>
    <w:rsid w:val="005153A7"/>
    <w:rsid w:val="00517859"/>
    <w:rsid w:val="00520ABC"/>
    <w:rsid w:val="005219CF"/>
    <w:rsid w:val="00521F6C"/>
    <w:rsid w:val="00534B59"/>
    <w:rsid w:val="00536759"/>
    <w:rsid w:val="00537C62"/>
    <w:rsid w:val="00537FB9"/>
    <w:rsid w:val="00541512"/>
    <w:rsid w:val="005435AA"/>
    <w:rsid w:val="00543986"/>
    <w:rsid w:val="00544CCC"/>
    <w:rsid w:val="00544D5B"/>
    <w:rsid w:val="00546970"/>
    <w:rsid w:val="00546C74"/>
    <w:rsid w:val="00547CD9"/>
    <w:rsid w:val="00554E19"/>
    <w:rsid w:val="00555435"/>
    <w:rsid w:val="005554C3"/>
    <w:rsid w:val="0056121F"/>
    <w:rsid w:val="005640C3"/>
    <w:rsid w:val="00567F1D"/>
    <w:rsid w:val="0057036A"/>
    <w:rsid w:val="00572505"/>
    <w:rsid w:val="00580CA5"/>
    <w:rsid w:val="00580D33"/>
    <w:rsid w:val="00582809"/>
    <w:rsid w:val="00582C68"/>
    <w:rsid w:val="00583D34"/>
    <w:rsid w:val="0058491F"/>
    <w:rsid w:val="00584F7A"/>
    <w:rsid w:val="0058744F"/>
    <w:rsid w:val="0058798C"/>
    <w:rsid w:val="005900FA"/>
    <w:rsid w:val="00592DC0"/>
    <w:rsid w:val="005935A4"/>
    <w:rsid w:val="005948C2"/>
    <w:rsid w:val="00595B36"/>
    <w:rsid w:val="00595DCA"/>
    <w:rsid w:val="0059779B"/>
    <w:rsid w:val="005A0738"/>
    <w:rsid w:val="005A10D0"/>
    <w:rsid w:val="005A209A"/>
    <w:rsid w:val="005A338A"/>
    <w:rsid w:val="005A61E5"/>
    <w:rsid w:val="005A662D"/>
    <w:rsid w:val="005B35D7"/>
    <w:rsid w:val="005B392A"/>
    <w:rsid w:val="005B3AA3"/>
    <w:rsid w:val="005B6F83"/>
    <w:rsid w:val="005C2118"/>
    <w:rsid w:val="005C34B9"/>
    <w:rsid w:val="005C74FB"/>
    <w:rsid w:val="005D0BF0"/>
    <w:rsid w:val="005D1602"/>
    <w:rsid w:val="005D22E6"/>
    <w:rsid w:val="005E00D1"/>
    <w:rsid w:val="005E385F"/>
    <w:rsid w:val="005E5469"/>
    <w:rsid w:val="005E5B81"/>
    <w:rsid w:val="005F060D"/>
    <w:rsid w:val="005F1378"/>
    <w:rsid w:val="005F21C1"/>
    <w:rsid w:val="005F2CB1"/>
    <w:rsid w:val="005F2EEB"/>
    <w:rsid w:val="005F3025"/>
    <w:rsid w:val="005F4195"/>
    <w:rsid w:val="005F5142"/>
    <w:rsid w:val="005F618C"/>
    <w:rsid w:val="005F70BD"/>
    <w:rsid w:val="00600A67"/>
    <w:rsid w:val="00600C15"/>
    <w:rsid w:val="0060283C"/>
    <w:rsid w:val="00604F14"/>
    <w:rsid w:val="00605FC8"/>
    <w:rsid w:val="006063BC"/>
    <w:rsid w:val="006068D5"/>
    <w:rsid w:val="00606944"/>
    <w:rsid w:val="00610D98"/>
    <w:rsid w:val="00611B83"/>
    <w:rsid w:val="00613257"/>
    <w:rsid w:val="00615EBC"/>
    <w:rsid w:val="00620A71"/>
    <w:rsid w:val="00620D80"/>
    <w:rsid w:val="006234A6"/>
    <w:rsid w:val="00624DAA"/>
    <w:rsid w:val="00625095"/>
    <w:rsid w:val="00625846"/>
    <w:rsid w:val="00625D9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6FD2"/>
    <w:rsid w:val="0066011D"/>
    <w:rsid w:val="006607C0"/>
    <w:rsid w:val="006613A6"/>
    <w:rsid w:val="006627A2"/>
    <w:rsid w:val="00662E0C"/>
    <w:rsid w:val="006634E6"/>
    <w:rsid w:val="00663669"/>
    <w:rsid w:val="006655EE"/>
    <w:rsid w:val="00666C3C"/>
    <w:rsid w:val="00667B93"/>
    <w:rsid w:val="00667EE7"/>
    <w:rsid w:val="00670922"/>
    <w:rsid w:val="00670BE1"/>
    <w:rsid w:val="0067218F"/>
    <w:rsid w:val="006741F2"/>
    <w:rsid w:val="00674CC3"/>
    <w:rsid w:val="00675C72"/>
    <w:rsid w:val="006771F9"/>
    <w:rsid w:val="006776D7"/>
    <w:rsid w:val="00680213"/>
    <w:rsid w:val="00680B32"/>
    <w:rsid w:val="00681003"/>
    <w:rsid w:val="006817C9"/>
    <w:rsid w:val="00682D74"/>
    <w:rsid w:val="00683ECE"/>
    <w:rsid w:val="006876D5"/>
    <w:rsid w:val="006906FE"/>
    <w:rsid w:val="00695FC2"/>
    <w:rsid w:val="00696949"/>
    <w:rsid w:val="00697052"/>
    <w:rsid w:val="006A46FB"/>
    <w:rsid w:val="006A4F98"/>
    <w:rsid w:val="006A5E28"/>
    <w:rsid w:val="006A697B"/>
    <w:rsid w:val="006A7AFF"/>
    <w:rsid w:val="006B1816"/>
    <w:rsid w:val="006B2099"/>
    <w:rsid w:val="006B50CF"/>
    <w:rsid w:val="006B5BE6"/>
    <w:rsid w:val="006C03B8"/>
    <w:rsid w:val="006C3409"/>
    <w:rsid w:val="006C4F4E"/>
    <w:rsid w:val="006C5EC9"/>
    <w:rsid w:val="006C6059"/>
    <w:rsid w:val="006C7046"/>
    <w:rsid w:val="006C7522"/>
    <w:rsid w:val="006D0254"/>
    <w:rsid w:val="006D1623"/>
    <w:rsid w:val="006D2139"/>
    <w:rsid w:val="006D303B"/>
    <w:rsid w:val="006D6F08"/>
    <w:rsid w:val="006E062C"/>
    <w:rsid w:val="006E0DA8"/>
    <w:rsid w:val="006E18D3"/>
    <w:rsid w:val="006E28B7"/>
    <w:rsid w:val="006E3310"/>
    <w:rsid w:val="006E3F07"/>
    <w:rsid w:val="006E4E39"/>
    <w:rsid w:val="006E565E"/>
    <w:rsid w:val="006E673D"/>
    <w:rsid w:val="006E7D3B"/>
    <w:rsid w:val="006F1B70"/>
    <w:rsid w:val="006F341D"/>
    <w:rsid w:val="006F3CDE"/>
    <w:rsid w:val="006F5251"/>
    <w:rsid w:val="006F58D4"/>
    <w:rsid w:val="006F642D"/>
    <w:rsid w:val="00700F38"/>
    <w:rsid w:val="0070346E"/>
    <w:rsid w:val="007039EB"/>
    <w:rsid w:val="00704EDB"/>
    <w:rsid w:val="00706101"/>
    <w:rsid w:val="00707072"/>
    <w:rsid w:val="00707D61"/>
    <w:rsid w:val="00712287"/>
    <w:rsid w:val="00712772"/>
    <w:rsid w:val="007141EB"/>
    <w:rsid w:val="007148D3"/>
    <w:rsid w:val="0071565A"/>
    <w:rsid w:val="00715B9A"/>
    <w:rsid w:val="00720210"/>
    <w:rsid w:val="00720D98"/>
    <w:rsid w:val="00726EA6"/>
    <w:rsid w:val="00727208"/>
    <w:rsid w:val="00727680"/>
    <w:rsid w:val="00730670"/>
    <w:rsid w:val="00730A5D"/>
    <w:rsid w:val="007348B1"/>
    <w:rsid w:val="007362A6"/>
    <w:rsid w:val="00736D7D"/>
    <w:rsid w:val="00740E58"/>
    <w:rsid w:val="00742371"/>
    <w:rsid w:val="007445A0"/>
    <w:rsid w:val="0074524B"/>
    <w:rsid w:val="00746183"/>
    <w:rsid w:val="00747D8B"/>
    <w:rsid w:val="00750DD0"/>
    <w:rsid w:val="00750E8F"/>
    <w:rsid w:val="00751228"/>
    <w:rsid w:val="007551AA"/>
    <w:rsid w:val="007557B4"/>
    <w:rsid w:val="007560E5"/>
    <w:rsid w:val="007571E1"/>
    <w:rsid w:val="007604B2"/>
    <w:rsid w:val="00760BF7"/>
    <w:rsid w:val="0076237A"/>
    <w:rsid w:val="0076240D"/>
    <w:rsid w:val="007624BE"/>
    <w:rsid w:val="00764870"/>
    <w:rsid w:val="00765281"/>
    <w:rsid w:val="00766BAD"/>
    <w:rsid w:val="00767F41"/>
    <w:rsid w:val="00772B47"/>
    <w:rsid w:val="00772CD9"/>
    <w:rsid w:val="007730BD"/>
    <w:rsid w:val="00773B8E"/>
    <w:rsid w:val="007755F2"/>
    <w:rsid w:val="00776971"/>
    <w:rsid w:val="0078177E"/>
    <w:rsid w:val="00781E3F"/>
    <w:rsid w:val="0078304C"/>
    <w:rsid w:val="00783673"/>
    <w:rsid w:val="00785490"/>
    <w:rsid w:val="007869B5"/>
    <w:rsid w:val="00791306"/>
    <w:rsid w:val="007925EA"/>
    <w:rsid w:val="00793CD8"/>
    <w:rsid w:val="00795C92"/>
    <w:rsid w:val="00796231"/>
    <w:rsid w:val="007A1CB3"/>
    <w:rsid w:val="007A306F"/>
    <w:rsid w:val="007A43A6"/>
    <w:rsid w:val="007A43C7"/>
    <w:rsid w:val="007A512C"/>
    <w:rsid w:val="007A58A6"/>
    <w:rsid w:val="007A7209"/>
    <w:rsid w:val="007B3B09"/>
    <w:rsid w:val="007B3D2D"/>
    <w:rsid w:val="007B50AE"/>
    <w:rsid w:val="007B51DF"/>
    <w:rsid w:val="007B5283"/>
    <w:rsid w:val="007B71A3"/>
    <w:rsid w:val="007C05DD"/>
    <w:rsid w:val="007C17F9"/>
    <w:rsid w:val="007C2C5A"/>
    <w:rsid w:val="007C32AF"/>
    <w:rsid w:val="007C3D18"/>
    <w:rsid w:val="007C573F"/>
    <w:rsid w:val="007C60BF"/>
    <w:rsid w:val="007C6A07"/>
    <w:rsid w:val="007C75A1"/>
    <w:rsid w:val="007C77A5"/>
    <w:rsid w:val="007D04E5"/>
    <w:rsid w:val="007D497F"/>
    <w:rsid w:val="007D55FC"/>
    <w:rsid w:val="007D5901"/>
    <w:rsid w:val="007D63E1"/>
    <w:rsid w:val="007D7526"/>
    <w:rsid w:val="007E1602"/>
    <w:rsid w:val="007E3C38"/>
    <w:rsid w:val="007E3C89"/>
    <w:rsid w:val="007E444A"/>
    <w:rsid w:val="007E4610"/>
    <w:rsid w:val="007E4715"/>
    <w:rsid w:val="007E505B"/>
    <w:rsid w:val="007E5A4C"/>
    <w:rsid w:val="007E7091"/>
    <w:rsid w:val="007E7A40"/>
    <w:rsid w:val="007F18A3"/>
    <w:rsid w:val="008026E5"/>
    <w:rsid w:val="00803FAE"/>
    <w:rsid w:val="00804708"/>
    <w:rsid w:val="00805721"/>
    <w:rsid w:val="0080605F"/>
    <w:rsid w:val="00807786"/>
    <w:rsid w:val="008077AB"/>
    <w:rsid w:val="00811FCB"/>
    <w:rsid w:val="00812E30"/>
    <w:rsid w:val="008149FE"/>
    <w:rsid w:val="008158D6"/>
    <w:rsid w:val="00817196"/>
    <w:rsid w:val="008208B2"/>
    <w:rsid w:val="0082276B"/>
    <w:rsid w:val="008235DB"/>
    <w:rsid w:val="008246CC"/>
    <w:rsid w:val="00824709"/>
    <w:rsid w:val="008249C2"/>
    <w:rsid w:val="00824AB4"/>
    <w:rsid w:val="00825C42"/>
    <w:rsid w:val="00825D25"/>
    <w:rsid w:val="00826F6B"/>
    <w:rsid w:val="00827D6F"/>
    <w:rsid w:val="008345A7"/>
    <w:rsid w:val="00836279"/>
    <w:rsid w:val="00836B3D"/>
    <w:rsid w:val="008374E5"/>
    <w:rsid w:val="008376AC"/>
    <w:rsid w:val="00841B10"/>
    <w:rsid w:val="00841EAA"/>
    <w:rsid w:val="00844235"/>
    <w:rsid w:val="008444E8"/>
    <w:rsid w:val="00844E80"/>
    <w:rsid w:val="00846FE7"/>
    <w:rsid w:val="00847312"/>
    <w:rsid w:val="0085075F"/>
    <w:rsid w:val="00850AC6"/>
    <w:rsid w:val="00851771"/>
    <w:rsid w:val="00852D00"/>
    <w:rsid w:val="0085342A"/>
    <w:rsid w:val="008547AE"/>
    <w:rsid w:val="00856787"/>
    <w:rsid w:val="00856911"/>
    <w:rsid w:val="00861455"/>
    <w:rsid w:val="00863570"/>
    <w:rsid w:val="00864766"/>
    <w:rsid w:val="008677FD"/>
    <w:rsid w:val="00870125"/>
    <w:rsid w:val="008706D4"/>
    <w:rsid w:val="00870F8A"/>
    <w:rsid w:val="008719A4"/>
    <w:rsid w:val="00871D23"/>
    <w:rsid w:val="00872EDF"/>
    <w:rsid w:val="00874312"/>
    <w:rsid w:val="0087437C"/>
    <w:rsid w:val="00875CD7"/>
    <w:rsid w:val="00876B4D"/>
    <w:rsid w:val="00877F18"/>
    <w:rsid w:val="008914B5"/>
    <w:rsid w:val="00894A88"/>
    <w:rsid w:val="00895386"/>
    <w:rsid w:val="00895561"/>
    <w:rsid w:val="008967DC"/>
    <w:rsid w:val="008A21FF"/>
    <w:rsid w:val="008A2CE2"/>
    <w:rsid w:val="008A30AC"/>
    <w:rsid w:val="008A44B8"/>
    <w:rsid w:val="008A4A72"/>
    <w:rsid w:val="008A51A8"/>
    <w:rsid w:val="008A54C7"/>
    <w:rsid w:val="008A77D8"/>
    <w:rsid w:val="008B012E"/>
    <w:rsid w:val="008B0483"/>
    <w:rsid w:val="008B120C"/>
    <w:rsid w:val="008B1B85"/>
    <w:rsid w:val="008B4CCE"/>
    <w:rsid w:val="008B51A0"/>
    <w:rsid w:val="008B592A"/>
    <w:rsid w:val="008B7B5C"/>
    <w:rsid w:val="008C0C99"/>
    <w:rsid w:val="008C2017"/>
    <w:rsid w:val="008C48E6"/>
    <w:rsid w:val="008C4958"/>
    <w:rsid w:val="008C49B2"/>
    <w:rsid w:val="008C4BAA"/>
    <w:rsid w:val="008C6AE8"/>
    <w:rsid w:val="008C7292"/>
    <w:rsid w:val="008C7573"/>
    <w:rsid w:val="008D34F1"/>
    <w:rsid w:val="008D39D8"/>
    <w:rsid w:val="008D6D1A"/>
    <w:rsid w:val="008E065E"/>
    <w:rsid w:val="008E0927"/>
    <w:rsid w:val="008E1909"/>
    <w:rsid w:val="008E68B6"/>
    <w:rsid w:val="008E7453"/>
    <w:rsid w:val="008F1EAB"/>
    <w:rsid w:val="008F33DC"/>
    <w:rsid w:val="008F477F"/>
    <w:rsid w:val="008F71D3"/>
    <w:rsid w:val="0090053F"/>
    <w:rsid w:val="0090185D"/>
    <w:rsid w:val="00902350"/>
    <w:rsid w:val="0090336B"/>
    <w:rsid w:val="00903B34"/>
    <w:rsid w:val="009053AA"/>
    <w:rsid w:val="00906939"/>
    <w:rsid w:val="00907D51"/>
    <w:rsid w:val="00910B7D"/>
    <w:rsid w:val="00911DFB"/>
    <w:rsid w:val="009139D9"/>
    <w:rsid w:val="00914AD8"/>
    <w:rsid w:val="009157CD"/>
    <w:rsid w:val="00916079"/>
    <w:rsid w:val="00917194"/>
    <w:rsid w:val="00917CE9"/>
    <w:rsid w:val="00920BF2"/>
    <w:rsid w:val="0092134F"/>
    <w:rsid w:val="00922010"/>
    <w:rsid w:val="00931BD9"/>
    <w:rsid w:val="009368F3"/>
    <w:rsid w:val="009413F8"/>
    <w:rsid w:val="009414E8"/>
    <w:rsid w:val="00941636"/>
    <w:rsid w:val="00943742"/>
    <w:rsid w:val="00944A0E"/>
    <w:rsid w:val="00945C05"/>
    <w:rsid w:val="00946945"/>
    <w:rsid w:val="00946E1F"/>
    <w:rsid w:val="00947713"/>
    <w:rsid w:val="00950DE7"/>
    <w:rsid w:val="00953920"/>
    <w:rsid w:val="00953D47"/>
    <w:rsid w:val="0095681E"/>
    <w:rsid w:val="00956B82"/>
    <w:rsid w:val="009572D4"/>
    <w:rsid w:val="00961921"/>
    <w:rsid w:val="00962898"/>
    <w:rsid w:val="00963B9A"/>
    <w:rsid w:val="0096430A"/>
    <w:rsid w:val="00964BB7"/>
    <w:rsid w:val="0096518D"/>
    <w:rsid w:val="0096554B"/>
    <w:rsid w:val="0096584A"/>
    <w:rsid w:val="00971F08"/>
    <w:rsid w:val="00974779"/>
    <w:rsid w:val="00975872"/>
    <w:rsid w:val="0097603D"/>
    <w:rsid w:val="00976949"/>
    <w:rsid w:val="00976E66"/>
    <w:rsid w:val="0098021B"/>
    <w:rsid w:val="00980477"/>
    <w:rsid w:val="009822CE"/>
    <w:rsid w:val="00982B48"/>
    <w:rsid w:val="00982CEF"/>
    <w:rsid w:val="0098381D"/>
    <w:rsid w:val="00985253"/>
    <w:rsid w:val="009853B3"/>
    <w:rsid w:val="0098620A"/>
    <w:rsid w:val="00990630"/>
    <w:rsid w:val="0099115B"/>
    <w:rsid w:val="00991761"/>
    <w:rsid w:val="009921F5"/>
    <w:rsid w:val="00992A22"/>
    <w:rsid w:val="00994DCA"/>
    <w:rsid w:val="00995568"/>
    <w:rsid w:val="00995A19"/>
    <w:rsid w:val="009960EC"/>
    <w:rsid w:val="009970DD"/>
    <w:rsid w:val="009A0FBA"/>
    <w:rsid w:val="009A1601"/>
    <w:rsid w:val="009A462D"/>
    <w:rsid w:val="009A5CBA"/>
    <w:rsid w:val="009A5FF1"/>
    <w:rsid w:val="009B1F30"/>
    <w:rsid w:val="009B36D4"/>
    <w:rsid w:val="009B3AC2"/>
    <w:rsid w:val="009B4DF4"/>
    <w:rsid w:val="009B564E"/>
    <w:rsid w:val="009B7E87"/>
    <w:rsid w:val="009C11C1"/>
    <w:rsid w:val="009C403E"/>
    <w:rsid w:val="009C5D6A"/>
    <w:rsid w:val="009C7988"/>
    <w:rsid w:val="009D4FF0"/>
    <w:rsid w:val="009D703C"/>
    <w:rsid w:val="009D718F"/>
    <w:rsid w:val="009E068F"/>
    <w:rsid w:val="009E14E0"/>
    <w:rsid w:val="009E35DB"/>
    <w:rsid w:val="009E47A3"/>
    <w:rsid w:val="009F0732"/>
    <w:rsid w:val="009F08F3"/>
    <w:rsid w:val="009F1512"/>
    <w:rsid w:val="009F344F"/>
    <w:rsid w:val="009F3934"/>
    <w:rsid w:val="009F5384"/>
    <w:rsid w:val="009F6796"/>
    <w:rsid w:val="00A03938"/>
    <w:rsid w:val="00A048A8"/>
    <w:rsid w:val="00A04F49"/>
    <w:rsid w:val="00A05EA8"/>
    <w:rsid w:val="00A065D4"/>
    <w:rsid w:val="00A13BCB"/>
    <w:rsid w:val="00A13E54"/>
    <w:rsid w:val="00A17F63"/>
    <w:rsid w:val="00A2193B"/>
    <w:rsid w:val="00A2351A"/>
    <w:rsid w:val="00A264A9"/>
    <w:rsid w:val="00A275C6"/>
    <w:rsid w:val="00A27785"/>
    <w:rsid w:val="00A30187"/>
    <w:rsid w:val="00A3448A"/>
    <w:rsid w:val="00A34AAE"/>
    <w:rsid w:val="00A36297"/>
    <w:rsid w:val="00A36326"/>
    <w:rsid w:val="00A4028B"/>
    <w:rsid w:val="00A41AC0"/>
    <w:rsid w:val="00A41E2B"/>
    <w:rsid w:val="00A44C89"/>
    <w:rsid w:val="00A45B74"/>
    <w:rsid w:val="00A46B75"/>
    <w:rsid w:val="00A50F15"/>
    <w:rsid w:val="00A52E1D"/>
    <w:rsid w:val="00A53D35"/>
    <w:rsid w:val="00A54B08"/>
    <w:rsid w:val="00A54FB5"/>
    <w:rsid w:val="00A61499"/>
    <w:rsid w:val="00A62A77"/>
    <w:rsid w:val="00A63483"/>
    <w:rsid w:val="00A653DB"/>
    <w:rsid w:val="00A657D7"/>
    <w:rsid w:val="00A660AC"/>
    <w:rsid w:val="00A67E6C"/>
    <w:rsid w:val="00A71B99"/>
    <w:rsid w:val="00A7315F"/>
    <w:rsid w:val="00A73765"/>
    <w:rsid w:val="00A739D0"/>
    <w:rsid w:val="00A761D4"/>
    <w:rsid w:val="00A77441"/>
    <w:rsid w:val="00A77EC4"/>
    <w:rsid w:val="00A8033B"/>
    <w:rsid w:val="00A84B48"/>
    <w:rsid w:val="00A92879"/>
    <w:rsid w:val="00A9442A"/>
    <w:rsid w:val="00A94573"/>
    <w:rsid w:val="00A95CF5"/>
    <w:rsid w:val="00A967B9"/>
    <w:rsid w:val="00A971C3"/>
    <w:rsid w:val="00AA016F"/>
    <w:rsid w:val="00AA1ED6"/>
    <w:rsid w:val="00AA3A6A"/>
    <w:rsid w:val="00AA3BFA"/>
    <w:rsid w:val="00AA4701"/>
    <w:rsid w:val="00AA4801"/>
    <w:rsid w:val="00AA51D6"/>
    <w:rsid w:val="00AB0BC8"/>
    <w:rsid w:val="00AB11CA"/>
    <w:rsid w:val="00AB14D9"/>
    <w:rsid w:val="00AB1598"/>
    <w:rsid w:val="00AB18D6"/>
    <w:rsid w:val="00AB3DC4"/>
    <w:rsid w:val="00AB4AB8"/>
    <w:rsid w:val="00AB5B17"/>
    <w:rsid w:val="00AB5D50"/>
    <w:rsid w:val="00AB655E"/>
    <w:rsid w:val="00AC007F"/>
    <w:rsid w:val="00AC2ECD"/>
    <w:rsid w:val="00AC3119"/>
    <w:rsid w:val="00AC49FB"/>
    <w:rsid w:val="00AC4DFF"/>
    <w:rsid w:val="00AC5A10"/>
    <w:rsid w:val="00AC5C78"/>
    <w:rsid w:val="00AD0AA3"/>
    <w:rsid w:val="00AD3F94"/>
    <w:rsid w:val="00AD4A5A"/>
    <w:rsid w:val="00AE155C"/>
    <w:rsid w:val="00AE27AC"/>
    <w:rsid w:val="00AE40E0"/>
    <w:rsid w:val="00AE433C"/>
    <w:rsid w:val="00AE4DBA"/>
    <w:rsid w:val="00AE4F07"/>
    <w:rsid w:val="00AE5AE8"/>
    <w:rsid w:val="00AE718D"/>
    <w:rsid w:val="00AF1C5D"/>
    <w:rsid w:val="00AF42D7"/>
    <w:rsid w:val="00B00698"/>
    <w:rsid w:val="00B006FE"/>
    <w:rsid w:val="00B007CB"/>
    <w:rsid w:val="00B025B8"/>
    <w:rsid w:val="00B02AA9"/>
    <w:rsid w:val="00B02FA3"/>
    <w:rsid w:val="00B05084"/>
    <w:rsid w:val="00B05920"/>
    <w:rsid w:val="00B119E8"/>
    <w:rsid w:val="00B129CF"/>
    <w:rsid w:val="00B157F9"/>
    <w:rsid w:val="00B20256"/>
    <w:rsid w:val="00B20D09"/>
    <w:rsid w:val="00B212D1"/>
    <w:rsid w:val="00B2763F"/>
    <w:rsid w:val="00B27AAC"/>
    <w:rsid w:val="00B30929"/>
    <w:rsid w:val="00B326A7"/>
    <w:rsid w:val="00B33203"/>
    <w:rsid w:val="00B372AA"/>
    <w:rsid w:val="00B3730A"/>
    <w:rsid w:val="00B40445"/>
    <w:rsid w:val="00B41888"/>
    <w:rsid w:val="00B43CF0"/>
    <w:rsid w:val="00B4408D"/>
    <w:rsid w:val="00B44610"/>
    <w:rsid w:val="00B45A52"/>
    <w:rsid w:val="00B45AC2"/>
    <w:rsid w:val="00B46175"/>
    <w:rsid w:val="00B47E43"/>
    <w:rsid w:val="00B5335A"/>
    <w:rsid w:val="00B55A12"/>
    <w:rsid w:val="00B5723B"/>
    <w:rsid w:val="00B60EF1"/>
    <w:rsid w:val="00B6188F"/>
    <w:rsid w:val="00B64E41"/>
    <w:rsid w:val="00B664C7"/>
    <w:rsid w:val="00B739F6"/>
    <w:rsid w:val="00B763E6"/>
    <w:rsid w:val="00B81A6C"/>
    <w:rsid w:val="00B82061"/>
    <w:rsid w:val="00B828CA"/>
    <w:rsid w:val="00B842A0"/>
    <w:rsid w:val="00B85DE5"/>
    <w:rsid w:val="00B90F73"/>
    <w:rsid w:val="00B91EEE"/>
    <w:rsid w:val="00B92755"/>
    <w:rsid w:val="00B9371D"/>
    <w:rsid w:val="00B93B59"/>
    <w:rsid w:val="00B93BDD"/>
    <w:rsid w:val="00B9406A"/>
    <w:rsid w:val="00B9609A"/>
    <w:rsid w:val="00BA2280"/>
    <w:rsid w:val="00BA2A08"/>
    <w:rsid w:val="00BA56D2"/>
    <w:rsid w:val="00BA6C49"/>
    <w:rsid w:val="00BA76E0"/>
    <w:rsid w:val="00BB09B6"/>
    <w:rsid w:val="00BB207A"/>
    <w:rsid w:val="00BB2A25"/>
    <w:rsid w:val="00BB51E9"/>
    <w:rsid w:val="00BB6EE7"/>
    <w:rsid w:val="00BC0FDC"/>
    <w:rsid w:val="00BC3053"/>
    <w:rsid w:val="00BC4D2E"/>
    <w:rsid w:val="00BC79AF"/>
    <w:rsid w:val="00BD0ABF"/>
    <w:rsid w:val="00BD31EC"/>
    <w:rsid w:val="00BD3239"/>
    <w:rsid w:val="00BD35E3"/>
    <w:rsid w:val="00BD48AC"/>
    <w:rsid w:val="00BD5C65"/>
    <w:rsid w:val="00BD5F1A"/>
    <w:rsid w:val="00BD6AA3"/>
    <w:rsid w:val="00BE1234"/>
    <w:rsid w:val="00BE2FA6"/>
    <w:rsid w:val="00BE333F"/>
    <w:rsid w:val="00BE7406"/>
    <w:rsid w:val="00BE7603"/>
    <w:rsid w:val="00BF3279"/>
    <w:rsid w:val="00BF32DB"/>
    <w:rsid w:val="00BF3591"/>
    <w:rsid w:val="00BF74C7"/>
    <w:rsid w:val="00C015F1"/>
    <w:rsid w:val="00C01F33"/>
    <w:rsid w:val="00C025DB"/>
    <w:rsid w:val="00C0274C"/>
    <w:rsid w:val="00C02CC6"/>
    <w:rsid w:val="00C0309C"/>
    <w:rsid w:val="00C040F7"/>
    <w:rsid w:val="00C041B0"/>
    <w:rsid w:val="00C044AB"/>
    <w:rsid w:val="00C05706"/>
    <w:rsid w:val="00C07377"/>
    <w:rsid w:val="00C101FF"/>
    <w:rsid w:val="00C10478"/>
    <w:rsid w:val="00C1049B"/>
    <w:rsid w:val="00C12107"/>
    <w:rsid w:val="00C1362D"/>
    <w:rsid w:val="00C14D4B"/>
    <w:rsid w:val="00C154BB"/>
    <w:rsid w:val="00C202DC"/>
    <w:rsid w:val="00C207B3"/>
    <w:rsid w:val="00C2111B"/>
    <w:rsid w:val="00C21B09"/>
    <w:rsid w:val="00C239B3"/>
    <w:rsid w:val="00C25F2F"/>
    <w:rsid w:val="00C27624"/>
    <w:rsid w:val="00C279B5"/>
    <w:rsid w:val="00C27C45"/>
    <w:rsid w:val="00C327D2"/>
    <w:rsid w:val="00C355A8"/>
    <w:rsid w:val="00C360BD"/>
    <w:rsid w:val="00C36204"/>
    <w:rsid w:val="00C3719D"/>
    <w:rsid w:val="00C3787A"/>
    <w:rsid w:val="00C4072C"/>
    <w:rsid w:val="00C42DFA"/>
    <w:rsid w:val="00C51ABE"/>
    <w:rsid w:val="00C54645"/>
    <w:rsid w:val="00C54995"/>
    <w:rsid w:val="00C54D41"/>
    <w:rsid w:val="00C55430"/>
    <w:rsid w:val="00C57B03"/>
    <w:rsid w:val="00C60783"/>
    <w:rsid w:val="00C621E7"/>
    <w:rsid w:val="00C64672"/>
    <w:rsid w:val="00C6624E"/>
    <w:rsid w:val="00C673AA"/>
    <w:rsid w:val="00C70697"/>
    <w:rsid w:val="00C72EF4"/>
    <w:rsid w:val="00C75069"/>
    <w:rsid w:val="00C75D2F"/>
    <w:rsid w:val="00C767BE"/>
    <w:rsid w:val="00C76E3C"/>
    <w:rsid w:val="00C77721"/>
    <w:rsid w:val="00C81568"/>
    <w:rsid w:val="00C837EA"/>
    <w:rsid w:val="00C9027A"/>
    <w:rsid w:val="00C9068E"/>
    <w:rsid w:val="00C91B06"/>
    <w:rsid w:val="00C93C4B"/>
    <w:rsid w:val="00C93E01"/>
    <w:rsid w:val="00C944AB"/>
    <w:rsid w:val="00C95B40"/>
    <w:rsid w:val="00C96E08"/>
    <w:rsid w:val="00CA1B65"/>
    <w:rsid w:val="00CA1ED8"/>
    <w:rsid w:val="00CA424B"/>
    <w:rsid w:val="00CA77E7"/>
    <w:rsid w:val="00CB1F63"/>
    <w:rsid w:val="00CB462A"/>
    <w:rsid w:val="00CB7170"/>
    <w:rsid w:val="00CC040E"/>
    <w:rsid w:val="00CC111F"/>
    <w:rsid w:val="00CC2011"/>
    <w:rsid w:val="00CC3EA0"/>
    <w:rsid w:val="00CC5691"/>
    <w:rsid w:val="00CC6D34"/>
    <w:rsid w:val="00CC6F59"/>
    <w:rsid w:val="00CC731D"/>
    <w:rsid w:val="00CC7B45"/>
    <w:rsid w:val="00CD1188"/>
    <w:rsid w:val="00CD2ED1"/>
    <w:rsid w:val="00CD337B"/>
    <w:rsid w:val="00CD5445"/>
    <w:rsid w:val="00CD582F"/>
    <w:rsid w:val="00CD5B8A"/>
    <w:rsid w:val="00CD676E"/>
    <w:rsid w:val="00CE0424"/>
    <w:rsid w:val="00CE1DA6"/>
    <w:rsid w:val="00CE2889"/>
    <w:rsid w:val="00CE36CF"/>
    <w:rsid w:val="00CE5C14"/>
    <w:rsid w:val="00CE6967"/>
    <w:rsid w:val="00CE7561"/>
    <w:rsid w:val="00CE7715"/>
    <w:rsid w:val="00CF0245"/>
    <w:rsid w:val="00CF1354"/>
    <w:rsid w:val="00CF19C7"/>
    <w:rsid w:val="00CF2937"/>
    <w:rsid w:val="00CF2B5A"/>
    <w:rsid w:val="00CF3B1F"/>
    <w:rsid w:val="00CF3BF6"/>
    <w:rsid w:val="00CF50CE"/>
    <w:rsid w:val="00CF625B"/>
    <w:rsid w:val="00CF687E"/>
    <w:rsid w:val="00D00035"/>
    <w:rsid w:val="00D0349B"/>
    <w:rsid w:val="00D10249"/>
    <w:rsid w:val="00D115C3"/>
    <w:rsid w:val="00D11897"/>
    <w:rsid w:val="00D13135"/>
    <w:rsid w:val="00D13E4E"/>
    <w:rsid w:val="00D17A16"/>
    <w:rsid w:val="00D17D6A"/>
    <w:rsid w:val="00D221AF"/>
    <w:rsid w:val="00D239A7"/>
    <w:rsid w:val="00D23F47"/>
    <w:rsid w:val="00D325BC"/>
    <w:rsid w:val="00D34769"/>
    <w:rsid w:val="00D34D96"/>
    <w:rsid w:val="00D36BB2"/>
    <w:rsid w:val="00D36E71"/>
    <w:rsid w:val="00D37D87"/>
    <w:rsid w:val="00D40B33"/>
    <w:rsid w:val="00D42818"/>
    <w:rsid w:val="00D4318F"/>
    <w:rsid w:val="00D438BF"/>
    <w:rsid w:val="00D440F8"/>
    <w:rsid w:val="00D50EDF"/>
    <w:rsid w:val="00D50F97"/>
    <w:rsid w:val="00D51A75"/>
    <w:rsid w:val="00D51F08"/>
    <w:rsid w:val="00D5231F"/>
    <w:rsid w:val="00D53035"/>
    <w:rsid w:val="00D546FF"/>
    <w:rsid w:val="00D55AD5"/>
    <w:rsid w:val="00D576CA"/>
    <w:rsid w:val="00D60227"/>
    <w:rsid w:val="00D61AF5"/>
    <w:rsid w:val="00D61DB7"/>
    <w:rsid w:val="00D64519"/>
    <w:rsid w:val="00D652B5"/>
    <w:rsid w:val="00D66155"/>
    <w:rsid w:val="00D6664A"/>
    <w:rsid w:val="00D669AC"/>
    <w:rsid w:val="00D66D55"/>
    <w:rsid w:val="00D708B0"/>
    <w:rsid w:val="00D70E86"/>
    <w:rsid w:val="00D77B1D"/>
    <w:rsid w:val="00D8021F"/>
    <w:rsid w:val="00D80383"/>
    <w:rsid w:val="00D823C6"/>
    <w:rsid w:val="00D86CA3"/>
    <w:rsid w:val="00D871CE"/>
    <w:rsid w:val="00D9196D"/>
    <w:rsid w:val="00D92982"/>
    <w:rsid w:val="00DA0AD4"/>
    <w:rsid w:val="00DA305E"/>
    <w:rsid w:val="00DA5417"/>
    <w:rsid w:val="00DA56E8"/>
    <w:rsid w:val="00DB0A9F"/>
    <w:rsid w:val="00DB0F79"/>
    <w:rsid w:val="00DB2E53"/>
    <w:rsid w:val="00DB3449"/>
    <w:rsid w:val="00DB367D"/>
    <w:rsid w:val="00DB377D"/>
    <w:rsid w:val="00DC08F3"/>
    <w:rsid w:val="00DC2D36"/>
    <w:rsid w:val="00DC2D80"/>
    <w:rsid w:val="00DC53EF"/>
    <w:rsid w:val="00DD442E"/>
    <w:rsid w:val="00DD5680"/>
    <w:rsid w:val="00DE1A75"/>
    <w:rsid w:val="00DE48E5"/>
    <w:rsid w:val="00DE5608"/>
    <w:rsid w:val="00DE58D0"/>
    <w:rsid w:val="00DE654F"/>
    <w:rsid w:val="00DF0B6E"/>
    <w:rsid w:val="00DF15E0"/>
    <w:rsid w:val="00DF37A0"/>
    <w:rsid w:val="00DF5042"/>
    <w:rsid w:val="00DF7455"/>
    <w:rsid w:val="00DF7CE9"/>
    <w:rsid w:val="00E00B8A"/>
    <w:rsid w:val="00E02475"/>
    <w:rsid w:val="00E02827"/>
    <w:rsid w:val="00E03E99"/>
    <w:rsid w:val="00E110E7"/>
    <w:rsid w:val="00E11B20"/>
    <w:rsid w:val="00E16B90"/>
    <w:rsid w:val="00E17FA2"/>
    <w:rsid w:val="00E22330"/>
    <w:rsid w:val="00E24796"/>
    <w:rsid w:val="00E24976"/>
    <w:rsid w:val="00E27AA3"/>
    <w:rsid w:val="00E30225"/>
    <w:rsid w:val="00E30B5A"/>
    <w:rsid w:val="00E30FF7"/>
    <w:rsid w:val="00E3123D"/>
    <w:rsid w:val="00E31461"/>
    <w:rsid w:val="00E31492"/>
    <w:rsid w:val="00E31D43"/>
    <w:rsid w:val="00E32608"/>
    <w:rsid w:val="00E334D4"/>
    <w:rsid w:val="00E34188"/>
    <w:rsid w:val="00E34B6E"/>
    <w:rsid w:val="00E35559"/>
    <w:rsid w:val="00E3672F"/>
    <w:rsid w:val="00E3723A"/>
    <w:rsid w:val="00E37860"/>
    <w:rsid w:val="00E40023"/>
    <w:rsid w:val="00E4013A"/>
    <w:rsid w:val="00E42121"/>
    <w:rsid w:val="00E446F1"/>
    <w:rsid w:val="00E46886"/>
    <w:rsid w:val="00E47AEF"/>
    <w:rsid w:val="00E53B75"/>
    <w:rsid w:val="00E54E3B"/>
    <w:rsid w:val="00E55DA2"/>
    <w:rsid w:val="00E568F3"/>
    <w:rsid w:val="00E57565"/>
    <w:rsid w:val="00E60EFD"/>
    <w:rsid w:val="00E62CF0"/>
    <w:rsid w:val="00E631DC"/>
    <w:rsid w:val="00E63838"/>
    <w:rsid w:val="00E64434"/>
    <w:rsid w:val="00E67C51"/>
    <w:rsid w:val="00E71CF8"/>
    <w:rsid w:val="00E71E34"/>
    <w:rsid w:val="00E72EFC"/>
    <w:rsid w:val="00E758EC"/>
    <w:rsid w:val="00E76359"/>
    <w:rsid w:val="00E76BEF"/>
    <w:rsid w:val="00E76E18"/>
    <w:rsid w:val="00E77B6F"/>
    <w:rsid w:val="00E8234C"/>
    <w:rsid w:val="00E82C4D"/>
    <w:rsid w:val="00E83AA9"/>
    <w:rsid w:val="00E85928"/>
    <w:rsid w:val="00E859C7"/>
    <w:rsid w:val="00E87822"/>
    <w:rsid w:val="00E90395"/>
    <w:rsid w:val="00E90E49"/>
    <w:rsid w:val="00E917F9"/>
    <w:rsid w:val="00E91C25"/>
    <w:rsid w:val="00E92838"/>
    <w:rsid w:val="00E9291C"/>
    <w:rsid w:val="00E93FFE"/>
    <w:rsid w:val="00E94F8A"/>
    <w:rsid w:val="00EA08FA"/>
    <w:rsid w:val="00EA18F8"/>
    <w:rsid w:val="00EA3DED"/>
    <w:rsid w:val="00EA41B8"/>
    <w:rsid w:val="00EA4A9E"/>
    <w:rsid w:val="00EA4F61"/>
    <w:rsid w:val="00EA57B5"/>
    <w:rsid w:val="00EA7A41"/>
    <w:rsid w:val="00EB077B"/>
    <w:rsid w:val="00EB1255"/>
    <w:rsid w:val="00EB200E"/>
    <w:rsid w:val="00EB3571"/>
    <w:rsid w:val="00EB3AF5"/>
    <w:rsid w:val="00EB46D8"/>
    <w:rsid w:val="00EB4EA2"/>
    <w:rsid w:val="00EB5D35"/>
    <w:rsid w:val="00EB6307"/>
    <w:rsid w:val="00EB639A"/>
    <w:rsid w:val="00EC0C80"/>
    <w:rsid w:val="00EC14B8"/>
    <w:rsid w:val="00EC27C6"/>
    <w:rsid w:val="00EC2BE6"/>
    <w:rsid w:val="00EC3E8B"/>
    <w:rsid w:val="00EC4207"/>
    <w:rsid w:val="00EC5653"/>
    <w:rsid w:val="00EC5904"/>
    <w:rsid w:val="00EC6148"/>
    <w:rsid w:val="00EC71CE"/>
    <w:rsid w:val="00ED1006"/>
    <w:rsid w:val="00ED3BA3"/>
    <w:rsid w:val="00ED5EA7"/>
    <w:rsid w:val="00ED6678"/>
    <w:rsid w:val="00EE662B"/>
    <w:rsid w:val="00EE66C7"/>
    <w:rsid w:val="00EE7DBF"/>
    <w:rsid w:val="00EF18FE"/>
    <w:rsid w:val="00EF191A"/>
    <w:rsid w:val="00EF1EA9"/>
    <w:rsid w:val="00EF39C9"/>
    <w:rsid w:val="00EF441C"/>
    <w:rsid w:val="00EF5787"/>
    <w:rsid w:val="00EF60D0"/>
    <w:rsid w:val="00F02322"/>
    <w:rsid w:val="00F02DB2"/>
    <w:rsid w:val="00F02EAC"/>
    <w:rsid w:val="00F0320F"/>
    <w:rsid w:val="00F03487"/>
    <w:rsid w:val="00F03D6C"/>
    <w:rsid w:val="00F0528D"/>
    <w:rsid w:val="00F05BA1"/>
    <w:rsid w:val="00F06200"/>
    <w:rsid w:val="00F06C67"/>
    <w:rsid w:val="00F06DFD"/>
    <w:rsid w:val="00F071D1"/>
    <w:rsid w:val="00F07533"/>
    <w:rsid w:val="00F10629"/>
    <w:rsid w:val="00F15FA5"/>
    <w:rsid w:val="00F20372"/>
    <w:rsid w:val="00F209B7"/>
    <w:rsid w:val="00F2376F"/>
    <w:rsid w:val="00F243D8"/>
    <w:rsid w:val="00F252F0"/>
    <w:rsid w:val="00F25A92"/>
    <w:rsid w:val="00F27417"/>
    <w:rsid w:val="00F30828"/>
    <w:rsid w:val="00F30FD6"/>
    <w:rsid w:val="00F313D6"/>
    <w:rsid w:val="00F37FEA"/>
    <w:rsid w:val="00F40F0C"/>
    <w:rsid w:val="00F4251D"/>
    <w:rsid w:val="00F4766C"/>
    <w:rsid w:val="00F507D1"/>
    <w:rsid w:val="00F513F3"/>
    <w:rsid w:val="00F5199B"/>
    <w:rsid w:val="00F519CE"/>
    <w:rsid w:val="00F51ADA"/>
    <w:rsid w:val="00F53E31"/>
    <w:rsid w:val="00F607C5"/>
    <w:rsid w:val="00F60DEA"/>
    <w:rsid w:val="00F6302A"/>
    <w:rsid w:val="00F63C59"/>
    <w:rsid w:val="00F64643"/>
    <w:rsid w:val="00F64C2B"/>
    <w:rsid w:val="00F651BE"/>
    <w:rsid w:val="00F66EB7"/>
    <w:rsid w:val="00F67F53"/>
    <w:rsid w:val="00F703BE"/>
    <w:rsid w:val="00F70DCF"/>
    <w:rsid w:val="00F713A2"/>
    <w:rsid w:val="00F71D08"/>
    <w:rsid w:val="00F71F69"/>
    <w:rsid w:val="00F72B72"/>
    <w:rsid w:val="00F73152"/>
    <w:rsid w:val="00F733F7"/>
    <w:rsid w:val="00F74BB9"/>
    <w:rsid w:val="00F75582"/>
    <w:rsid w:val="00F76EFA"/>
    <w:rsid w:val="00F804BE"/>
    <w:rsid w:val="00F817CE"/>
    <w:rsid w:val="00F8244C"/>
    <w:rsid w:val="00F84012"/>
    <w:rsid w:val="00F84440"/>
    <w:rsid w:val="00F8456C"/>
    <w:rsid w:val="00F859D8"/>
    <w:rsid w:val="00F868F5"/>
    <w:rsid w:val="00F9056A"/>
    <w:rsid w:val="00F90F8D"/>
    <w:rsid w:val="00F91A3D"/>
    <w:rsid w:val="00F92782"/>
    <w:rsid w:val="00F93AA9"/>
    <w:rsid w:val="00F9422E"/>
    <w:rsid w:val="00F96985"/>
    <w:rsid w:val="00F97838"/>
    <w:rsid w:val="00F97909"/>
    <w:rsid w:val="00FA2BB3"/>
    <w:rsid w:val="00FA5270"/>
    <w:rsid w:val="00FA6F0B"/>
    <w:rsid w:val="00FA6F7E"/>
    <w:rsid w:val="00FB4C80"/>
    <w:rsid w:val="00FB6A6A"/>
    <w:rsid w:val="00FC33CE"/>
    <w:rsid w:val="00FC5855"/>
    <w:rsid w:val="00FC6ECE"/>
    <w:rsid w:val="00FC7429"/>
    <w:rsid w:val="00FC78B2"/>
    <w:rsid w:val="00FD0620"/>
    <w:rsid w:val="00FD07F6"/>
    <w:rsid w:val="00FD1EC8"/>
    <w:rsid w:val="00FD25D1"/>
    <w:rsid w:val="00FD47ED"/>
    <w:rsid w:val="00FD5F17"/>
    <w:rsid w:val="00FD6099"/>
    <w:rsid w:val="00FD74DB"/>
    <w:rsid w:val="00FD7660"/>
    <w:rsid w:val="00FE0655"/>
    <w:rsid w:val="00FE1B5F"/>
    <w:rsid w:val="00FE2365"/>
    <w:rsid w:val="00FE2FF7"/>
    <w:rsid w:val="00FE4374"/>
    <w:rsid w:val="00FE4C7B"/>
    <w:rsid w:val="00FE6212"/>
    <w:rsid w:val="00FE6989"/>
    <w:rsid w:val="00FE7336"/>
    <w:rsid w:val="00FE787C"/>
    <w:rsid w:val="00FF1171"/>
    <w:rsid w:val="00FF2FE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F5648"/>
  <w15:chartTrackingRefBased/>
  <w15:docId w15:val="{92BD1F6B-BC25-4F02-8247-2A76F47E8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61D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61D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61DB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61DB7"/>
    <w:pPr>
      <w:numPr>
        <w:ilvl w:val="2"/>
      </w:numPr>
      <w:spacing w:before="120"/>
      <w:outlineLvl w:val="2"/>
    </w:pPr>
    <w:rPr>
      <w:sz w:val="28"/>
      <w:szCs w:val="28"/>
    </w:rPr>
  </w:style>
  <w:style w:type="paragraph" w:styleId="Heading4">
    <w:name w:val="heading 4"/>
    <w:basedOn w:val="Heading3"/>
    <w:next w:val="Normal"/>
    <w:link w:val="Heading4Char"/>
    <w:qFormat/>
    <w:rsid w:val="00D61DB7"/>
    <w:pPr>
      <w:numPr>
        <w:ilvl w:val="3"/>
      </w:numPr>
      <w:outlineLvl w:val="3"/>
    </w:pPr>
    <w:rPr>
      <w:sz w:val="24"/>
      <w:szCs w:val="24"/>
    </w:rPr>
  </w:style>
  <w:style w:type="paragraph" w:styleId="Heading5">
    <w:name w:val="heading 5"/>
    <w:basedOn w:val="Heading4"/>
    <w:next w:val="Normal"/>
    <w:qFormat/>
    <w:rsid w:val="00D61DB7"/>
    <w:pPr>
      <w:numPr>
        <w:ilvl w:val="4"/>
      </w:numPr>
      <w:outlineLvl w:val="4"/>
    </w:pPr>
    <w:rPr>
      <w:sz w:val="22"/>
      <w:szCs w:val="22"/>
    </w:rPr>
  </w:style>
  <w:style w:type="paragraph" w:styleId="Heading6">
    <w:name w:val="heading 6"/>
    <w:basedOn w:val="Normal"/>
    <w:next w:val="Normal"/>
    <w:qFormat/>
    <w:rsid w:val="00D61DB7"/>
    <w:pPr>
      <w:keepNext/>
      <w:keepLines/>
      <w:numPr>
        <w:ilvl w:val="5"/>
        <w:numId w:val="1"/>
      </w:numPr>
      <w:spacing w:before="120"/>
      <w:outlineLvl w:val="5"/>
    </w:pPr>
    <w:rPr>
      <w:rFonts w:cs="Arial"/>
    </w:rPr>
  </w:style>
  <w:style w:type="paragraph" w:styleId="Heading7">
    <w:name w:val="heading 7"/>
    <w:basedOn w:val="Normal"/>
    <w:next w:val="Normal"/>
    <w:qFormat/>
    <w:rsid w:val="00D61DB7"/>
    <w:pPr>
      <w:keepNext/>
      <w:keepLines/>
      <w:numPr>
        <w:ilvl w:val="6"/>
        <w:numId w:val="1"/>
      </w:numPr>
      <w:spacing w:before="120"/>
      <w:outlineLvl w:val="6"/>
    </w:pPr>
    <w:rPr>
      <w:rFonts w:cs="Arial"/>
    </w:rPr>
  </w:style>
  <w:style w:type="paragraph" w:styleId="Heading8">
    <w:name w:val="heading 8"/>
    <w:basedOn w:val="Heading7"/>
    <w:next w:val="Normal"/>
    <w:qFormat/>
    <w:rsid w:val="00D61DB7"/>
    <w:pPr>
      <w:numPr>
        <w:ilvl w:val="7"/>
      </w:numPr>
      <w:outlineLvl w:val="7"/>
    </w:pPr>
  </w:style>
  <w:style w:type="paragraph" w:styleId="Heading9">
    <w:name w:val="heading 9"/>
    <w:basedOn w:val="Heading8"/>
    <w:next w:val="Normal"/>
    <w:qFormat/>
    <w:rsid w:val="00D61D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61DB7"/>
    <w:pPr>
      <w:spacing w:before="180"/>
      <w:ind w:left="2693" w:hanging="2693"/>
    </w:pPr>
    <w:rPr>
      <w:b w:val="0"/>
      <w:bCs/>
    </w:rPr>
  </w:style>
  <w:style w:type="paragraph" w:styleId="TOC1">
    <w:name w:val="toc 1"/>
    <w:aliases w:val="Observation TOC2"/>
    <w:uiPriority w:val="39"/>
    <w:rsid w:val="00D61DB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61DB7"/>
    <w:pPr>
      <w:keepNext/>
      <w:keepLines/>
      <w:spacing w:before="180"/>
      <w:jc w:val="center"/>
    </w:pPr>
  </w:style>
  <w:style w:type="paragraph" w:styleId="Caption">
    <w:name w:val="caption"/>
    <w:basedOn w:val="Normal"/>
    <w:next w:val="Normal"/>
    <w:qFormat/>
    <w:rsid w:val="00D61DB7"/>
    <w:pPr>
      <w:spacing w:after="240"/>
      <w:jc w:val="center"/>
    </w:pPr>
    <w:rPr>
      <w:b/>
      <w:bCs/>
    </w:rPr>
  </w:style>
  <w:style w:type="paragraph" w:styleId="TOC5">
    <w:name w:val="toc 5"/>
    <w:aliases w:val="Observation TOC"/>
    <w:basedOn w:val="TOC4"/>
    <w:semiHidden/>
    <w:rsid w:val="00D61DB7"/>
    <w:pPr>
      <w:tabs>
        <w:tab w:val="right" w:pos="1701"/>
      </w:tabs>
      <w:ind w:left="1701" w:hanging="1701"/>
    </w:pPr>
  </w:style>
  <w:style w:type="paragraph" w:styleId="TOC4">
    <w:name w:val="toc 4"/>
    <w:basedOn w:val="TOC3"/>
    <w:semiHidden/>
    <w:rsid w:val="00D61DB7"/>
    <w:pPr>
      <w:ind w:left="1418" w:hanging="1418"/>
    </w:pPr>
  </w:style>
  <w:style w:type="paragraph" w:styleId="TOC3">
    <w:name w:val="toc 3"/>
    <w:basedOn w:val="TOC2"/>
    <w:semiHidden/>
    <w:rsid w:val="00D61DB7"/>
    <w:pPr>
      <w:ind w:left="1134" w:hanging="1134"/>
    </w:pPr>
  </w:style>
  <w:style w:type="paragraph" w:styleId="TOC2">
    <w:name w:val="toc 2"/>
    <w:basedOn w:val="TOC1"/>
    <w:semiHidden/>
    <w:rsid w:val="00D61DB7"/>
    <w:pPr>
      <w:keepNext w:val="0"/>
      <w:spacing w:before="0"/>
      <w:ind w:left="851" w:hanging="851"/>
    </w:pPr>
    <w:rPr>
      <w:szCs w:val="20"/>
    </w:rPr>
  </w:style>
  <w:style w:type="paragraph" w:styleId="Index2">
    <w:name w:val="index 2"/>
    <w:basedOn w:val="Index1"/>
    <w:semiHidden/>
    <w:rsid w:val="00D61DB7"/>
    <w:pPr>
      <w:ind w:left="284"/>
    </w:pPr>
  </w:style>
  <w:style w:type="paragraph" w:styleId="Index1">
    <w:name w:val="index 1"/>
    <w:basedOn w:val="Normal"/>
    <w:semiHidden/>
    <w:rsid w:val="00D61DB7"/>
    <w:pPr>
      <w:keepLines/>
      <w:spacing w:after="0"/>
    </w:pPr>
  </w:style>
  <w:style w:type="paragraph" w:styleId="DocumentMap">
    <w:name w:val="Document Map"/>
    <w:basedOn w:val="Normal"/>
    <w:semiHidden/>
    <w:rsid w:val="00D61DB7"/>
    <w:pPr>
      <w:shd w:val="clear" w:color="auto" w:fill="000080"/>
    </w:pPr>
    <w:rPr>
      <w:rFonts w:ascii="Tahoma" w:hAnsi="Tahoma" w:cs="Tahoma"/>
    </w:rPr>
  </w:style>
  <w:style w:type="paragraph" w:styleId="ListNumber2">
    <w:name w:val="List Number 2"/>
    <w:basedOn w:val="ListNumber"/>
    <w:rsid w:val="00D61DB7"/>
    <w:pPr>
      <w:ind w:left="851"/>
    </w:pPr>
  </w:style>
  <w:style w:type="paragraph" w:styleId="ListNumber">
    <w:name w:val="List Number"/>
    <w:basedOn w:val="List"/>
    <w:rsid w:val="00D61DB7"/>
  </w:style>
  <w:style w:type="paragraph" w:styleId="List">
    <w:name w:val="List"/>
    <w:basedOn w:val="Normal"/>
    <w:rsid w:val="00D61DB7"/>
    <w:pPr>
      <w:ind w:left="568" w:hanging="284"/>
    </w:pPr>
  </w:style>
  <w:style w:type="paragraph" w:styleId="Header">
    <w:name w:val="header"/>
    <w:rsid w:val="00D61DB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61DB7"/>
    <w:rPr>
      <w:b/>
      <w:bCs/>
      <w:position w:val="6"/>
      <w:sz w:val="16"/>
      <w:szCs w:val="16"/>
    </w:rPr>
  </w:style>
  <w:style w:type="paragraph" w:styleId="FootnoteText">
    <w:name w:val="footnote text"/>
    <w:basedOn w:val="Normal"/>
    <w:semiHidden/>
    <w:rsid w:val="00D61DB7"/>
    <w:pPr>
      <w:keepLines/>
      <w:spacing w:after="0"/>
      <w:ind w:left="454" w:hanging="454"/>
    </w:pPr>
    <w:rPr>
      <w:sz w:val="16"/>
      <w:szCs w:val="16"/>
    </w:rPr>
  </w:style>
  <w:style w:type="paragraph" w:customStyle="1" w:styleId="3GPPHeader">
    <w:name w:val="3GPP_Header"/>
    <w:basedOn w:val="Normal"/>
    <w:rsid w:val="00D61DB7"/>
    <w:pPr>
      <w:tabs>
        <w:tab w:val="left" w:pos="1701"/>
        <w:tab w:val="right" w:pos="9639"/>
      </w:tabs>
      <w:spacing w:after="240"/>
    </w:pPr>
    <w:rPr>
      <w:b/>
      <w:sz w:val="24"/>
    </w:rPr>
  </w:style>
  <w:style w:type="paragraph" w:styleId="TOC9">
    <w:name w:val="toc 9"/>
    <w:basedOn w:val="TOC8"/>
    <w:semiHidden/>
    <w:rsid w:val="00D61DB7"/>
    <w:pPr>
      <w:ind w:left="1418" w:hanging="1418"/>
    </w:pPr>
  </w:style>
  <w:style w:type="paragraph" w:styleId="TOC6">
    <w:name w:val="toc 6"/>
    <w:basedOn w:val="TOC5"/>
    <w:next w:val="Normal"/>
    <w:semiHidden/>
    <w:rsid w:val="00D61DB7"/>
    <w:pPr>
      <w:ind w:left="1985" w:hanging="1985"/>
    </w:pPr>
  </w:style>
  <w:style w:type="paragraph" w:styleId="TOC7">
    <w:name w:val="toc 7"/>
    <w:basedOn w:val="TOC6"/>
    <w:next w:val="Normal"/>
    <w:semiHidden/>
    <w:rsid w:val="00D61DB7"/>
    <w:pPr>
      <w:ind w:left="2268" w:hanging="2268"/>
    </w:pPr>
  </w:style>
  <w:style w:type="paragraph" w:styleId="ListBullet2">
    <w:name w:val="List Bullet 2"/>
    <w:basedOn w:val="ListBullet"/>
    <w:rsid w:val="00D61DB7"/>
    <w:pPr>
      <w:numPr>
        <w:numId w:val="6"/>
      </w:numPr>
    </w:pPr>
  </w:style>
  <w:style w:type="paragraph" w:styleId="ListBullet">
    <w:name w:val="List Bullet"/>
    <w:basedOn w:val="BodyText"/>
    <w:rsid w:val="00D61DB7"/>
    <w:pPr>
      <w:numPr>
        <w:numId w:val="5"/>
      </w:numPr>
    </w:pPr>
  </w:style>
  <w:style w:type="paragraph" w:styleId="ListBullet3">
    <w:name w:val="List Bullet 3"/>
    <w:basedOn w:val="ListBullet2"/>
    <w:rsid w:val="00D61DB7"/>
    <w:pPr>
      <w:numPr>
        <w:numId w:val="7"/>
      </w:numPr>
    </w:pPr>
  </w:style>
  <w:style w:type="paragraph" w:customStyle="1" w:styleId="EQ">
    <w:name w:val="EQ"/>
    <w:basedOn w:val="Normal"/>
    <w:next w:val="Normal"/>
    <w:rsid w:val="00D61DB7"/>
    <w:pPr>
      <w:keepLines/>
      <w:tabs>
        <w:tab w:val="center" w:pos="4536"/>
        <w:tab w:val="right" w:pos="9072"/>
      </w:tabs>
      <w:spacing w:after="180"/>
      <w:jc w:val="left"/>
    </w:pPr>
    <w:rPr>
      <w:noProof/>
      <w:lang w:eastAsia="en-US"/>
    </w:rPr>
  </w:style>
  <w:style w:type="paragraph" w:styleId="List2">
    <w:name w:val="List 2"/>
    <w:basedOn w:val="List"/>
    <w:rsid w:val="00D61DB7"/>
    <w:pPr>
      <w:ind w:left="851"/>
    </w:pPr>
  </w:style>
  <w:style w:type="paragraph" w:styleId="List3">
    <w:name w:val="List 3"/>
    <w:basedOn w:val="List2"/>
    <w:rsid w:val="00D61DB7"/>
    <w:pPr>
      <w:ind w:left="1135"/>
    </w:pPr>
  </w:style>
  <w:style w:type="paragraph" w:styleId="List4">
    <w:name w:val="List 4"/>
    <w:basedOn w:val="List3"/>
    <w:rsid w:val="00D61DB7"/>
    <w:pPr>
      <w:ind w:left="1418"/>
    </w:pPr>
  </w:style>
  <w:style w:type="paragraph" w:styleId="List5">
    <w:name w:val="List 5"/>
    <w:basedOn w:val="List4"/>
    <w:rsid w:val="00D61DB7"/>
    <w:pPr>
      <w:ind w:left="1702"/>
    </w:pPr>
  </w:style>
  <w:style w:type="paragraph" w:customStyle="1" w:styleId="EditorsNote">
    <w:name w:val="Editor's Note"/>
    <w:basedOn w:val="Normal"/>
    <w:rsid w:val="00D61DB7"/>
    <w:pPr>
      <w:keepLines/>
      <w:spacing w:after="180"/>
      <w:ind w:left="1135" w:hanging="851"/>
      <w:jc w:val="left"/>
    </w:pPr>
    <w:rPr>
      <w:color w:val="FF0000"/>
      <w:lang w:eastAsia="en-US"/>
    </w:rPr>
  </w:style>
  <w:style w:type="paragraph" w:styleId="ListBullet4">
    <w:name w:val="List Bullet 4"/>
    <w:basedOn w:val="ListBullet3"/>
    <w:rsid w:val="00D61DB7"/>
    <w:pPr>
      <w:numPr>
        <w:numId w:val="8"/>
      </w:numPr>
    </w:pPr>
  </w:style>
  <w:style w:type="paragraph" w:styleId="ListBullet5">
    <w:name w:val="List Bullet 5"/>
    <w:basedOn w:val="ListBullet4"/>
    <w:rsid w:val="00D61DB7"/>
    <w:pPr>
      <w:numPr>
        <w:numId w:val="4"/>
      </w:numPr>
    </w:pPr>
  </w:style>
  <w:style w:type="paragraph" w:styleId="Footer">
    <w:name w:val="footer"/>
    <w:basedOn w:val="Header"/>
    <w:semiHidden/>
    <w:rsid w:val="00D61DB7"/>
    <w:pPr>
      <w:jc w:val="center"/>
    </w:pPr>
    <w:rPr>
      <w:i/>
      <w:iCs/>
    </w:rPr>
  </w:style>
  <w:style w:type="paragraph" w:customStyle="1" w:styleId="Reference">
    <w:name w:val="Reference"/>
    <w:basedOn w:val="Normal"/>
    <w:link w:val="ReferenceChar"/>
    <w:rsid w:val="00D61DB7"/>
    <w:pPr>
      <w:numPr>
        <w:numId w:val="2"/>
      </w:numPr>
    </w:pPr>
  </w:style>
  <w:style w:type="paragraph" w:styleId="BalloonText">
    <w:name w:val="Balloon Text"/>
    <w:basedOn w:val="Normal"/>
    <w:semiHidden/>
    <w:rsid w:val="00D61DB7"/>
    <w:rPr>
      <w:rFonts w:ascii="Tahoma" w:hAnsi="Tahoma" w:cs="Tahoma"/>
      <w:sz w:val="16"/>
      <w:szCs w:val="16"/>
    </w:rPr>
  </w:style>
  <w:style w:type="character" w:styleId="PageNumber">
    <w:name w:val="page number"/>
    <w:basedOn w:val="DefaultParagraphFont"/>
    <w:semiHidden/>
    <w:rsid w:val="00D61DB7"/>
  </w:style>
  <w:style w:type="paragraph" w:styleId="BodyText">
    <w:name w:val="Body Text"/>
    <w:basedOn w:val="Normal"/>
    <w:link w:val="BodyTextChar"/>
    <w:rsid w:val="00D61DB7"/>
  </w:style>
  <w:style w:type="character" w:styleId="Hyperlink">
    <w:name w:val="Hyperlink"/>
    <w:uiPriority w:val="99"/>
    <w:rsid w:val="00D61DB7"/>
    <w:rPr>
      <w:color w:val="0000FF"/>
      <w:u w:val="single"/>
      <w:lang w:val="en-GB"/>
    </w:rPr>
  </w:style>
  <w:style w:type="character" w:styleId="FollowedHyperlink">
    <w:name w:val="FollowedHyperlink"/>
    <w:semiHidden/>
    <w:rsid w:val="00D61DB7"/>
    <w:rPr>
      <w:color w:val="FF0000"/>
      <w:u w:val="single"/>
    </w:rPr>
  </w:style>
  <w:style w:type="character" w:styleId="CommentReference">
    <w:name w:val="annotation reference"/>
    <w:semiHidden/>
    <w:rsid w:val="00D61DB7"/>
    <w:rPr>
      <w:sz w:val="16"/>
      <w:szCs w:val="16"/>
    </w:rPr>
  </w:style>
  <w:style w:type="paragraph" w:styleId="CommentText">
    <w:name w:val="annotation text"/>
    <w:basedOn w:val="Normal"/>
    <w:semiHidden/>
    <w:rsid w:val="00D61DB7"/>
  </w:style>
  <w:style w:type="paragraph" w:styleId="CommentSubject">
    <w:name w:val="annotation subject"/>
    <w:basedOn w:val="CommentText"/>
    <w:next w:val="CommentText"/>
    <w:semiHidden/>
    <w:rsid w:val="00D61DB7"/>
    <w:rPr>
      <w:b/>
      <w:bCs/>
    </w:rPr>
  </w:style>
  <w:style w:type="character" w:customStyle="1" w:styleId="Heading1Char">
    <w:name w:val="Heading 1 Char"/>
    <w:link w:val="Heading1"/>
    <w:rsid w:val="00D61DB7"/>
    <w:rPr>
      <w:rFonts w:ascii="Arial" w:hAnsi="Arial" w:cs="Arial"/>
      <w:sz w:val="36"/>
      <w:szCs w:val="36"/>
      <w:lang w:val="en-GB" w:eastAsia="zh-CN"/>
    </w:rPr>
  </w:style>
  <w:style w:type="paragraph" w:customStyle="1" w:styleId="B1">
    <w:name w:val="B1"/>
    <w:basedOn w:val="List"/>
    <w:rsid w:val="00D61DB7"/>
    <w:pPr>
      <w:spacing w:after="180"/>
      <w:jc w:val="left"/>
    </w:pPr>
    <w:rPr>
      <w:lang w:eastAsia="en-US"/>
    </w:rPr>
  </w:style>
  <w:style w:type="paragraph" w:customStyle="1" w:styleId="B2">
    <w:name w:val="B2"/>
    <w:basedOn w:val="List2"/>
    <w:rsid w:val="00D61DB7"/>
    <w:pPr>
      <w:spacing w:after="180"/>
      <w:jc w:val="left"/>
    </w:pPr>
    <w:rPr>
      <w:lang w:eastAsia="en-US"/>
    </w:rPr>
  </w:style>
  <w:style w:type="paragraph" w:customStyle="1" w:styleId="B3">
    <w:name w:val="B3"/>
    <w:basedOn w:val="List3"/>
    <w:rsid w:val="00D61DB7"/>
    <w:pPr>
      <w:spacing w:after="180"/>
      <w:jc w:val="left"/>
    </w:pPr>
    <w:rPr>
      <w:lang w:eastAsia="en-US"/>
    </w:rPr>
  </w:style>
  <w:style w:type="paragraph" w:customStyle="1" w:styleId="B4">
    <w:name w:val="B4"/>
    <w:basedOn w:val="List4"/>
    <w:rsid w:val="00D61DB7"/>
    <w:pPr>
      <w:spacing w:after="180"/>
      <w:jc w:val="left"/>
    </w:pPr>
    <w:rPr>
      <w:lang w:eastAsia="en-US"/>
    </w:rPr>
  </w:style>
  <w:style w:type="paragraph" w:customStyle="1" w:styleId="Proposal">
    <w:name w:val="Proposal"/>
    <w:basedOn w:val="Normal"/>
    <w:rsid w:val="00D61DB7"/>
    <w:pPr>
      <w:numPr>
        <w:numId w:val="3"/>
      </w:numPr>
      <w:tabs>
        <w:tab w:val="clear" w:pos="1304"/>
        <w:tab w:val="left" w:pos="1701"/>
      </w:tabs>
      <w:ind w:left="1701" w:hanging="1701"/>
    </w:pPr>
    <w:rPr>
      <w:b/>
      <w:bCs/>
    </w:rPr>
  </w:style>
  <w:style w:type="character" w:customStyle="1" w:styleId="BodyTextChar">
    <w:name w:val="Body Text Char"/>
    <w:link w:val="BodyText"/>
    <w:rsid w:val="00D61DB7"/>
    <w:rPr>
      <w:rFonts w:ascii="Arial" w:hAnsi="Arial"/>
      <w:lang w:val="en-GB" w:eastAsia="zh-CN"/>
    </w:rPr>
  </w:style>
  <w:style w:type="paragraph" w:customStyle="1" w:styleId="B5">
    <w:name w:val="B5"/>
    <w:basedOn w:val="List5"/>
    <w:rsid w:val="00D61DB7"/>
    <w:pPr>
      <w:spacing w:after="180"/>
      <w:jc w:val="left"/>
    </w:pPr>
    <w:rPr>
      <w:lang w:eastAsia="en-US"/>
    </w:rPr>
  </w:style>
  <w:style w:type="paragraph" w:customStyle="1" w:styleId="EX">
    <w:name w:val="EX"/>
    <w:basedOn w:val="Normal"/>
    <w:rsid w:val="00D61DB7"/>
    <w:pPr>
      <w:keepLines/>
      <w:spacing w:after="180"/>
      <w:ind w:left="1702" w:hanging="1418"/>
      <w:jc w:val="left"/>
    </w:pPr>
    <w:rPr>
      <w:lang w:eastAsia="en-US"/>
    </w:rPr>
  </w:style>
  <w:style w:type="paragraph" w:customStyle="1" w:styleId="EW">
    <w:name w:val="EW"/>
    <w:basedOn w:val="EX"/>
    <w:rsid w:val="00D61DB7"/>
    <w:pPr>
      <w:spacing w:after="0"/>
    </w:pPr>
  </w:style>
  <w:style w:type="paragraph" w:customStyle="1" w:styleId="TAL">
    <w:name w:val="TAL"/>
    <w:basedOn w:val="Normal"/>
    <w:rsid w:val="00D61DB7"/>
    <w:pPr>
      <w:keepNext/>
      <w:keepLines/>
      <w:spacing w:after="0"/>
      <w:jc w:val="left"/>
    </w:pPr>
    <w:rPr>
      <w:sz w:val="18"/>
      <w:lang w:eastAsia="en-US"/>
    </w:rPr>
  </w:style>
  <w:style w:type="paragraph" w:customStyle="1" w:styleId="TAC">
    <w:name w:val="TAC"/>
    <w:basedOn w:val="TAL"/>
    <w:rsid w:val="00D61DB7"/>
    <w:pPr>
      <w:jc w:val="center"/>
    </w:pPr>
  </w:style>
  <w:style w:type="paragraph" w:customStyle="1" w:styleId="TAH">
    <w:name w:val="TAH"/>
    <w:basedOn w:val="TAC"/>
    <w:rsid w:val="00D61DB7"/>
    <w:rPr>
      <w:b/>
    </w:rPr>
  </w:style>
  <w:style w:type="paragraph" w:customStyle="1" w:styleId="TAN">
    <w:name w:val="TAN"/>
    <w:basedOn w:val="TAL"/>
    <w:rsid w:val="00D61DB7"/>
    <w:pPr>
      <w:ind w:left="851" w:hanging="851"/>
    </w:pPr>
  </w:style>
  <w:style w:type="paragraph" w:customStyle="1" w:styleId="TAR">
    <w:name w:val="TAR"/>
    <w:basedOn w:val="TAL"/>
    <w:rsid w:val="00D61DB7"/>
    <w:pPr>
      <w:jc w:val="right"/>
    </w:pPr>
  </w:style>
  <w:style w:type="paragraph" w:customStyle="1" w:styleId="TH">
    <w:name w:val="TH"/>
    <w:basedOn w:val="Normal"/>
    <w:rsid w:val="00D61DB7"/>
    <w:pPr>
      <w:keepNext/>
      <w:keepLines/>
      <w:spacing w:before="60" w:after="180"/>
      <w:jc w:val="center"/>
    </w:pPr>
    <w:rPr>
      <w:b/>
      <w:lang w:eastAsia="en-US"/>
    </w:rPr>
  </w:style>
  <w:style w:type="paragraph" w:customStyle="1" w:styleId="TF">
    <w:name w:val="TF"/>
    <w:basedOn w:val="TH"/>
    <w:rsid w:val="00D61DB7"/>
    <w:pPr>
      <w:keepNext w:val="0"/>
      <w:spacing w:before="0" w:after="240"/>
    </w:pPr>
  </w:style>
  <w:style w:type="paragraph" w:customStyle="1" w:styleId="TT">
    <w:name w:val="TT"/>
    <w:basedOn w:val="Heading1"/>
    <w:next w:val="Normal"/>
    <w:rsid w:val="00D61DB7"/>
    <w:pPr>
      <w:numPr>
        <w:numId w:val="0"/>
      </w:numPr>
      <w:ind w:left="1134" w:hanging="1134"/>
      <w:outlineLvl w:val="9"/>
    </w:pPr>
    <w:rPr>
      <w:rFonts w:cs="Times New Roman"/>
      <w:szCs w:val="20"/>
      <w:lang w:eastAsia="en-US"/>
    </w:rPr>
  </w:style>
  <w:style w:type="paragraph" w:customStyle="1" w:styleId="ZA">
    <w:name w:val="ZA"/>
    <w:rsid w:val="00D61D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1D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1D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61D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61DB7"/>
  </w:style>
  <w:style w:type="paragraph" w:customStyle="1" w:styleId="ZH">
    <w:name w:val="ZH"/>
    <w:rsid w:val="00D61D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61D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61DB7"/>
    <w:pPr>
      <w:framePr w:hRule="auto" w:wrap="notBeside" w:y="852"/>
    </w:pPr>
    <w:rPr>
      <w:i w:val="0"/>
      <w:sz w:val="40"/>
    </w:rPr>
  </w:style>
  <w:style w:type="paragraph" w:customStyle="1" w:styleId="ZU">
    <w:name w:val="ZU"/>
    <w:rsid w:val="00D61D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1DB7"/>
    <w:pPr>
      <w:framePr w:wrap="notBeside" w:y="16161"/>
    </w:pPr>
  </w:style>
  <w:style w:type="paragraph" w:customStyle="1" w:styleId="FP">
    <w:name w:val="FP"/>
    <w:basedOn w:val="Normal"/>
    <w:rsid w:val="00D61DB7"/>
    <w:pPr>
      <w:spacing w:after="0"/>
      <w:jc w:val="left"/>
    </w:pPr>
    <w:rPr>
      <w:lang w:eastAsia="en-US"/>
    </w:rPr>
  </w:style>
  <w:style w:type="paragraph" w:customStyle="1" w:styleId="Observation">
    <w:name w:val="Observation"/>
    <w:basedOn w:val="Proposal"/>
    <w:qFormat/>
    <w:rsid w:val="00D61DB7"/>
    <w:pPr>
      <w:numPr>
        <w:numId w:val="13"/>
      </w:numPr>
      <w:ind w:left="1701" w:hanging="1701"/>
    </w:pPr>
  </w:style>
  <w:style w:type="paragraph" w:styleId="TableofFigures">
    <w:name w:val="table of figures"/>
    <w:basedOn w:val="Normal"/>
    <w:next w:val="Normal"/>
    <w:uiPriority w:val="99"/>
    <w:rsid w:val="00D61DB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table" w:styleId="TableGrid">
    <w:name w:val="Table Grid"/>
    <w:basedOn w:val="TableNormal"/>
    <w:rsid w:val="00EA3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366F"/>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Heading4Char">
    <w:name w:val="Heading 4 Char"/>
    <w:basedOn w:val="DefaultParagraphFont"/>
    <w:link w:val="Heading4"/>
    <w:rsid w:val="00464F28"/>
    <w:rPr>
      <w:rFonts w:ascii="Arial" w:hAnsi="Arial" w:cs="Arial"/>
      <w:sz w:val="24"/>
      <w:szCs w:val="24"/>
      <w:lang w:val="en-GB" w:eastAsia="zh-CN"/>
    </w:rPr>
  </w:style>
  <w:style w:type="character" w:styleId="PlaceholderText">
    <w:name w:val="Placeholder Text"/>
    <w:basedOn w:val="DefaultParagraphFont"/>
    <w:uiPriority w:val="99"/>
    <w:semiHidden/>
    <w:rsid w:val="00D428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969287">
      <w:bodyDiv w:val="1"/>
      <w:marLeft w:val="0"/>
      <w:marRight w:val="0"/>
      <w:marTop w:val="0"/>
      <w:marBottom w:val="0"/>
      <w:divBdr>
        <w:top w:val="none" w:sz="0" w:space="0" w:color="auto"/>
        <w:left w:val="none" w:sz="0" w:space="0" w:color="auto"/>
        <w:bottom w:val="none" w:sz="0" w:space="0" w:color="auto"/>
        <w:right w:val="none" w:sz="0" w:space="0" w:color="auto"/>
      </w:divBdr>
    </w:div>
    <w:div w:id="762069765">
      <w:bodyDiv w:val="1"/>
      <w:marLeft w:val="0"/>
      <w:marRight w:val="0"/>
      <w:marTop w:val="0"/>
      <w:marBottom w:val="0"/>
      <w:divBdr>
        <w:top w:val="none" w:sz="0" w:space="0" w:color="auto"/>
        <w:left w:val="none" w:sz="0" w:space="0" w:color="auto"/>
        <w:bottom w:val="none" w:sz="0" w:space="0" w:color="auto"/>
        <w:right w:val="none" w:sz="0" w:space="0" w:color="auto"/>
      </w:divBdr>
    </w:div>
    <w:div w:id="921450873">
      <w:bodyDiv w:val="1"/>
      <w:marLeft w:val="0"/>
      <w:marRight w:val="0"/>
      <w:marTop w:val="0"/>
      <w:marBottom w:val="0"/>
      <w:divBdr>
        <w:top w:val="none" w:sz="0" w:space="0" w:color="auto"/>
        <w:left w:val="none" w:sz="0" w:space="0" w:color="auto"/>
        <w:bottom w:val="none" w:sz="0" w:space="0" w:color="auto"/>
        <w:right w:val="none" w:sz="0" w:space="0" w:color="auto"/>
      </w:divBdr>
      <w:divsChild>
        <w:div w:id="119493052">
          <w:marLeft w:val="547"/>
          <w:marRight w:val="0"/>
          <w:marTop w:val="115"/>
          <w:marBottom w:val="0"/>
          <w:divBdr>
            <w:top w:val="none" w:sz="0" w:space="0" w:color="auto"/>
            <w:left w:val="none" w:sz="0" w:space="0" w:color="auto"/>
            <w:bottom w:val="none" w:sz="0" w:space="0" w:color="auto"/>
            <w:right w:val="none" w:sz="0" w:space="0" w:color="auto"/>
          </w:divBdr>
        </w:div>
        <w:div w:id="160196449">
          <w:marLeft w:val="1166"/>
          <w:marRight w:val="0"/>
          <w:marTop w:val="96"/>
          <w:marBottom w:val="0"/>
          <w:divBdr>
            <w:top w:val="none" w:sz="0" w:space="0" w:color="auto"/>
            <w:left w:val="none" w:sz="0" w:space="0" w:color="auto"/>
            <w:bottom w:val="none" w:sz="0" w:space="0" w:color="auto"/>
            <w:right w:val="none" w:sz="0" w:space="0" w:color="auto"/>
          </w:divBdr>
        </w:div>
        <w:div w:id="281615935">
          <w:marLeft w:val="2520"/>
          <w:marRight w:val="0"/>
          <w:marTop w:val="96"/>
          <w:marBottom w:val="0"/>
          <w:divBdr>
            <w:top w:val="none" w:sz="0" w:space="0" w:color="auto"/>
            <w:left w:val="none" w:sz="0" w:space="0" w:color="auto"/>
            <w:bottom w:val="none" w:sz="0" w:space="0" w:color="auto"/>
            <w:right w:val="none" w:sz="0" w:space="0" w:color="auto"/>
          </w:divBdr>
        </w:div>
        <w:div w:id="390622120">
          <w:marLeft w:val="1166"/>
          <w:marRight w:val="0"/>
          <w:marTop w:val="96"/>
          <w:marBottom w:val="0"/>
          <w:divBdr>
            <w:top w:val="none" w:sz="0" w:space="0" w:color="auto"/>
            <w:left w:val="none" w:sz="0" w:space="0" w:color="auto"/>
            <w:bottom w:val="none" w:sz="0" w:space="0" w:color="auto"/>
            <w:right w:val="none" w:sz="0" w:space="0" w:color="auto"/>
          </w:divBdr>
        </w:div>
        <w:div w:id="390927972">
          <w:marLeft w:val="2520"/>
          <w:marRight w:val="0"/>
          <w:marTop w:val="96"/>
          <w:marBottom w:val="0"/>
          <w:divBdr>
            <w:top w:val="none" w:sz="0" w:space="0" w:color="auto"/>
            <w:left w:val="none" w:sz="0" w:space="0" w:color="auto"/>
            <w:bottom w:val="none" w:sz="0" w:space="0" w:color="auto"/>
            <w:right w:val="none" w:sz="0" w:space="0" w:color="auto"/>
          </w:divBdr>
        </w:div>
        <w:div w:id="592934754">
          <w:marLeft w:val="547"/>
          <w:marRight w:val="0"/>
          <w:marTop w:val="115"/>
          <w:marBottom w:val="0"/>
          <w:divBdr>
            <w:top w:val="none" w:sz="0" w:space="0" w:color="auto"/>
            <w:left w:val="none" w:sz="0" w:space="0" w:color="auto"/>
            <w:bottom w:val="none" w:sz="0" w:space="0" w:color="auto"/>
            <w:right w:val="none" w:sz="0" w:space="0" w:color="auto"/>
          </w:divBdr>
        </w:div>
        <w:div w:id="690768407">
          <w:marLeft w:val="547"/>
          <w:marRight w:val="0"/>
          <w:marTop w:val="115"/>
          <w:marBottom w:val="0"/>
          <w:divBdr>
            <w:top w:val="none" w:sz="0" w:space="0" w:color="auto"/>
            <w:left w:val="none" w:sz="0" w:space="0" w:color="auto"/>
            <w:bottom w:val="none" w:sz="0" w:space="0" w:color="auto"/>
            <w:right w:val="none" w:sz="0" w:space="0" w:color="auto"/>
          </w:divBdr>
        </w:div>
        <w:div w:id="1063143588">
          <w:marLeft w:val="1800"/>
          <w:marRight w:val="0"/>
          <w:marTop w:val="115"/>
          <w:marBottom w:val="0"/>
          <w:divBdr>
            <w:top w:val="none" w:sz="0" w:space="0" w:color="auto"/>
            <w:left w:val="none" w:sz="0" w:space="0" w:color="auto"/>
            <w:bottom w:val="none" w:sz="0" w:space="0" w:color="auto"/>
            <w:right w:val="none" w:sz="0" w:space="0" w:color="auto"/>
          </w:divBdr>
        </w:div>
        <w:div w:id="1364483172">
          <w:marLeft w:val="547"/>
          <w:marRight w:val="0"/>
          <w:marTop w:val="115"/>
          <w:marBottom w:val="0"/>
          <w:divBdr>
            <w:top w:val="none" w:sz="0" w:space="0" w:color="auto"/>
            <w:left w:val="none" w:sz="0" w:space="0" w:color="auto"/>
            <w:bottom w:val="none" w:sz="0" w:space="0" w:color="auto"/>
            <w:right w:val="none" w:sz="0" w:space="0" w:color="auto"/>
          </w:divBdr>
        </w:div>
      </w:divsChild>
    </w:div>
    <w:div w:id="1051811463">
      <w:bodyDiv w:val="1"/>
      <w:marLeft w:val="0"/>
      <w:marRight w:val="0"/>
      <w:marTop w:val="0"/>
      <w:marBottom w:val="0"/>
      <w:divBdr>
        <w:top w:val="none" w:sz="0" w:space="0" w:color="auto"/>
        <w:left w:val="none" w:sz="0" w:space="0" w:color="auto"/>
        <w:bottom w:val="none" w:sz="0" w:space="0" w:color="auto"/>
        <w:right w:val="none" w:sz="0" w:space="0" w:color="auto"/>
      </w:divBdr>
      <w:divsChild>
        <w:div w:id="71047983">
          <w:marLeft w:val="2520"/>
          <w:marRight w:val="0"/>
          <w:marTop w:val="96"/>
          <w:marBottom w:val="0"/>
          <w:divBdr>
            <w:top w:val="none" w:sz="0" w:space="0" w:color="auto"/>
            <w:left w:val="none" w:sz="0" w:space="0" w:color="auto"/>
            <w:bottom w:val="none" w:sz="0" w:space="0" w:color="auto"/>
            <w:right w:val="none" w:sz="0" w:space="0" w:color="auto"/>
          </w:divBdr>
        </w:div>
        <w:div w:id="156575882">
          <w:marLeft w:val="1166"/>
          <w:marRight w:val="0"/>
          <w:marTop w:val="96"/>
          <w:marBottom w:val="0"/>
          <w:divBdr>
            <w:top w:val="none" w:sz="0" w:space="0" w:color="auto"/>
            <w:left w:val="none" w:sz="0" w:space="0" w:color="auto"/>
            <w:bottom w:val="none" w:sz="0" w:space="0" w:color="auto"/>
            <w:right w:val="none" w:sz="0" w:space="0" w:color="auto"/>
          </w:divBdr>
        </w:div>
        <w:div w:id="1009483244">
          <w:marLeft w:val="547"/>
          <w:marRight w:val="0"/>
          <w:marTop w:val="115"/>
          <w:marBottom w:val="0"/>
          <w:divBdr>
            <w:top w:val="none" w:sz="0" w:space="0" w:color="auto"/>
            <w:left w:val="none" w:sz="0" w:space="0" w:color="auto"/>
            <w:bottom w:val="none" w:sz="0" w:space="0" w:color="auto"/>
            <w:right w:val="none" w:sz="0" w:space="0" w:color="auto"/>
          </w:divBdr>
        </w:div>
        <w:div w:id="1172181794">
          <w:marLeft w:val="547"/>
          <w:marRight w:val="0"/>
          <w:marTop w:val="115"/>
          <w:marBottom w:val="0"/>
          <w:divBdr>
            <w:top w:val="none" w:sz="0" w:space="0" w:color="auto"/>
            <w:left w:val="none" w:sz="0" w:space="0" w:color="auto"/>
            <w:bottom w:val="none" w:sz="0" w:space="0" w:color="auto"/>
            <w:right w:val="none" w:sz="0" w:space="0" w:color="auto"/>
          </w:divBdr>
        </w:div>
        <w:div w:id="1247030928">
          <w:marLeft w:val="1800"/>
          <w:marRight w:val="0"/>
          <w:marTop w:val="115"/>
          <w:marBottom w:val="0"/>
          <w:divBdr>
            <w:top w:val="none" w:sz="0" w:space="0" w:color="auto"/>
            <w:left w:val="none" w:sz="0" w:space="0" w:color="auto"/>
            <w:bottom w:val="none" w:sz="0" w:space="0" w:color="auto"/>
            <w:right w:val="none" w:sz="0" w:space="0" w:color="auto"/>
          </w:divBdr>
        </w:div>
        <w:div w:id="1270620024">
          <w:marLeft w:val="547"/>
          <w:marRight w:val="0"/>
          <w:marTop w:val="115"/>
          <w:marBottom w:val="0"/>
          <w:divBdr>
            <w:top w:val="none" w:sz="0" w:space="0" w:color="auto"/>
            <w:left w:val="none" w:sz="0" w:space="0" w:color="auto"/>
            <w:bottom w:val="none" w:sz="0" w:space="0" w:color="auto"/>
            <w:right w:val="none" w:sz="0" w:space="0" w:color="auto"/>
          </w:divBdr>
        </w:div>
        <w:div w:id="1387022119">
          <w:marLeft w:val="547"/>
          <w:marRight w:val="0"/>
          <w:marTop w:val="115"/>
          <w:marBottom w:val="0"/>
          <w:divBdr>
            <w:top w:val="none" w:sz="0" w:space="0" w:color="auto"/>
            <w:left w:val="none" w:sz="0" w:space="0" w:color="auto"/>
            <w:bottom w:val="none" w:sz="0" w:space="0" w:color="auto"/>
            <w:right w:val="none" w:sz="0" w:space="0" w:color="auto"/>
          </w:divBdr>
        </w:div>
        <w:div w:id="1549293903">
          <w:marLeft w:val="1166"/>
          <w:marRight w:val="0"/>
          <w:marTop w:val="96"/>
          <w:marBottom w:val="0"/>
          <w:divBdr>
            <w:top w:val="none" w:sz="0" w:space="0" w:color="auto"/>
            <w:left w:val="none" w:sz="0" w:space="0" w:color="auto"/>
            <w:bottom w:val="none" w:sz="0" w:space="0" w:color="auto"/>
            <w:right w:val="none" w:sz="0" w:space="0" w:color="auto"/>
          </w:divBdr>
        </w:div>
        <w:div w:id="1991321464">
          <w:marLeft w:val="2520"/>
          <w:marRight w:val="0"/>
          <w:marTop w:val="96"/>
          <w:marBottom w:val="0"/>
          <w:divBdr>
            <w:top w:val="none" w:sz="0" w:space="0" w:color="auto"/>
            <w:left w:val="none" w:sz="0" w:space="0" w:color="auto"/>
            <w:bottom w:val="none" w:sz="0" w:space="0" w:color="auto"/>
            <w:right w:val="none" w:sz="0" w:space="0" w:color="auto"/>
          </w:divBdr>
        </w:div>
      </w:divsChild>
    </w:div>
    <w:div w:id="1486629912">
      <w:bodyDiv w:val="1"/>
      <w:marLeft w:val="0"/>
      <w:marRight w:val="0"/>
      <w:marTop w:val="0"/>
      <w:marBottom w:val="0"/>
      <w:divBdr>
        <w:top w:val="none" w:sz="0" w:space="0" w:color="auto"/>
        <w:left w:val="none" w:sz="0" w:space="0" w:color="auto"/>
        <w:bottom w:val="none" w:sz="0" w:space="0" w:color="auto"/>
        <w:right w:val="none" w:sz="0" w:space="0" w:color="auto"/>
      </w:divBdr>
      <w:divsChild>
        <w:div w:id="451024042">
          <w:marLeft w:val="1800"/>
          <w:marRight w:val="0"/>
          <w:marTop w:val="115"/>
          <w:marBottom w:val="0"/>
          <w:divBdr>
            <w:top w:val="none" w:sz="0" w:space="0" w:color="auto"/>
            <w:left w:val="none" w:sz="0" w:space="0" w:color="auto"/>
            <w:bottom w:val="none" w:sz="0" w:space="0" w:color="auto"/>
            <w:right w:val="none" w:sz="0" w:space="0" w:color="auto"/>
          </w:divBdr>
        </w:div>
      </w:divsChild>
    </w:div>
    <w:div w:id="1915629615">
      <w:bodyDiv w:val="1"/>
      <w:marLeft w:val="0"/>
      <w:marRight w:val="0"/>
      <w:marTop w:val="0"/>
      <w:marBottom w:val="0"/>
      <w:divBdr>
        <w:top w:val="none" w:sz="0" w:space="0" w:color="auto"/>
        <w:left w:val="none" w:sz="0" w:space="0" w:color="auto"/>
        <w:bottom w:val="none" w:sz="0" w:space="0" w:color="auto"/>
        <w:right w:val="none" w:sz="0" w:space="0" w:color="auto"/>
      </w:divBdr>
    </w:div>
    <w:div w:id="202338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2E1C5-1C9B-4F1F-A758-F74D603389D8}">
  <ds:schemaRefs>
    <ds:schemaRef ds:uri="Microsoft.SharePoint.Taxonomy.ContentTypeSync"/>
  </ds:schemaRefs>
</ds:datastoreItem>
</file>

<file path=customXml/itemProps2.xml><?xml version="1.0" encoding="utf-8"?>
<ds:datastoreItem xmlns:ds="http://schemas.openxmlformats.org/officeDocument/2006/customXml" ds:itemID="{D991A5CD-2596-41D8-A61B-9E64BC6A53DB}">
  <ds:schemaRefs>
    <ds:schemaRef ds:uri="http://schemas.microsoft.com/sharepoint/v3/contenttype/forms"/>
  </ds:schemaRefs>
</ds:datastoreItem>
</file>

<file path=customXml/itemProps3.xml><?xml version="1.0" encoding="utf-8"?>
<ds:datastoreItem xmlns:ds="http://schemas.openxmlformats.org/officeDocument/2006/customXml" ds:itemID="{0F791010-1975-4FBD-9420-FBA7BEC9EF5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4FA51670-3906-4284-BCB7-E14B92C3CC01}">
  <ds:schemaRefs>
    <ds:schemaRef ds:uri="http://schemas.microsoft.com/sharepoint/events"/>
  </ds:schemaRefs>
</ds:datastoreItem>
</file>

<file path=customXml/itemProps5.xml><?xml version="1.0" encoding="utf-8"?>
<ds:datastoreItem xmlns:ds="http://schemas.openxmlformats.org/officeDocument/2006/customXml" ds:itemID="{1F2CCE37-949F-4078-8032-1C95EB127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D1F149-03EE-4732-883F-0ACCADB120F3}">
  <ds:schemaRefs>
    <ds:schemaRef ds:uri="http://schemas.microsoft.com/office/2006/metadata/longProperties"/>
  </ds:schemaRefs>
</ds:datastoreItem>
</file>

<file path=customXml/itemProps7.xml><?xml version="1.0" encoding="utf-8"?>
<ds:datastoreItem xmlns:ds="http://schemas.openxmlformats.org/officeDocument/2006/customXml" ds:itemID="{800ECA2B-3CC5-4A8E-B8D2-3FF3591E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29</TotalTime>
  <Pages>9</Pages>
  <Words>3490</Words>
  <Characters>18501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121</cp:revision>
  <cp:lastPrinted>2008-01-31T07:09:00Z</cp:lastPrinted>
  <dcterms:created xsi:type="dcterms:W3CDTF">2017-04-28T14:08:00Z</dcterms:created>
  <dcterms:modified xsi:type="dcterms:W3CDTF">2017-05-05T12:52:00Z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