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21EDB894"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717E1F">
        <w:rPr>
          <w:rFonts w:ascii="Arial" w:hAnsi="Arial" w:cs="Arial"/>
          <w:b/>
          <w:sz w:val="24"/>
        </w:rPr>
        <w:t>8</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w:t>
      </w:r>
      <w:r w:rsidR="00717E1F">
        <w:rPr>
          <w:rFonts w:ascii="Arial" w:hAnsi="Arial" w:cs="Arial"/>
          <w:b/>
          <w:sz w:val="24"/>
          <w:lang w:eastAsia="zh-CN"/>
        </w:rPr>
        <w:t>70</w:t>
      </w:r>
      <w:r w:rsidR="00E674E3">
        <w:rPr>
          <w:rFonts w:ascii="Arial" w:hAnsi="Arial" w:cs="Arial"/>
          <w:b/>
          <w:sz w:val="24"/>
          <w:lang w:eastAsia="zh-CN"/>
        </w:rPr>
        <w:t>2</w:t>
      </w:r>
      <w:r w:rsidR="008526BC">
        <w:rPr>
          <w:rFonts w:ascii="Arial" w:hAnsi="Arial" w:cs="Arial"/>
          <w:b/>
          <w:sz w:val="24"/>
          <w:lang w:eastAsia="zh-CN"/>
        </w:rPr>
        <w:t>714</w:t>
      </w:r>
    </w:p>
    <w:p w14:paraId="5C3E292E" w14:textId="02AD2F41" w:rsidR="00EB10CB" w:rsidRPr="00FC7BBB" w:rsidRDefault="00717E1F" w:rsidP="00581FED">
      <w:pPr>
        <w:spacing w:after="0"/>
        <w:rPr>
          <w:rFonts w:ascii="Arial" w:hAnsi="Arial" w:cs="Arial"/>
          <w:b/>
          <w:sz w:val="24"/>
        </w:rPr>
      </w:pPr>
      <w:r>
        <w:rPr>
          <w:rFonts w:ascii="Arial" w:hAnsi="Arial" w:cs="Arial"/>
          <w:b/>
          <w:bCs/>
          <w:sz w:val="24"/>
        </w:rPr>
        <w:t>Athens, Greece</w:t>
      </w:r>
      <w:r w:rsidR="00D92C38">
        <w:rPr>
          <w:rFonts w:ascii="Arial" w:hAnsi="Arial" w:cs="Arial"/>
          <w:b/>
          <w:bCs/>
          <w:sz w:val="24"/>
        </w:rPr>
        <w:t xml:space="preserve">, </w:t>
      </w:r>
      <w:r w:rsidR="00D92C38">
        <w:rPr>
          <w:rFonts w:ascii="Arial" w:eastAsia="MS Mincho" w:hAnsi="Arial" w:cs="Arial"/>
          <w:b/>
          <w:bCs/>
          <w:sz w:val="24"/>
          <w:lang w:val="en-US" w:eastAsia="ja-JP"/>
        </w:rPr>
        <w:t>1</w:t>
      </w:r>
      <w:r>
        <w:rPr>
          <w:rFonts w:ascii="Arial" w:eastAsia="MS Mincho" w:hAnsi="Arial" w:cs="Arial"/>
          <w:b/>
          <w:bCs/>
          <w:sz w:val="24"/>
          <w:lang w:val="en-US" w:eastAsia="ja-JP"/>
        </w:rPr>
        <w:t>3</w:t>
      </w:r>
      <w:r w:rsidR="00AD59C9">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 </w:t>
      </w:r>
      <w:r w:rsidR="00D92C38">
        <w:rPr>
          <w:rFonts w:ascii="Arial" w:eastAsia="MS Mincho" w:hAnsi="Arial" w:cs="Arial"/>
          <w:b/>
          <w:bCs/>
          <w:sz w:val="24"/>
          <w:lang w:val="en-US" w:eastAsia="ja-JP"/>
        </w:rPr>
        <w:t>1</w:t>
      </w:r>
      <w:r>
        <w:rPr>
          <w:rFonts w:ascii="Arial" w:eastAsia="MS Mincho" w:hAnsi="Arial" w:cs="Arial"/>
          <w:b/>
          <w:bCs/>
          <w:sz w:val="24"/>
          <w:lang w:val="en-US" w:eastAsia="ja-JP"/>
        </w:rPr>
        <w:t>7</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February</w:t>
      </w:r>
      <w:r w:rsidR="00E926CB" w:rsidRPr="005648BF">
        <w:rPr>
          <w:rFonts w:ascii="Arial" w:eastAsia="MS Mincho" w:hAnsi="Arial" w:cs="Arial"/>
          <w:b/>
          <w:bCs/>
          <w:sz w:val="24"/>
          <w:lang w:val="en-US" w:eastAsia="ja-JP"/>
        </w:rPr>
        <w:t xml:space="preserve"> 201</w:t>
      </w:r>
      <w:r>
        <w:rPr>
          <w:rFonts w:ascii="Arial" w:eastAsia="MS Mincho" w:hAnsi="Arial" w:cs="Arial"/>
          <w:b/>
          <w:bCs/>
          <w:sz w:val="24"/>
          <w:lang w:val="en-US" w:eastAsia="ja-JP"/>
        </w:rPr>
        <w:t>7</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2E1A1C84"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BF6FF4">
        <w:rPr>
          <w:rFonts w:ascii="Arial" w:hAnsi="Arial"/>
          <w:b/>
          <w:sz w:val="24"/>
        </w:rPr>
        <w:t>8.1.8</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159BD7E"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BF6FF4">
        <w:rPr>
          <w:rFonts w:ascii="Arial" w:hAnsi="Arial"/>
          <w:b/>
          <w:sz w:val="24"/>
        </w:rPr>
        <w:t>NR</w:t>
      </w:r>
      <w:r w:rsidR="008526BC">
        <w:rPr>
          <w:rFonts w:ascii="Arial" w:hAnsi="Arial"/>
          <w:b/>
          <w:sz w:val="24"/>
        </w:rPr>
        <w:t>-LTE</w:t>
      </w:r>
      <w:r w:rsidR="00BF6FF4">
        <w:rPr>
          <w:rFonts w:ascii="Arial" w:hAnsi="Arial"/>
          <w:b/>
          <w:sz w:val="24"/>
        </w:rPr>
        <w:t xml:space="preserve"> coexistence</w:t>
      </w:r>
      <w:r w:rsidR="008526BC">
        <w:rPr>
          <w:rFonts w:ascii="Arial" w:hAnsi="Arial"/>
          <w:b/>
          <w:sz w:val="24"/>
        </w:rPr>
        <w:t xml:space="preserve"> in UL</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3667B402" w:rsidR="00AC631B" w:rsidRDefault="00AC631B" w:rsidP="00FC7BBB">
      <w:pPr>
        <w:pStyle w:val="LGTdoc"/>
        <w:spacing w:before="20" w:afterLines="0" w:line="240" w:lineRule="auto"/>
        <w:rPr>
          <w:sz w:val="20"/>
          <w:szCs w:val="20"/>
          <w:lang w:val="en-US"/>
        </w:rPr>
      </w:pPr>
      <w:r>
        <w:rPr>
          <w:sz w:val="20"/>
          <w:szCs w:val="20"/>
          <w:lang w:val="en-US"/>
        </w:rPr>
        <w:t>In the last RAN WG1</w:t>
      </w:r>
      <w:r w:rsidR="00BF6FF4">
        <w:rPr>
          <w:sz w:val="20"/>
          <w:szCs w:val="20"/>
          <w:lang w:val="en-US"/>
        </w:rPr>
        <w:t xml:space="preserve"> NR Ad-Hoc</w:t>
      </w:r>
      <w:r>
        <w:rPr>
          <w:sz w:val="20"/>
          <w:szCs w:val="20"/>
          <w:lang w:val="en-US"/>
        </w:rPr>
        <w:t xml:space="preserve"> Meeting, the following agreement</w:t>
      </w:r>
      <w:r w:rsidR="00BF6FF4">
        <w:rPr>
          <w:sz w:val="20"/>
          <w:szCs w:val="20"/>
          <w:lang w:val="en-US"/>
        </w:rPr>
        <w:t xml:space="preserve">s were made regarding the LTE-NR coexistence </w:t>
      </w:r>
      <w:r>
        <w:rPr>
          <w:sz w:val="20"/>
          <w:szCs w:val="20"/>
          <w:lang w:val="en-US"/>
        </w:rPr>
        <w:t>[1]</w:t>
      </w:r>
      <w:r w:rsidR="00991F9D">
        <w:rPr>
          <w:sz w:val="20"/>
          <w:szCs w:val="20"/>
          <w:lang w:val="en-US"/>
        </w:rPr>
        <w:t>.</w:t>
      </w:r>
    </w:p>
    <w:p w14:paraId="57735A3F" w14:textId="77777777" w:rsidR="008475FE" w:rsidRDefault="008475FE"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8475FE" w14:paraId="3EEBE14E" w14:textId="77777777" w:rsidTr="008475FE">
        <w:tc>
          <w:tcPr>
            <w:tcW w:w="9962" w:type="dxa"/>
          </w:tcPr>
          <w:p w14:paraId="136BC598" w14:textId="77777777" w:rsidR="004949E1" w:rsidRPr="004949E1" w:rsidRDefault="004949E1" w:rsidP="00BF6FF4">
            <w:pPr>
              <w:overflowPunct/>
              <w:autoSpaceDE/>
              <w:autoSpaceDN/>
              <w:adjustRightInd/>
              <w:spacing w:before="0" w:after="0" w:line="240" w:lineRule="auto"/>
              <w:textAlignment w:val="auto"/>
              <w:rPr>
                <w:rFonts w:ascii="Times" w:eastAsia="MS Mincho" w:hAnsi="Times"/>
                <w:sz w:val="12"/>
                <w:highlight w:val="green"/>
                <w:lang w:eastAsia="ja-JP"/>
              </w:rPr>
            </w:pPr>
          </w:p>
          <w:p w14:paraId="4A7891DF" w14:textId="77777777" w:rsidR="00BF6FF4" w:rsidRPr="00BF6FF4" w:rsidRDefault="00BF6FF4" w:rsidP="00BF6FF4">
            <w:pPr>
              <w:overflowPunct/>
              <w:autoSpaceDE/>
              <w:autoSpaceDN/>
              <w:adjustRightInd/>
              <w:spacing w:before="0" w:after="0" w:line="240" w:lineRule="auto"/>
              <w:textAlignment w:val="auto"/>
              <w:rPr>
                <w:rFonts w:ascii="Times" w:eastAsia="MS Mincho" w:hAnsi="Times"/>
                <w:lang w:eastAsia="ja-JP"/>
              </w:rPr>
            </w:pPr>
            <w:r w:rsidRPr="00BF6FF4">
              <w:rPr>
                <w:rFonts w:ascii="Times" w:eastAsia="MS Mincho" w:hAnsi="Times"/>
                <w:highlight w:val="green"/>
                <w:lang w:eastAsia="ja-JP"/>
              </w:rPr>
              <w:t>Agreements</w:t>
            </w:r>
            <w:r w:rsidRPr="00BF6FF4">
              <w:rPr>
                <w:rFonts w:ascii="Times" w:eastAsia="MS Mincho" w:hAnsi="Times"/>
                <w:lang w:eastAsia="ja-JP"/>
              </w:rPr>
              <w:t>:</w:t>
            </w:r>
          </w:p>
          <w:p w14:paraId="0E8100D7" w14:textId="77777777" w:rsidR="00BF6FF4" w:rsidRPr="00BF6FF4" w:rsidRDefault="00BF6FF4" w:rsidP="00BF6FF4">
            <w:pPr>
              <w:numPr>
                <w:ilvl w:val="0"/>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LTE-NR co-existence should support the following UL sharing scenarios:</w:t>
            </w:r>
          </w:p>
          <w:p w14:paraId="0609F001" w14:textId="77777777" w:rsidR="00BF6FF4" w:rsidRPr="00BF6FF4" w:rsidRDefault="00BF6FF4" w:rsidP="00BF6FF4">
            <w:pPr>
              <w:numPr>
                <w:ilvl w:val="1"/>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 xml:space="preserve">Collocated LTE and NR base stations with network operating UL on frequency F1 where LTE UL and NR UL share UL </w:t>
            </w:r>
            <w:proofErr w:type="spellStart"/>
            <w:r w:rsidRPr="00BF6FF4">
              <w:rPr>
                <w:rFonts w:ascii="Times" w:eastAsia="MS Mincho" w:hAnsi="Times"/>
                <w:lang w:val="en-US" w:eastAsia="ja-JP"/>
              </w:rPr>
              <w:t>subframes</w:t>
            </w:r>
            <w:proofErr w:type="spellEnd"/>
            <w:r w:rsidRPr="00BF6FF4">
              <w:rPr>
                <w:rFonts w:ascii="Times" w:eastAsia="MS Mincho" w:hAnsi="Times"/>
                <w:lang w:val="en-US" w:eastAsia="ja-JP"/>
              </w:rPr>
              <w:t xml:space="preserve"> of LTE</w:t>
            </w:r>
          </w:p>
          <w:p w14:paraId="46491D2C" w14:textId="77777777" w:rsidR="00BF6FF4" w:rsidRPr="00BF6FF4" w:rsidRDefault="00BF6FF4" w:rsidP="00BF6FF4">
            <w:pPr>
              <w:numPr>
                <w:ilvl w:val="2"/>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 xml:space="preserve">Detailed sharing on the UL is FFS </w:t>
            </w:r>
          </w:p>
          <w:p w14:paraId="7DF0ED68" w14:textId="77777777" w:rsidR="00BF6FF4" w:rsidRPr="00BF6FF4" w:rsidRDefault="00BF6FF4" w:rsidP="00BF6FF4">
            <w:pPr>
              <w:numPr>
                <w:ilvl w:val="3"/>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Note: this is not intended to have impact on legacy LTE UEs</w:t>
            </w:r>
          </w:p>
          <w:p w14:paraId="1ED0B97A" w14:textId="77777777" w:rsidR="00BF6FF4" w:rsidRPr="00BF6FF4" w:rsidRDefault="00BF6FF4" w:rsidP="00BF6FF4">
            <w:pPr>
              <w:numPr>
                <w:ilvl w:val="2"/>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LTE DL on a paired frequency F3</w:t>
            </w:r>
          </w:p>
          <w:p w14:paraId="48683930" w14:textId="77777777" w:rsidR="00BF6FF4" w:rsidRPr="00BF6FF4" w:rsidRDefault="00BF6FF4" w:rsidP="00BF6FF4">
            <w:pPr>
              <w:numPr>
                <w:ilvl w:val="2"/>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NR DL transmission on frequency F2 (different than LTE DL frequency)</w:t>
            </w:r>
          </w:p>
          <w:p w14:paraId="6166C54C" w14:textId="77777777" w:rsidR="00BF6FF4" w:rsidRPr="00BF6FF4" w:rsidRDefault="00BF6FF4" w:rsidP="00BF6FF4">
            <w:pPr>
              <w:numPr>
                <w:ilvl w:val="2"/>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NR UE operates in either of the following cases based on a common NR design:</w:t>
            </w:r>
          </w:p>
          <w:p w14:paraId="3EABCCCD" w14:textId="77777777" w:rsidR="00BF6FF4" w:rsidRPr="00BF6FF4" w:rsidRDefault="00BF6FF4" w:rsidP="00BF6FF4">
            <w:pPr>
              <w:numPr>
                <w:ilvl w:val="3"/>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 xml:space="preserve">Standalone NR: UE accesses standalone NR carrier on F2. The UE may not be connected to an LTE carrier (some UE may not even support LTE). </w:t>
            </w:r>
          </w:p>
          <w:p w14:paraId="5FDCA64B" w14:textId="77777777" w:rsidR="00BF6FF4" w:rsidRPr="00BF6FF4" w:rsidRDefault="00BF6FF4" w:rsidP="00BF6FF4">
            <w:pPr>
              <w:numPr>
                <w:ilvl w:val="4"/>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FFS whether NR UL frequency F1 is signaled in NR broadcast system information or derived from MIB/PBCH, or implicitly from NR DL frequency F2</w:t>
            </w:r>
          </w:p>
          <w:p w14:paraId="2EE47293" w14:textId="77777777" w:rsidR="00BF6FF4" w:rsidRPr="00BF6FF4" w:rsidRDefault="00BF6FF4" w:rsidP="00BF6FF4">
            <w:pPr>
              <w:numPr>
                <w:ilvl w:val="3"/>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 xml:space="preserve">Dual connectivity of LTE and NR: UE accesses LTE </w:t>
            </w:r>
            <w:proofErr w:type="spellStart"/>
            <w:r w:rsidRPr="00BF6FF4">
              <w:rPr>
                <w:rFonts w:ascii="Times" w:eastAsia="MS Mincho" w:hAnsi="Times"/>
                <w:lang w:val="en-US" w:eastAsia="ja-JP"/>
              </w:rPr>
              <w:t>PCell</w:t>
            </w:r>
            <w:proofErr w:type="spellEnd"/>
            <w:r w:rsidRPr="00BF6FF4">
              <w:rPr>
                <w:rFonts w:ascii="Times" w:eastAsia="MS Mincho" w:hAnsi="Times"/>
                <w:lang w:val="en-US" w:eastAsia="ja-JP"/>
              </w:rPr>
              <w:t xml:space="preserve"> (with LTE UL on F1), then is configured by dual connectivity to also operate NR on F1 (UL) and F2 (DL).</w:t>
            </w:r>
          </w:p>
          <w:p w14:paraId="0D0C3764" w14:textId="77777777" w:rsidR="00BF6FF4" w:rsidRPr="00BF6FF4" w:rsidRDefault="00BF6FF4" w:rsidP="00BF6FF4">
            <w:pPr>
              <w:numPr>
                <w:ilvl w:val="4"/>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NR DL and UL frequencies (and/or NR band number) are signaled by RRC</w:t>
            </w:r>
          </w:p>
          <w:p w14:paraId="5977712C" w14:textId="77777777" w:rsidR="00363CE1" w:rsidRDefault="00BF6FF4" w:rsidP="008526BC">
            <w:pPr>
              <w:numPr>
                <w:ilvl w:val="1"/>
                <w:numId w:val="12"/>
              </w:numPr>
              <w:overflowPunct/>
              <w:autoSpaceDE/>
              <w:autoSpaceDN/>
              <w:adjustRightInd/>
              <w:spacing w:before="0" w:after="0" w:line="240" w:lineRule="auto"/>
              <w:textAlignment w:val="auto"/>
              <w:rPr>
                <w:rFonts w:ascii="Times" w:eastAsia="MS Mincho" w:hAnsi="Times"/>
                <w:lang w:val="en-US" w:eastAsia="ja-JP"/>
              </w:rPr>
            </w:pPr>
            <w:r w:rsidRPr="00BF6FF4">
              <w:rPr>
                <w:rFonts w:ascii="Times" w:eastAsia="MS Mincho" w:hAnsi="Times"/>
                <w:lang w:val="en-US" w:eastAsia="ja-JP"/>
              </w:rPr>
              <w:t>Non-collocated LTE and NR base stations is FFS</w:t>
            </w:r>
          </w:p>
          <w:p w14:paraId="4E982C64" w14:textId="0E37DBA7" w:rsidR="008526BC" w:rsidRPr="008526BC" w:rsidRDefault="008526BC" w:rsidP="008526BC">
            <w:pPr>
              <w:overflowPunct/>
              <w:autoSpaceDE/>
              <w:autoSpaceDN/>
              <w:adjustRightInd/>
              <w:spacing w:before="0" w:after="0" w:line="240" w:lineRule="auto"/>
              <w:ind w:left="1440"/>
              <w:textAlignment w:val="auto"/>
              <w:rPr>
                <w:rFonts w:ascii="Times" w:eastAsia="MS Mincho" w:hAnsi="Times"/>
                <w:lang w:val="en-US" w:eastAsia="ja-JP"/>
              </w:rPr>
            </w:pPr>
          </w:p>
        </w:tc>
      </w:tr>
    </w:tbl>
    <w:p w14:paraId="63F16036" w14:textId="323EF554" w:rsidR="006B6001" w:rsidRPr="006B6001" w:rsidRDefault="008526BC" w:rsidP="008526BC">
      <w:pPr>
        <w:pStyle w:val="LGTdoc"/>
        <w:spacing w:before="240" w:afterLines="0" w:line="240" w:lineRule="auto"/>
        <w:rPr>
          <w:sz w:val="20"/>
          <w:szCs w:val="20"/>
          <w:lang w:val="en-US"/>
        </w:rPr>
      </w:pPr>
      <w:r>
        <w:rPr>
          <w:sz w:val="20"/>
          <w:szCs w:val="20"/>
          <w:lang w:val="en-US"/>
        </w:rPr>
        <w:t>T</w:t>
      </w:r>
      <w:r w:rsidR="00065EBA">
        <w:rPr>
          <w:sz w:val="20"/>
          <w:szCs w:val="20"/>
          <w:lang w:val="en-US"/>
        </w:rPr>
        <w:t>his contribution</w:t>
      </w:r>
      <w:r>
        <w:rPr>
          <w:sz w:val="20"/>
          <w:szCs w:val="20"/>
          <w:lang w:val="en-US"/>
        </w:rPr>
        <w:t xml:space="preserve"> is focused on the scenario where </w:t>
      </w:r>
      <w:r w:rsidR="006B6001">
        <w:rPr>
          <w:sz w:val="20"/>
          <w:szCs w:val="20"/>
          <w:lang w:val="en-US"/>
        </w:rPr>
        <w:t>collocated LTE/NR base stations share the same UL frequency.</w:t>
      </w:r>
      <w:r>
        <w:rPr>
          <w:sz w:val="20"/>
          <w:szCs w:val="20"/>
          <w:lang w:val="en-US"/>
        </w:rPr>
        <w:t xml:space="preserve"> In particular, </w:t>
      </w:r>
      <w:r w:rsidR="00586641">
        <w:rPr>
          <w:sz w:val="20"/>
          <w:szCs w:val="20"/>
          <w:lang w:val="en-US"/>
        </w:rPr>
        <w:t xml:space="preserve">the discussion is made from the perspective that the incumbent LTE system should not be impacted by any means due to the UL carrier sharing with NR. </w:t>
      </w:r>
    </w:p>
    <w:p w14:paraId="1BC836A9" w14:textId="2F3F0313" w:rsidR="006B6001" w:rsidRPr="00586641" w:rsidRDefault="0037303E" w:rsidP="00586641">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Issues for UL carrier sharing between LTE and NR</w:t>
      </w:r>
    </w:p>
    <w:p w14:paraId="2A7CF686" w14:textId="45489314" w:rsidR="0037303E" w:rsidRPr="0037303E" w:rsidRDefault="0037303E" w:rsidP="0037303E">
      <w:pPr>
        <w:pStyle w:val="LGTdoc"/>
        <w:numPr>
          <w:ilvl w:val="1"/>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Configurability of periodic transmi</w:t>
      </w:r>
      <w:r w:rsidR="00CD49AC">
        <w:rPr>
          <w:rFonts w:ascii="Arial" w:hAnsi="Arial" w:cs="Arial"/>
          <w:b/>
          <w:snapToGrid w:val="0"/>
          <w:kern w:val="0"/>
          <w:sz w:val="28"/>
          <w:szCs w:val="20"/>
          <w:lang w:val="en-US"/>
        </w:rPr>
        <w:t>ssions</w:t>
      </w:r>
    </w:p>
    <w:p w14:paraId="6DB242B1" w14:textId="57B18EDD" w:rsidR="009F4CC2" w:rsidRDefault="00570C36" w:rsidP="00F37548">
      <w:pPr>
        <w:pStyle w:val="LGTdoc1"/>
        <w:spacing w:beforeLines="0" w:before="240" w:after="240" w:afterAutospacing="0"/>
        <w:rPr>
          <w:b w:val="0"/>
          <w:snapToGrid/>
          <w:color w:val="000000" w:themeColor="text1"/>
          <w:kern w:val="2"/>
          <w:sz w:val="20"/>
          <w:lang w:val="en-US"/>
        </w:rPr>
      </w:pPr>
      <w:r>
        <w:rPr>
          <w:b w:val="0"/>
          <w:snapToGrid/>
          <w:color w:val="000000" w:themeColor="text1"/>
          <w:kern w:val="2"/>
          <w:sz w:val="20"/>
          <w:lang w:val="en-US"/>
        </w:rPr>
        <w:t xml:space="preserve">The basic premise of sharing a UL carrier between LTE and NR is that such sharing should be transparent to both LTE and NR UEs. By doing so, the UE behavior would not be impacted due to the UL carrier sharing. In the case of LTE UL, PRACH </w:t>
      </w:r>
      <w:r w:rsidR="00586641">
        <w:rPr>
          <w:b w:val="0"/>
          <w:snapToGrid/>
          <w:color w:val="000000" w:themeColor="text1"/>
          <w:kern w:val="2"/>
          <w:sz w:val="20"/>
          <w:lang w:val="en-US"/>
        </w:rPr>
        <w:t>needs to be</w:t>
      </w:r>
      <w:r>
        <w:rPr>
          <w:b w:val="0"/>
          <w:snapToGrid/>
          <w:color w:val="000000" w:themeColor="text1"/>
          <w:kern w:val="2"/>
          <w:sz w:val="20"/>
          <w:lang w:val="en-US"/>
        </w:rPr>
        <w:t xml:space="preserve"> periodically configured. Also, SRS transmissions are either periodic or, even if aperiodic, the possible occasions need to be periodically configured</w:t>
      </w:r>
      <w:r w:rsidR="00586641">
        <w:rPr>
          <w:b w:val="0"/>
          <w:snapToGrid/>
          <w:color w:val="000000" w:themeColor="text1"/>
          <w:kern w:val="2"/>
          <w:sz w:val="20"/>
          <w:lang w:val="en-US"/>
        </w:rPr>
        <w:t xml:space="preserve"> for the rate matchi</w:t>
      </w:r>
      <w:r w:rsidR="00BE4436">
        <w:rPr>
          <w:b w:val="0"/>
          <w:snapToGrid/>
          <w:color w:val="000000" w:themeColor="text1"/>
          <w:kern w:val="2"/>
          <w:sz w:val="20"/>
          <w:lang w:val="en-US"/>
        </w:rPr>
        <w:t>ng of UEs transmitting PUSCH without</w:t>
      </w:r>
      <w:r w:rsidR="00586641">
        <w:rPr>
          <w:b w:val="0"/>
          <w:snapToGrid/>
          <w:color w:val="000000" w:themeColor="text1"/>
          <w:kern w:val="2"/>
          <w:sz w:val="20"/>
          <w:lang w:val="en-US"/>
        </w:rPr>
        <w:t xml:space="preserve"> SRS</w:t>
      </w:r>
      <w:r>
        <w:rPr>
          <w:b w:val="0"/>
          <w:snapToGrid/>
          <w:color w:val="000000" w:themeColor="text1"/>
          <w:kern w:val="2"/>
          <w:sz w:val="20"/>
          <w:lang w:val="en-US"/>
        </w:rPr>
        <w:t xml:space="preserve">. </w:t>
      </w:r>
    </w:p>
    <w:p w14:paraId="166A8FF2" w14:textId="5E0B5C09" w:rsidR="009F4CC2" w:rsidRDefault="009F4CC2" w:rsidP="00F37548">
      <w:pPr>
        <w:pStyle w:val="LGTdoc1"/>
        <w:spacing w:beforeLines="0" w:before="240" w:after="240" w:afterAutospacing="0"/>
        <w:rPr>
          <w:snapToGrid/>
          <w:kern w:val="2"/>
          <w:sz w:val="20"/>
          <w:lang w:val="en-US"/>
        </w:rPr>
      </w:pPr>
      <w:r>
        <w:rPr>
          <w:snapToGrid/>
          <w:kern w:val="2"/>
          <w:sz w:val="20"/>
          <w:lang w:val="en-US"/>
        </w:rPr>
        <w:t>Observation</w:t>
      </w:r>
      <w:r w:rsidR="00363DD1">
        <w:rPr>
          <w:snapToGrid/>
          <w:kern w:val="2"/>
          <w:sz w:val="20"/>
          <w:lang w:val="en-US"/>
        </w:rPr>
        <w:t xml:space="preserve"> 1</w:t>
      </w:r>
      <w:r w:rsidRPr="00FC7BBB">
        <w:rPr>
          <w:snapToGrid/>
          <w:kern w:val="2"/>
          <w:sz w:val="20"/>
          <w:lang w:val="en-US"/>
        </w:rPr>
        <w:t xml:space="preserve">: </w:t>
      </w:r>
      <w:r>
        <w:rPr>
          <w:snapToGrid/>
          <w:kern w:val="2"/>
          <w:sz w:val="20"/>
          <w:lang w:val="en-US"/>
        </w:rPr>
        <w:t xml:space="preserve">In LTE UL, there are </w:t>
      </w:r>
      <w:r w:rsidRPr="00722580">
        <w:rPr>
          <w:snapToGrid/>
          <w:kern w:val="2"/>
          <w:sz w:val="20"/>
          <w:lang w:val="en-US"/>
        </w:rPr>
        <w:t>periodic transmission</w:t>
      </w:r>
      <w:r>
        <w:rPr>
          <w:snapToGrid/>
          <w:kern w:val="2"/>
          <w:sz w:val="20"/>
          <w:lang w:val="en-US"/>
        </w:rPr>
        <w:t>s</w:t>
      </w:r>
      <w:r w:rsidRPr="00722580">
        <w:rPr>
          <w:snapToGrid/>
          <w:kern w:val="2"/>
          <w:sz w:val="20"/>
          <w:lang w:val="en-US"/>
        </w:rPr>
        <w:t xml:space="preserve"> or transmission opportunities</w:t>
      </w:r>
      <w:r>
        <w:rPr>
          <w:snapToGrid/>
          <w:kern w:val="2"/>
          <w:sz w:val="20"/>
          <w:lang w:val="en-US"/>
        </w:rPr>
        <w:t>, e.g., PRACH, SRS,</w:t>
      </w:r>
      <w:r w:rsidRPr="00722580">
        <w:rPr>
          <w:snapToGrid/>
          <w:kern w:val="2"/>
          <w:sz w:val="20"/>
          <w:lang w:val="en-US"/>
        </w:rPr>
        <w:t xml:space="preserve"> </w:t>
      </w:r>
      <w:r>
        <w:rPr>
          <w:snapToGrid/>
          <w:kern w:val="2"/>
          <w:sz w:val="20"/>
          <w:lang w:val="en-US"/>
        </w:rPr>
        <w:t xml:space="preserve">which require dedicated resources. </w:t>
      </w:r>
    </w:p>
    <w:p w14:paraId="70C7A849" w14:textId="77777777" w:rsidR="00A1740A" w:rsidRDefault="00A1740A" w:rsidP="00F37548">
      <w:pPr>
        <w:pStyle w:val="LGTdoc1"/>
        <w:spacing w:beforeLines="0" w:before="240" w:after="240" w:afterAutospacing="0"/>
        <w:rPr>
          <w:snapToGrid/>
          <w:kern w:val="2"/>
          <w:sz w:val="20"/>
          <w:lang w:val="en-US"/>
        </w:rPr>
      </w:pPr>
      <w:r>
        <w:rPr>
          <w:b w:val="0"/>
          <w:snapToGrid/>
          <w:color w:val="000000" w:themeColor="text1"/>
          <w:kern w:val="2"/>
          <w:sz w:val="20"/>
          <w:lang w:val="en-US"/>
        </w:rPr>
        <w:lastRenderedPageBreak/>
        <w:t>Likewise, there might be a need for NR to configure such periodic transmissions or transmission opportunities. Therefore, the NR design should provide enough flexibility such that UL periodic transmissions or periodic transmission opportunities can be configured while avoiding such resources that are configured by LTE.</w:t>
      </w:r>
    </w:p>
    <w:p w14:paraId="5DCE054F" w14:textId="1670744C" w:rsidR="00886760" w:rsidRPr="00886760" w:rsidRDefault="002F548B" w:rsidP="00886760">
      <w:pPr>
        <w:pStyle w:val="LGTdoc1"/>
        <w:spacing w:beforeLines="0" w:before="240" w:after="240" w:afterAutospacing="0"/>
        <w:rPr>
          <w:snapToGrid/>
          <w:kern w:val="2"/>
          <w:sz w:val="20"/>
          <w:lang w:val="en-US"/>
        </w:rPr>
      </w:pPr>
      <w:r>
        <w:rPr>
          <w:snapToGrid/>
          <w:kern w:val="2"/>
          <w:sz w:val="20"/>
          <w:lang w:val="en-US"/>
        </w:rPr>
        <w:t>Proposal</w:t>
      </w:r>
      <w:r w:rsidR="00363DD1">
        <w:rPr>
          <w:snapToGrid/>
          <w:kern w:val="2"/>
          <w:sz w:val="20"/>
          <w:lang w:val="en-US"/>
        </w:rPr>
        <w:t xml:space="preserve"> 1</w:t>
      </w:r>
      <w:r w:rsidRPr="00FC7BBB">
        <w:rPr>
          <w:snapToGrid/>
          <w:kern w:val="2"/>
          <w:sz w:val="20"/>
          <w:lang w:val="en-US"/>
        </w:rPr>
        <w:t xml:space="preserve">: </w:t>
      </w:r>
      <w:r>
        <w:rPr>
          <w:snapToGrid/>
          <w:kern w:val="2"/>
          <w:sz w:val="20"/>
          <w:lang w:val="en-US"/>
        </w:rPr>
        <w:t xml:space="preserve">The </w:t>
      </w:r>
      <w:r w:rsidRPr="00722580">
        <w:rPr>
          <w:snapToGrid/>
          <w:kern w:val="2"/>
          <w:sz w:val="20"/>
          <w:lang w:val="en-US"/>
        </w:rPr>
        <w:t xml:space="preserve">NR UL design should provide </w:t>
      </w:r>
      <w:r w:rsidR="007872B5">
        <w:rPr>
          <w:snapToGrid/>
          <w:kern w:val="2"/>
          <w:sz w:val="20"/>
          <w:lang w:val="en-US"/>
        </w:rPr>
        <w:t>sufficient</w:t>
      </w:r>
      <w:r w:rsidRPr="00722580">
        <w:rPr>
          <w:snapToGrid/>
          <w:kern w:val="2"/>
          <w:sz w:val="20"/>
          <w:lang w:val="en-US"/>
        </w:rPr>
        <w:t xml:space="preserve"> flexibility such that potential NR UL periodic transmission</w:t>
      </w:r>
      <w:r>
        <w:rPr>
          <w:snapToGrid/>
          <w:kern w:val="2"/>
          <w:sz w:val="20"/>
          <w:lang w:val="en-US"/>
        </w:rPr>
        <w:t>s</w:t>
      </w:r>
      <w:r w:rsidRPr="00722580">
        <w:rPr>
          <w:snapToGrid/>
          <w:kern w:val="2"/>
          <w:sz w:val="20"/>
          <w:lang w:val="en-US"/>
        </w:rPr>
        <w:t xml:space="preserve"> or transmission opportunities can be configured while avoiding the </w:t>
      </w:r>
      <w:r>
        <w:rPr>
          <w:snapToGrid/>
          <w:kern w:val="2"/>
          <w:sz w:val="20"/>
          <w:lang w:val="en-US"/>
        </w:rPr>
        <w:t xml:space="preserve">time/frequency resource </w:t>
      </w:r>
      <w:r w:rsidRPr="00722580">
        <w:rPr>
          <w:snapToGrid/>
          <w:kern w:val="2"/>
          <w:sz w:val="20"/>
          <w:lang w:val="en-US"/>
        </w:rPr>
        <w:t xml:space="preserve">that are </w:t>
      </w:r>
      <w:r>
        <w:rPr>
          <w:snapToGrid/>
          <w:kern w:val="2"/>
          <w:sz w:val="20"/>
          <w:lang w:val="en-US"/>
        </w:rPr>
        <w:t>periodically configured by</w:t>
      </w:r>
      <w:r w:rsidRPr="00722580">
        <w:rPr>
          <w:snapToGrid/>
          <w:kern w:val="2"/>
          <w:sz w:val="20"/>
          <w:lang w:val="en-US"/>
        </w:rPr>
        <w:t xml:space="preserve"> LTE.</w:t>
      </w:r>
      <w:r>
        <w:rPr>
          <w:snapToGrid/>
          <w:kern w:val="2"/>
          <w:sz w:val="20"/>
          <w:lang w:val="en-US"/>
        </w:rPr>
        <w:t xml:space="preserve"> </w:t>
      </w:r>
    </w:p>
    <w:p w14:paraId="43AE8D74" w14:textId="5F1454B3" w:rsidR="00886760" w:rsidRPr="0037303E" w:rsidRDefault="00886760" w:rsidP="00886760">
      <w:pPr>
        <w:pStyle w:val="LGTdoc"/>
        <w:numPr>
          <w:ilvl w:val="1"/>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UL carrier sharing via TDM vs. FDM</w:t>
      </w:r>
    </w:p>
    <w:p w14:paraId="2341BA8F" w14:textId="761E1F28" w:rsidR="000D1CA4" w:rsidRDefault="00886760" w:rsidP="00570C36">
      <w:pPr>
        <w:pStyle w:val="LGTdoc1"/>
        <w:spacing w:beforeLines="0" w:before="240" w:after="240" w:afterAutospacing="0"/>
        <w:rPr>
          <w:snapToGrid/>
          <w:kern w:val="2"/>
          <w:sz w:val="20"/>
          <w:lang w:val="en-US"/>
        </w:rPr>
      </w:pPr>
      <w:r>
        <w:rPr>
          <w:b w:val="0"/>
          <w:snapToGrid/>
          <w:color w:val="000000" w:themeColor="text1"/>
          <w:kern w:val="2"/>
          <w:sz w:val="20"/>
          <w:lang w:val="en-US"/>
        </w:rPr>
        <w:t>As illustrated in the figure below, the sharing of the UL carrier can be either via FDM, TDM, or both.</w:t>
      </w:r>
    </w:p>
    <w:p w14:paraId="7C9E3B49" w14:textId="77777777" w:rsidR="00886760" w:rsidRDefault="00886760" w:rsidP="00570C36">
      <w:pPr>
        <w:pStyle w:val="LGTdoc1"/>
        <w:spacing w:beforeLines="0" w:before="240" w:after="240" w:afterAutospacing="0"/>
        <w:rPr>
          <w:snapToGrid/>
          <w:kern w:val="2"/>
          <w:sz w:val="20"/>
          <w:lang w:val="en-US"/>
        </w:rPr>
      </w:pPr>
    </w:p>
    <w:p w14:paraId="0EC14E37" w14:textId="77777777" w:rsidR="00570C36" w:rsidRDefault="00570C36" w:rsidP="007F0EEB">
      <w:pPr>
        <w:pStyle w:val="LGTdoc1"/>
        <w:spacing w:beforeLines="0" w:before="240" w:after="240" w:afterAutospacing="0"/>
        <w:ind w:left="425"/>
        <w:jc w:val="center"/>
        <w:rPr>
          <w:b w:val="0"/>
          <w:snapToGrid/>
          <w:kern w:val="2"/>
          <w:sz w:val="20"/>
          <w:lang w:val="en-US"/>
        </w:rPr>
      </w:pPr>
      <w:r>
        <w:rPr>
          <w:noProof/>
          <w:sz w:val="20"/>
          <w:lang w:val="en-US"/>
        </w:rPr>
        <w:drawing>
          <wp:inline distT="0" distB="0" distL="0" distR="0" wp14:anchorId="0B8E88AC" wp14:editId="72D523B8">
            <wp:extent cx="3400828" cy="3009014"/>
            <wp:effectExtent l="0" t="0" r="0" b="1270"/>
            <wp:docPr id="1" name="Picture 1" descr="LTE-NR coexist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LTE-NR coexistence"/>
                    <pic:cNvPicPr>
                      <a:picLocks noChangeAspect="1" noChangeArrowheads="1"/>
                    </pic:cNvPicPr>
                  </pic:nvPicPr>
                  <pic:blipFill rotWithShape="1">
                    <a:blip r:embed="rId12">
                      <a:extLst>
                        <a:ext uri="{28A0092B-C50C-407E-A947-70E740481C1C}">
                          <a14:useLocalDpi xmlns:a14="http://schemas.microsoft.com/office/drawing/2010/main" val="0"/>
                        </a:ext>
                      </a:extLst>
                    </a:blip>
                    <a:srcRect b="6535"/>
                    <a:stretch/>
                  </pic:blipFill>
                  <pic:spPr bwMode="auto">
                    <a:xfrm>
                      <a:off x="0" y="0"/>
                      <a:ext cx="3423694" cy="3029245"/>
                    </a:xfrm>
                    <a:prstGeom prst="rect">
                      <a:avLst/>
                    </a:prstGeom>
                    <a:noFill/>
                    <a:ln>
                      <a:noFill/>
                    </a:ln>
                    <a:extLst>
                      <a:ext uri="{53640926-AAD7-44D8-BBD7-CCE9431645EC}">
                        <a14:shadowObscured xmlns:a14="http://schemas.microsoft.com/office/drawing/2010/main"/>
                      </a:ext>
                    </a:extLst>
                  </pic:spPr>
                </pic:pic>
              </a:graphicData>
            </a:graphic>
          </wp:inline>
        </w:drawing>
      </w:r>
    </w:p>
    <w:p w14:paraId="303D42D5" w14:textId="68065898" w:rsidR="00886760" w:rsidRDefault="00570C36" w:rsidP="00886760">
      <w:pPr>
        <w:pStyle w:val="LGTdoc1"/>
        <w:spacing w:beforeLines="0" w:before="120" w:after="120" w:afterAutospacing="0"/>
        <w:ind w:left="425"/>
        <w:jc w:val="center"/>
        <w:rPr>
          <w:snapToGrid/>
          <w:kern w:val="2"/>
          <w:sz w:val="20"/>
        </w:rPr>
      </w:pPr>
      <w:r w:rsidRPr="00FC7BBB">
        <w:rPr>
          <w:snapToGrid/>
          <w:kern w:val="2"/>
          <w:sz w:val="20"/>
        </w:rPr>
        <w:t xml:space="preserve">Figure </w:t>
      </w:r>
      <w:r w:rsidR="007872B5">
        <w:rPr>
          <w:snapToGrid/>
          <w:kern w:val="2"/>
          <w:sz w:val="20"/>
        </w:rPr>
        <w:t>1</w:t>
      </w:r>
      <w:r w:rsidRPr="00FC7BBB">
        <w:rPr>
          <w:snapToGrid/>
          <w:kern w:val="2"/>
          <w:sz w:val="20"/>
        </w:rPr>
        <w:t xml:space="preserve">. </w:t>
      </w:r>
      <w:r>
        <w:rPr>
          <w:snapToGrid/>
          <w:kern w:val="2"/>
          <w:sz w:val="20"/>
        </w:rPr>
        <w:t>LTE/NR coexistence via FDM/TDM</w:t>
      </w:r>
      <w:r w:rsidR="002B11F4">
        <w:rPr>
          <w:snapToGrid/>
          <w:kern w:val="2"/>
          <w:sz w:val="20"/>
        </w:rPr>
        <w:t xml:space="preserve"> [</w:t>
      </w:r>
      <w:r w:rsidR="00CE5373">
        <w:rPr>
          <w:snapToGrid/>
          <w:kern w:val="2"/>
          <w:sz w:val="20"/>
        </w:rPr>
        <w:t>2</w:t>
      </w:r>
      <w:r w:rsidR="002B11F4">
        <w:rPr>
          <w:snapToGrid/>
          <w:kern w:val="2"/>
          <w:sz w:val="20"/>
        </w:rPr>
        <w:t>]</w:t>
      </w:r>
    </w:p>
    <w:p w14:paraId="6F71413E" w14:textId="77777777" w:rsidR="00886760" w:rsidRPr="00886760" w:rsidRDefault="00886760" w:rsidP="00886760">
      <w:pPr>
        <w:pStyle w:val="LGTdoc1"/>
        <w:spacing w:beforeLines="0" w:before="120" w:after="120" w:afterAutospacing="0"/>
        <w:ind w:left="425"/>
        <w:jc w:val="center"/>
        <w:rPr>
          <w:snapToGrid/>
          <w:kern w:val="2"/>
          <w:sz w:val="20"/>
        </w:rPr>
      </w:pPr>
    </w:p>
    <w:p w14:paraId="3939BC99" w14:textId="77777777" w:rsidR="00886760" w:rsidRPr="002F548B" w:rsidRDefault="00886760" w:rsidP="00886760">
      <w:pPr>
        <w:pStyle w:val="LGTdoc1"/>
        <w:spacing w:beforeLines="0" w:before="240" w:after="240" w:afterAutospacing="0"/>
        <w:rPr>
          <w:snapToGrid/>
          <w:kern w:val="2"/>
          <w:sz w:val="20"/>
          <w:lang w:val="en-US"/>
        </w:rPr>
      </w:pPr>
      <w:r>
        <w:rPr>
          <w:b w:val="0"/>
          <w:snapToGrid/>
          <w:color w:val="000000" w:themeColor="text1"/>
          <w:kern w:val="2"/>
          <w:sz w:val="20"/>
          <w:lang w:val="en-US"/>
        </w:rPr>
        <w:t xml:space="preserve">If the UL carrier sharing is made in a TDM manner, e.g., in a </w:t>
      </w:r>
      <w:proofErr w:type="spellStart"/>
      <w:r>
        <w:rPr>
          <w:b w:val="0"/>
          <w:snapToGrid/>
          <w:color w:val="000000" w:themeColor="text1"/>
          <w:kern w:val="2"/>
          <w:sz w:val="20"/>
          <w:lang w:val="en-US"/>
        </w:rPr>
        <w:t>subframe</w:t>
      </w:r>
      <w:proofErr w:type="spellEnd"/>
      <w:r>
        <w:rPr>
          <w:b w:val="0"/>
          <w:snapToGrid/>
          <w:color w:val="000000" w:themeColor="text1"/>
          <w:kern w:val="2"/>
          <w:sz w:val="20"/>
          <w:lang w:val="en-US"/>
        </w:rPr>
        <w:t xml:space="preserve">-level granularity, the </w:t>
      </w:r>
      <w:proofErr w:type="spellStart"/>
      <w:r>
        <w:rPr>
          <w:b w:val="0"/>
          <w:snapToGrid/>
          <w:color w:val="000000" w:themeColor="text1"/>
          <w:kern w:val="2"/>
          <w:sz w:val="20"/>
          <w:lang w:val="en-US"/>
        </w:rPr>
        <w:t>subframes</w:t>
      </w:r>
      <w:proofErr w:type="spellEnd"/>
      <w:r>
        <w:rPr>
          <w:b w:val="0"/>
          <w:snapToGrid/>
          <w:color w:val="000000" w:themeColor="text1"/>
          <w:kern w:val="2"/>
          <w:sz w:val="20"/>
          <w:lang w:val="en-US"/>
        </w:rPr>
        <w:t xml:space="preserve"> that will be used by one radio access technology (RAT) would not be shared by the other. Therefore, each scheduler’s decision within a </w:t>
      </w:r>
      <w:proofErr w:type="spellStart"/>
      <w:r>
        <w:rPr>
          <w:b w:val="0"/>
          <w:snapToGrid/>
          <w:color w:val="000000" w:themeColor="text1"/>
          <w:kern w:val="2"/>
          <w:sz w:val="20"/>
          <w:lang w:val="en-US"/>
        </w:rPr>
        <w:t>subframe</w:t>
      </w:r>
      <w:proofErr w:type="spellEnd"/>
      <w:r>
        <w:rPr>
          <w:b w:val="0"/>
          <w:snapToGrid/>
          <w:color w:val="000000" w:themeColor="text1"/>
          <w:kern w:val="2"/>
          <w:sz w:val="20"/>
          <w:lang w:val="en-US"/>
        </w:rPr>
        <w:t xml:space="preserve"> will be independent from the other. Sharing via FDM, however, may require tighter coordination/interaction between </w:t>
      </w:r>
      <w:proofErr w:type="spellStart"/>
      <w:r>
        <w:rPr>
          <w:b w:val="0"/>
          <w:snapToGrid/>
          <w:color w:val="000000" w:themeColor="text1"/>
          <w:kern w:val="2"/>
          <w:sz w:val="20"/>
          <w:lang w:val="en-US"/>
        </w:rPr>
        <w:t>gNB</w:t>
      </w:r>
      <w:proofErr w:type="spellEnd"/>
      <w:r>
        <w:rPr>
          <w:b w:val="0"/>
          <w:snapToGrid/>
          <w:color w:val="000000" w:themeColor="text1"/>
          <w:kern w:val="2"/>
          <w:sz w:val="20"/>
          <w:lang w:val="en-US"/>
        </w:rPr>
        <w:t xml:space="preserve"> and </w:t>
      </w:r>
      <w:proofErr w:type="spellStart"/>
      <w:r>
        <w:rPr>
          <w:b w:val="0"/>
          <w:snapToGrid/>
          <w:color w:val="000000" w:themeColor="text1"/>
          <w:kern w:val="2"/>
          <w:sz w:val="20"/>
          <w:lang w:val="en-US"/>
        </w:rPr>
        <w:t>eNB</w:t>
      </w:r>
      <w:proofErr w:type="spellEnd"/>
      <w:r>
        <w:rPr>
          <w:b w:val="0"/>
          <w:snapToGrid/>
          <w:color w:val="000000" w:themeColor="text1"/>
          <w:kern w:val="2"/>
          <w:sz w:val="20"/>
          <w:lang w:val="en-US"/>
        </w:rPr>
        <w:t xml:space="preserve"> to avoid scheduling conflicts. </w:t>
      </w:r>
    </w:p>
    <w:p w14:paraId="7704FD8A" w14:textId="3E13C6D3" w:rsidR="00886760" w:rsidRPr="00A1740A" w:rsidRDefault="00886760" w:rsidP="00886760">
      <w:pPr>
        <w:pStyle w:val="LGTdoc1"/>
        <w:spacing w:beforeLines="0" w:before="240" w:after="240" w:afterAutospacing="0"/>
        <w:rPr>
          <w:snapToGrid/>
          <w:kern w:val="2"/>
          <w:sz w:val="20"/>
          <w:lang w:val="en-US"/>
        </w:rPr>
      </w:pPr>
      <w:r>
        <w:rPr>
          <w:snapToGrid/>
          <w:kern w:val="2"/>
          <w:sz w:val="20"/>
          <w:lang w:val="en-US"/>
        </w:rPr>
        <w:t>Observation</w:t>
      </w:r>
      <w:r w:rsidR="00363DD1">
        <w:rPr>
          <w:snapToGrid/>
          <w:kern w:val="2"/>
          <w:sz w:val="20"/>
          <w:lang w:val="en-US"/>
        </w:rPr>
        <w:t xml:space="preserve"> 2</w:t>
      </w:r>
      <w:r w:rsidRPr="00FC7BBB">
        <w:rPr>
          <w:snapToGrid/>
          <w:kern w:val="2"/>
          <w:sz w:val="20"/>
          <w:lang w:val="en-US"/>
        </w:rPr>
        <w:t xml:space="preserve">: </w:t>
      </w:r>
      <w:r>
        <w:rPr>
          <w:snapToGrid/>
          <w:kern w:val="2"/>
          <w:sz w:val="20"/>
          <w:lang w:val="en-US"/>
        </w:rPr>
        <w:t xml:space="preserve">The UL carrier sharing via FDM approach would require more tight coordination between </w:t>
      </w:r>
      <w:proofErr w:type="spellStart"/>
      <w:r>
        <w:rPr>
          <w:snapToGrid/>
          <w:kern w:val="2"/>
          <w:sz w:val="20"/>
          <w:lang w:val="en-US"/>
        </w:rPr>
        <w:t>gNB</w:t>
      </w:r>
      <w:proofErr w:type="spellEnd"/>
      <w:r>
        <w:rPr>
          <w:snapToGrid/>
          <w:kern w:val="2"/>
          <w:sz w:val="20"/>
          <w:lang w:val="en-US"/>
        </w:rPr>
        <w:t xml:space="preserve"> and </w:t>
      </w:r>
      <w:proofErr w:type="spellStart"/>
      <w:r>
        <w:rPr>
          <w:snapToGrid/>
          <w:kern w:val="2"/>
          <w:sz w:val="20"/>
          <w:lang w:val="en-US"/>
        </w:rPr>
        <w:t>eNB</w:t>
      </w:r>
      <w:proofErr w:type="spellEnd"/>
      <w:r>
        <w:rPr>
          <w:snapToGrid/>
          <w:kern w:val="2"/>
          <w:sz w:val="20"/>
          <w:lang w:val="en-US"/>
        </w:rPr>
        <w:t xml:space="preserve"> to avoid scheduling conflicts. </w:t>
      </w:r>
    </w:p>
    <w:p w14:paraId="049973EF" w14:textId="1BDD2C35" w:rsidR="000D1CA4" w:rsidRDefault="000D1CA4" w:rsidP="007F0EEB">
      <w:pPr>
        <w:pStyle w:val="LGTdoc1"/>
        <w:spacing w:beforeLines="0" w:before="240" w:after="240" w:afterAutospacing="0"/>
        <w:rPr>
          <w:b w:val="0"/>
          <w:snapToGrid/>
          <w:color w:val="000000" w:themeColor="text1"/>
          <w:kern w:val="2"/>
          <w:sz w:val="20"/>
          <w:lang w:val="en-US"/>
        </w:rPr>
      </w:pPr>
      <w:r>
        <w:rPr>
          <w:b w:val="0"/>
          <w:snapToGrid/>
          <w:color w:val="000000" w:themeColor="text1"/>
          <w:kern w:val="2"/>
          <w:sz w:val="20"/>
          <w:lang w:val="en-US"/>
        </w:rPr>
        <w:t xml:space="preserve">On the other hand, </w:t>
      </w:r>
      <w:r w:rsidR="007F0EEB">
        <w:rPr>
          <w:b w:val="0"/>
          <w:snapToGrid/>
          <w:color w:val="000000" w:themeColor="text1"/>
          <w:kern w:val="2"/>
          <w:sz w:val="20"/>
          <w:lang w:val="en-US"/>
        </w:rPr>
        <w:t>it was agreed that “</w:t>
      </w:r>
      <w:r w:rsidR="007F0EEB" w:rsidRPr="00B8226B">
        <w:rPr>
          <w:b w:val="0"/>
          <w:i/>
          <w:snapToGrid/>
          <w:color w:val="000000" w:themeColor="text1"/>
          <w:kern w:val="2"/>
          <w:sz w:val="20"/>
          <w:lang w:val="en-US"/>
        </w:rPr>
        <w:t xml:space="preserve">NR Support DFT-S-OFDM based waveform complementary to CP-OFDM waveform, at least for </w:t>
      </w:r>
      <w:proofErr w:type="spellStart"/>
      <w:r w:rsidR="007F0EEB" w:rsidRPr="00B8226B">
        <w:rPr>
          <w:b w:val="0"/>
          <w:i/>
          <w:snapToGrid/>
          <w:color w:val="000000" w:themeColor="text1"/>
          <w:kern w:val="2"/>
          <w:sz w:val="20"/>
          <w:lang w:val="en-US"/>
        </w:rPr>
        <w:t>eMBB</w:t>
      </w:r>
      <w:proofErr w:type="spellEnd"/>
      <w:r w:rsidR="007F0EEB" w:rsidRPr="00B8226B">
        <w:rPr>
          <w:b w:val="0"/>
          <w:i/>
          <w:snapToGrid/>
          <w:color w:val="000000" w:themeColor="text1"/>
          <w:kern w:val="2"/>
          <w:sz w:val="20"/>
          <w:lang w:val="en-US"/>
        </w:rPr>
        <w:t xml:space="preserve"> uplink for up to 40GHz</w:t>
      </w:r>
      <w:r w:rsidR="007F0EEB">
        <w:rPr>
          <w:b w:val="0"/>
          <w:snapToGrid/>
          <w:color w:val="000000" w:themeColor="text1"/>
          <w:kern w:val="2"/>
          <w:sz w:val="20"/>
          <w:lang w:val="en-US"/>
        </w:rPr>
        <w:t>”. Also, RAN1 is currently discussing to support the subcarrier spacing of at least 15, 30, 60, 120, 240, and 480 kHz while the need for smaller subcarrier spacing, e.g., 3.75 kHz is for further study. These agreements, when applied to UL carrier sharing between LTE and NR</w:t>
      </w:r>
      <w:r w:rsidR="00F03979">
        <w:rPr>
          <w:b w:val="0"/>
          <w:snapToGrid/>
          <w:color w:val="000000" w:themeColor="text1"/>
          <w:kern w:val="2"/>
          <w:sz w:val="20"/>
          <w:lang w:val="en-US"/>
        </w:rPr>
        <w:t xml:space="preserve"> via FDM</w:t>
      </w:r>
      <w:r w:rsidR="007F0EEB">
        <w:rPr>
          <w:b w:val="0"/>
          <w:snapToGrid/>
          <w:color w:val="000000" w:themeColor="text1"/>
          <w:kern w:val="2"/>
          <w:sz w:val="20"/>
          <w:lang w:val="en-US"/>
        </w:rPr>
        <w:t>, imp</w:t>
      </w:r>
      <w:r w:rsidR="00F03979">
        <w:rPr>
          <w:b w:val="0"/>
          <w:snapToGrid/>
          <w:color w:val="000000" w:themeColor="text1"/>
          <w:kern w:val="2"/>
          <w:sz w:val="20"/>
          <w:lang w:val="en-US"/>
        </w:rPr>
        <w:t>ly that there could be interference between LTE and NR due to potentially different</w:t>
      </w:r>
      <w:r w:rsidR="00363DD1">
        <w:rPr>
          <w:b w:val="0"/>
          <w:snapToGrid/>
          <w:color w:val="000000" w:themeColor="text1"/>
          <w:kern w:val="2"/>
          <w:sz w:val="20"/>
          <w:lang w:val="en-US"/>
        </w:rPr>
        <w:t xml:space="preserve"> subcarrier spacing and waveforms </w:t>
      </w:r>
      <w:r w:rsidR="00F03979">
        <w:rPr>
          <w:b w:val="0"/>
          <w:snapToGrid/>
          <w:color w:val="000000" w:themeColor="text1"/>
          <w:kern w:val="2"/>
          <w:sz w:val="20"/>
          <w:lang w:val="en-US"/>
        </w:rPr>
        <w:t>[</w:t>
      </w:r>
      <w:r w:rsidR="00363DD1">
        <w:rPr>
          <w:b w:val="0"/>
          <w:snapToGrid/>
          <w:color w:val="000000" w:themeColor="text1"/>
          <w:kern w:val="2"/>
          <w:sz w:val="20"/>
          <w:lang w:val="en-US"/>
        </w:rPr>
        <w:t>3</w:t>
      </w:r>
      <w:r w:rsidR="00F03979">
        <w:rPr>
          <w:b w:val="0"/>
          <w:snapToGrid/>
          <w:color w:val="000000" w:themeColor="text1"/>
          <w:kern w:val="2"/>
          <w:sz w:val="20"/>
          <w:lang w:val="en-US"/>
        </w:rPr>
        <w:t>].</w:t>
      </w:r>
      <w:r w:rsidR="004500F3">
        <w:rPr>
          <w:b w:val="0"/>
          <w:snapToGrid/>
          <w:color w:val="000000" w:themeColor="text1"/>
          <w:kern w:val="2"/>
          <w:sz w:val="20"/>
          <w:lang w:val="en-US"/>
        </w:rPr>
        <w:t xml:space="preserve"> </w:t>
      </w:r>
    </w:p>
    <w:p w14:paraId="66F5C68C" w14:textId="77C219CA" w:rsidR="008C0EFE" w:rsidRPr="008C0EFE" w:rsidRDefault="008C0EFE" w:rsidP="007F0EEB">
      <w:pPr>
        <w:pStyle w:val="LGTdoc1"/>
        <w:spacing w:beforeLines="0" w:before="240" w:after="240" w:afterAutospacing="0"/>
        <w:rPr>
          <w:snapToGrid/>
          <w:kern w:val="2"/>
          <w:sz w:val="20"/>
          <w:lang w:val="en-US"/>
        </w:rPr>
      </w:pPr>
      <w:r>
        <w:rPr>
          <w:snapToGrid/>
          <w:kern w:val="2"/>
          <w:sz w:val="20"/>
          <w:lang w:val="en-US"/>
        </w:rPr>
        <w:t xml:space="preserve">Observation </w:t>
      </w:r>
      <w:r w:rsidR="00363DD1">
        <w:rPr>
          <w:snapToGrid/>
          <w:kern w:val="2"/>
          <w:sz w:val="20"/>
          <w:lang w:val="en-US"/>
        </w:rPr>
        <w:t>3</w:t>
      </w:r>
      <w:r w:rsidRPr="00FC7BBB">
        <w:rPr>
          <w:snapToGrid/>
          <w:kern w:val="2"/>
          <w:sz w:val="20"/>
          <w:lang w:val="en-US"/>
        </w:rPr>
        <w:t xml:space="preserve">: </w:t>
      </w:r>
      <w:r>
        <w:rPr>
          <w:snapToGrid/>
          <w:kern w:val="2"/>
          <w:sz w:val="20"/>
          <w:lang w:val="en-US"/>
        </w:rPr>
        <w:t>When</w:t>
      </w:r>
      <w:r w:rsidR="00A93183">
        <w:rPr>
          <w:snapToGrid/>
          <w:kern w:val="2"/>
          <w:sz w:val="20"/>
          <w:lang w:val="en-US"/>
        </w:rPr>
        <w:t xml:space="preserve"> </w:t>
      </w:r>
      <w:r w:rsidR="00A93183" w:rsidRPr="00A93183">
        <w:rPr>
          <w:snapToGrid/>
          <w:kern w:val="2"/>
          <w:sz w:val="20"/>
          <w:lang w:val="en-US"/>
        </w:rPr>
        <w:t>UL carrier</w:t>
      </w:r>
      <w:r w:rsidR="00A93183">
        <w:rPr>
          <w:snapToGrid/>
          <w:kern w:val="2"/>
          <w:sz w:val="20"/>
          <w:lang w:val="en-US"/>
        </w:rPr>
        <w:t xml:space="preserve"> is shared between </w:t>
      </w:r>
      <w:r w:rsidR="00A93183" w:rsidRPr="00A93183">
        <w:rPr>
          <w:snapToGrid/>
          <w:kern w:val="2"/>
          <w:sz w:val="20"/>
          <w:lang w:val="en-US"/>
        </w:rPr>
        <w:t xml:space="preserve">LTE and NR via FDM, there could be interference between LTE and NR due to potentially different </w:t>
      </w:r>
      <w:r w:rsidR="00363DD1">
        <w:rPr>
          <w:snapToGrid/>
          <w:kern w:val="2"/>
          <w:sz w:val="20"/>
          <w:lang w:val="en-US"/>
        </w:rPr>
        <w:t>subcarrier spacing and waveforms</w:t>
      </w:r>
      <w:r w:rsidR="00A93183">
        <w:rPr>
          <w:snapToGrid/>
          <w:kern w:val="2"/>
          <w:sz w:val="20"/>
          <w:lang w:val="en-US"/>
        </w:rPr>
        <w:t>.</w:t>
      </w:r>
      <w:r>
        <w:rPr>
          <w:snapToGrid/>
          <w:kern w:val="2"/>
          <w:sz w:val="20"/>
          <w:lang w:val="en-US"/>
        </w:rPr>
        <w:t xml:space="preserve"> </w:t>
      </w:r>
    </w:p>
    <w:p w14:paraId="30D6901B" w14:textId="77777777" w:rsidR="00CE7AB1" w:rsidRDefault="00E54C1A" w:rsidP="007F0EEB">
      <w:pPr>
        <w:pStyle w:val="LGTdoc1"/>
        <w:spacing w:beforeLines="0" w:before="240" w:after="240" w:afterAutospacing="0"/>
        <w:rPr>
          <w:b w:val="0"/>
          <w:snapToGrid/>
          <w:color w:val="000000" w:themeColor="text1"/>
          <w:kern w:val="2"/>
          <w:sz w:val="20"/>
          <w:lang w:val="en-US"/>
        </w:rPr>
      </w:pPr>
      <w:r>
        <w:rPr>
          <w:b w:val="0"/>
          <w:snapToGrid/>
          <w:color w:val="000000" w:themeColor="text1"/>
          <w:kern w:val="2"/>
          <w:sz w:val="20"/>
          <w:lang w:val="en-US"/>
        </w:rPr>
        <w:lastRenderedPageBreak/>
        <w:t>In</w:t>
      </w:r>
      <w:r w:rsidR="009B7F10">
        <w:rPr>
          <w:b w:val="0"/>
          <w:snapToGrid/>
          <w:color w:val="000000" w:themeColor="text1"/>
          <w:kern w:val="2"/>
          <w:sz w:val="20"/>
          <w:lang w:val="en-US"/>
        </w:rPr>
        <w:t xml:space="preserve"> view of multiplexing DFT-S-OFDM and CP-OFDM waveforms, the interference between different waveforms would not be a concern. From the subcarrier mapping point of view, the operation between the two waveforms are indeed not different except that the former requires DFT preprocessing.</w:t>
      </w:r>
      <w:r w:rsidR="005746DE">
        <w:rPr>
          <w:b w:val="0"/>
          <w:snapToGrid/>
          <w:color w:val="000000" w:themeColor="text1"/>
          <w:kern w:val="2"/>
          <w:sz w:val="20"/>
          <w:lang w:val="en-US"/>
        </w:rPr>
        <w:t xml:space="preserve"> </w:t>
      </w:r>
      <w:r w:rsidR="00565C40">
        <w:rPr>
          <w:b w:val="0"/>
          <w:snapToGrid/>
          <w:color w:val="000000" w:themeColor="text1"/>
          <w:kern w:val="2"/>
          <w:sz w:val="20"/>
          <w:lang w:val="en-US"/>
        </w:rPr>
        <w:t xml:space="preserve">On the other hand, </w:t>
      </w:r>
      <w:r w:rsidR="00EA5986">
        <w:rPr>
          <w:b w:val="0"/>
          <w:snapToGrid/>
          <w:color w:val="000000" w:themeColor="text1"/>
          <w:kern w:val="2"/>
          <w:sz w:val="20"/>
          <w:lang w:val="en-US"/>
        </w:rPr>
        <w:t>w</w:t>
      </w:r>
      <w:r w:rsidR="004500F3">
        <w:rPr>
          <w:b w:val="0"/>
          <w:snapToGrid/>
          <w:color w:val="000000" w:themeColor="text1"/>
          <w:kern w:val="2"/>
          <w:sz w:val="20"/>
          <w:lang w:val="en-US"/>
        </w:rPr>
        <w:t>hen different numerologies are frequency multiplexed, the subcarriers of different spacing are no longer orthogonal</w:t>
      </w:r>
      <w:r w:rsidR="009B7F10">
        <w:rPr>
          <w:b w:val="0"/>
          <w:snapToGrid/>
          <w:color w:val="000000" w:themeColor="text1"/>
          <w:kern w:val="2"/>
          <w:sz w:val="20"/>
          <w:lang w:val="en-US"/>
        </w:rPr>
        <w:t xml:space="preserve">, which will induce inter-carrier interference. </w:t>
      </w:r>
      <w:r w:rsidR="00B2365F">
        <w:rPr>
          <w:b w:val="0"/>
          <w:snapToGrid/>
          <w:color w:val="000000" w:themeColor="text1"/>
          <w:kern w:val="2"/>
          <w:sz w:val="20"/>
          <w:lang w:val="en-US"/>
        </w:rPr>
        <w:t>In order to decide how much guard band will be necessary, evaluation studies are needed for the possible NR subcarrier spacing o</w:t>
      </w:r>
      <w:r w:rsidR="005746DE">
        <w:rPr>
          <w:b w:val="0"/>
          <w:snapToGrid/>
          <w:color w:val="000000" w:themeColor="text1"/>
          <w:kern w:val="2"/>
          <w:sz w:val="20"/>
          <w:lang w:val="en-US"/>
        </w:rPr>
        <w:t xml:space="preserve">ptions. </w:t>
      </w:r>
      <w:r w:rsidR="000F2458">
        <w:rPr>
          <w:b w:val="0"/>
          <w:snapToGrid/>
          <w:color w:val="000000" w:themeColor="text1"/>
          <w:kern w:val="2"/>
          <w:sz w:val="20"/>
          <w:lang w:val="en-US"/>
        </w:rPr>
        <w:t>On the other hand, the issue</w:t>
      </w:r>
      <w:r w:rsidR="00C12233">
        <w:rPr>
          <w:b w:val="0"/>
          <w:snapToGrid/>
          <w:color w:val="000000" w:themeColor="text1"/>
          <w:kern w:val="2"/>
          <w:sz w:val="20"/>
          <w:lang w:val="en-US"/>
        </w:rPr>
        <w:t>s</w:t>
      </w:r>
      <w:r w:rsidR="000F2458">
        <w:rPr>
          <w:b w:val="0"/>
          <w:snapToGrid/>
          <w:color w:val="000000" w:themeColor="text1"/>
          <w:kern w:val="2"/>
          <w:sz w:val="20"/>
          <w:lang w:val="en-US"/>
        </w:rPr>
        <w:t xml:space="preserve"> of multiplexing different waveforms/numerologies will naturally arise in the </w:t>
      </w:r>
      <w:r w:rsidR="00A60E13">
        <w:rPr>
          <w:b w:val="0"/>
          <w:snapToGrid/>
          <w:color w:val="000000" w:themeColor="text1"/>
          <w:kern w:val="2"/>
          <w:sz w:val="20"/>
          <w:lang w:val="en-US"/>
        </w:rPr>
        <w:t>NR UL itself as a consequence of supporting multiple options/combinations</w:t>
      </w:r>
      <w:r w:rsidR="000F2458">
        <w:rPr>
          <w:b w:val="0"/>
          <w:snapToGrid/>
          <w:color w:val="000000" w:themeColor="text1"/>
          <w:kern w:val="2"/>
          <w:sz w:val="20"/>
          <w:lang w:val="en-US"/>
        </w:rPr>
        <w:t>,</w:t>
      </w:r>
      <w:r w:rsidR="006711AB">
        <w:rPr>
          <w:b w:val="0"/>
          <w:snapToGrid/>
          <w:color w:val="000000" w:themeColor="text1"/>
          <w:kern w:val="2"/>
          <w:sz w:val="20"/>
          <w:lang w:val="en-US"/>
        </w:rPr>
        <w:t xml:space="preserve"> and such issues are not confined with the </w:t>
      </w:r>
      <w:r w:rsidR="000F2458">
        <w:rPr>
          <w:b w:val="0"/>
          <w:snapToGrid/>
          <w:color w:val="000000" w:themeColor="text1"/>
          <w:kern w:val="2"/>
          <w:sz w:val="20"/>
          <w:lang w:val="en-US"/>
        </w:rPr>
        <w:t>LTE-NR coexistence</w:t>
      </w:r>
      <w:r w:rsidR="005746DE">
        <w:rPr>
          <w:b w:val="0"/>
          <w:snapToGrid/>
          <w:color w:val="000000" w:themeColor="text1"/>
          <w:kern w:val="2"/>
          <w:sz w:val="20"/>
          <w:lang w:val="en-US"/>
        </w:rPr>
        <w:t xml:space="preserve"> scenarios</w:t>
      </w:r>
      <w:r w:rsidR="006711AB">
        <w:rPr>
          <w:b w:val="0"/>
          <w:snapToGrid/>
          <w:color w:val="000000" w:themeColor="text1"/>
          <w:kern w:val="2"/>
          <w:sz w:val="20"/>
          <w:lang w:val="en-US"/>
        </w:rPr>
        <w:t xml:space="preserve"> only</w:t>
      </w:r>
      <w:r w:rsidR="000F2458">
        <w:rPr>
          <w:b w:val="0"/>
          <w:snapToGrid/>
          <w:color w:val="000000" w:themeColor="text1"/>
          <w:kern w:val="2"/>
          <w:sz w:val="20"/>
          <w:lang w:val="en-US"/>
        </w:rPr>
        <w:t xml:space="preserve">. </w:t>
      </w:r>
    </w:p>
    <w:p w14:paraId="37DD38CE" w14:textId="3DB35F55" w:rsidR="00CE7AB1" w:rsidRPr="00886760" w:rsidRDefault="00CE7AB1" w:rsidP="00CE7AB1">
      <w:pPr>
        <w:pStyle w:val="LGTdoc1"/>
        <w:spacing w:beforeLines="0" w:before="240" w:after="240" w:afterAutospacing="0"/>
        <w:rPr>
          <w:snapToGrid/>
          <w:kern w:val="2"/>
          <w:sz w:val="20"/>
          <w:lang w:val="en-US"/>
        </w:rPr>
      </w:pPr>
      <w:r>
        <w:rPr>
          <w:snapToGrid/>
          <w:kern w:val="2"/>
          <w:sz w:val="20"/>
          <w:lang w:val="en-US"/>
        </w:rPr>
        <w:t>Proposal 2</w:t>
      </w:r>
      <w:r w:rsidRPr="00FC7BBB">
        <w:rPr>
          <w:snapToGrid/>
          <w:kern w:val="2"/>
          <w:sz w:val="20"/>
          <w:lang w:val="en-US"/>
        </w:rPr>
        <w:t xml:space="preserve">: </w:t>
      </w:r>
      <w:r>
        <w:rPr>
          <w:snapToGrid/>
          <w:kern w:val="2"/>
          <w:sz w:val="20"/>
          <w:lang w:val="en-US"/>
        </w:rPr>
        <w:t xml:space="preserve">The TDM approach is prioritized over FDM approach for UL carrier sharing between LTE and NR for Release 15. </w:t>
      </w:r>
    </w:p>
    <w:p w14:paraId="3CD8FC4C" w14:textId="780DA3DF" w:rsidR="00CE7AB1" w:rsidRPr="0037303E" w:rsidRDefault="00ED299E" w:rsidP="00CE7AB1">
      <w:pPr>
        <w:pStyle w:val="LGTdoc"/>
        <w:numPr>
          <w:ilvl w:val="1"/>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D</w:t>
      </w:r>
      <w:r w:rsidR="007872B5">
        <w:rPr>
          <w:rFonts w:ascii="Arial" w:hAnsi="Arial" w:cs="Arial"/>
          <w:b/>
          <w:snapToGrid w:val="0"/>
          <w:kern w:val="0"/>
          <w:sz w:val="28"/>
          <w:szCs w:val="20"/>
          <w:lang w:val="en-US"/>
        </w:rPr>
        <w:t xml:space="preserve">uplexer </w:t>
      </w:r>
      <w:r w:rsidR="00382FCE">
        <w:rPr>
          <w:rFonts w:ascii="Arial" w:hAnsi="Arial" w:cs="Arial"/>
          <w:b/>
          <w:snapToGrid w:val="0"/>
          <w:kern w:val="0"/>
          <w:sz w:val="28"/>
          <w:szCs w:val="20"/>
          <w:lang w:val="en-US"/>
        </w:rPr>
        <w:t xml:space="preserve">and </w:t>
      </w:r>
      <w:proofErr w:type="spellStart"/>
      <w:r w:rsidR="00382FCE">
        <w:rPr>
          <w:rFonts w:ascii="Arial" w:hAnsi="Arial" w:cs="Arial"/>
          <w:b/>
          <w:snapToGrid w:val="0"/>
          <w:kern w:val="0"/>
          <w:sz w:val="28"/>
          <w:szCs w:val="20"/>
          <w:lang w:val="en-US"/>
        </w:rPr>
        <w:t>subframe</w:t>
      </w:r>
      <w:proofErr w:type="spellEnd"/>
      <w:r w:rsidR="00382FCE">
        <w:rPr>
          <w:rFonts w:ascii="Arial" w:hAnsi="Arial" w:cs="Arial"/>
          <w:b/>
          <w:snapToGrid w:val="0"/>
          <w:kern w:val="0"/>
          <w:sz w:val="28"/>
          <w:szCs w:val="20"/>
          <w:lang w:val="en-US"/>
        </w:rPr>
        <w:t xml:space="preserve"> alignment</w:t>
      </w:r>
    </w:p>
    <w:p w14:paraId="4D9544F1" w14:textId="5681A678" w:rsidR="00036D9C" w:rsidRPr="007872B5" w:rsidRDefault="00DA7356" w:rsidP="007872B5">
      <w:pPr>
        <w:pStyle w:val="LGTdoc1"/>
        <w:spacing w:beforeLines="0" w:before="120" w:after="120" w:afterAutospacing="0"/>
        <w:rPr>
          <w:b w:val="0"/>
          <w:snapToGrid/>
          <w:color w:val="000000" w:themeColor="text1"/>
          <w:kern w:val="2"/>
          <w:sz w:val="20"/>
        </w:rPr>
      </w:pPr>
      <w:r>
        <w:rPr>
          <w:b w:val="0"/>
          <w:snapToGrid/>
          <w:color w:val="000000" w:themeColor="text1"/>
          <w:kern w:val="2"/>
          <w:sz w:val="20"/>
        </w:rPr>
        <w:t xml:space="preserve">NR deployments on the NR spectrums such as 3~4 GHz and 24~28 GHz are likely based on TDD. The TDD operations benefit NR UEs to not have duplexer for simultaneous </w:t>
      </w:r>
      <w:proofErr w:type="spellStart"/>
      <w:proofErr w:type="gramStart"/>
      <w:r>
        <w:rPr>
          <w:b w:val="0"/>
          <w:snapToGrid/>
          <w:color w:val="000000" w:themeColor="text1"/>
          <w:kern w:val="2"/>
          <w:sz w:val="20"/>
        </w:rPr>
        <w:t>Tx</w:t>
      </w:r>
      <w:proofErr w:type="spellEnd"/>
      <w:proofErr w:type="gramEnd"/>
      <w:r>
        <w:rPr>
          <w:b w:val="0"/>
          <w:snapToGrid/>
          <w:color w:val="000000" w:themeColor="text1"/>
          <w:kern w:val="2"/>
          <w:sz w:val="20"/>
        </w:rPr>
        <w:t xml:space="preserve"> and Rx for UL and DL, respectively. In order to retain this benefit</w:t>
      </w:r>
      <w:r w:rsidRPr="00E05ABF">
        <w:rPr>
          <w:b w:val="0"/>
          <w:snapToGrid/>
          <w:color w:val="000000" w:themeColor="text1"/>
          <w:kern w:val="2"/>
          <w:sz w:val="20"/>
        </w:rPr>
        <w:t xml:space="preserve"> </w:t>
      </w:r>
      <w:r>
        <w:rPr>
          <w:b w:val="0"/>
          <w:snapToGrid/>
          <w:color w:val="000000" w:themeColor="text1"/>
          <w:kern w:val="2"/>
          <w:sz w:val="20"/>
        </w:rPr>
        <w:t xml:space="preserve">in the LTE/NR UL sharing scenarios, the shared NR UL provisioned on the LTE spectrum and the NR UL configured on an NR spectrum should be aligned each other. Otherwise, NR UEs should be equipped with duplexer to separate DL Rx on the NR spectrum and UL </w:t>
      </w:r>
      <w:proofErr w:type="spellStart"/>
      <w:proofErr w:type="gramStart"/>
      <w:r>
        <w:rPr>
          <w:b w:val="0"/>
          <w:snapToGrid/>
          <w:color w:val="000000" w:themeColor="text1"/>
          <w:kern w:val="2"/>
          <w:sz w:val="20"/>
        </w:rPr>
        <w:t>Tx</w:t>
      </w:r>
      <w:proofErr w:type="spellEnd"/>
      <w:proofErr w:type="gramEnd"/>
      <w:r>
        <w:rPr>
          <w:b w:val="0"/>
          <w:snapToGrid/>
          <w:color w:val="000000" w:themeColor="text1"/>
          <w:kern w:val="2"/>
          <w:sz w:val="20"/>
        </w:rPr>
        <w:t xml:space="preserve"> on the shared LTE spectrum, and feasibility of this hybrid TDD/FDD operations is somewhat unclear. This limits the NR </w:t>
      </w:r>
      <w:proofErr w:type="spellStart"/>
      <w:r>
        <w:rPr>
          <w:b w:val="0"/>
          <w:snapToGrid/>
          <w:color w:val="000000" w:themeColor="text1"/>
          <w:kern w:val="2"/>
          <w:sz w:val="20"/>
        </w:rPr>
        <w:t>gNB</w:t>
      </w:r>
      <w:proofErr w:type="spellEnd"/>
      <w:r>
        <w:rPr>
          <w:b w:val="0"/>
          <w:snapToGrid/>
          <w:color w:val="000000" w:themeColor="text1"/>
          <w:kern w:val="2"/>
          <w:sz w:val="20"/>
        </w:rPr>
        <w:t xml:space="preserve"> from flexibly and adaptively using resources on the NR spectrum. Practically, the NR resource which is to be aligned with the NR UL provisioned on the LTE spectrum should be semi-statically configured as UL slots as well. Furthermore, the LTE/NR UL sharing requires that NR UEs should activate the RF paths for the both spectrums and be ready </w:t>
      </w:r>
      <w:bookmarkStart w:id="4" w:name="_GoBack"/>
      <w:bookmarkEnd w:id="4"/>
      <w:r>
        <w:rPr>
          <w:b w:val="0"/>
          <w:snapToGrid/>
          <w:color w:val="000000" w:themeColor="text1"/>
          <w:kern w:val="2"/>
          <w:sz w:val="20"/>
        </w:rPr>
        <w:t>to do UL transmissions through either (or both) paths whenever scheduled.</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0E233EC1" w14:textId="146EAEAF" w:rsidR="00616D0D" w:rsidRPr="00616D0D" w:rsidRDefault="00616D0D" w:rsidP="00616D0D">
      <w:pPr>
        <w:pStyle w:val="LGTdoc"/>
        <w:spacing w:before="120" w:afterLines="0" w:line="240" w:lineRule="auto"/>
        <w:rPr>
          <w:sz w:val="20"/>
          <w:lang w:val="en-US"/>
        </w:rPr>
      </w:pPr>
      <w:r>
        <w:rPr>
          <w:sz w:val="20"/>
          <w:szCs w:val="20"/>
          <w:lang w:val="en-US"/>
        </w:rPr>
        <w:t xml:space="preserve">In this contribution, various potential issues stemmed from sharing the UL carrier between LTE and NR were discussed. To this end, the following observations and proposals were derived. </w:t>
      </w:r>
    </w:p>
    <w:p w14:paraId="5247A0B2" w14:textId="28FF1D14" w:rsidR="00616D0D" w:rsidRDefault="00616D0D" w:rsidP="00616D0D">
      <w:pPr>
        <w:pStyle w:val="LGTdoc1"/>
        <w:spacing w:beforeLines="0" w:before="240" w:after="240" w:afterAutospacing="0"/>
        <w:rPr>
          <w:snapToGrid/>
          <w:kern w:val="2"/>
          <w:sz w:val="20"/>
          <w:lang w:val="en-US"/>
        </w:rPr>
      </w:pPr>
      <w:r>
        <w:rPr>
          <w:snapToGrid/>
          <w:kern w:val="2"/>
          <w:sz w:val="20"/>
          <w:lang w:val="en-US"/>
        </w:rPr>
        <w:t>Observation 1</w:t>
      </w:r>
      <w:r w:rsidRPr="00FC7BBB">
        <w:rPr>
          <w:snapToGrid/>
          <w:kern w:val="2"/>
          <w:sz w:val="20"/>
          <w:lang w:val="en-US"/>
        </w:rPr>
        <w:t xml:space="preserve">: </w:t>
      </w:r>
      <w:r>
        <w:rPr>
          <w:snapToGrid/>
          <w:kern w:val="2"/>
          <w:sz w:val="20"/>
          <w:lang w:val="en-US"/>
        </w:rPr>
        <w:t xml:space="preserve">In LTE UL, there are </w:t>
      </w:r>
      <w:r w:rsidRPr="00722580">
        <w:rPr>
          <w:snapToGrid/>
          <w:kern w:val="2"/>
          <w:sz w:val="20"/>
          <w:lang w:val="en-US"/>
        </w:rPr>
        <w:t>periodic transmission</w:t>
      </w:r>
      <w:r>
        <w:rPr>
          <w:snapToGrid/>
          <w:kern w:val="2"/>
          <w:sz w:val="20"/>
          <w:lang w:val="en-US"/>
        </w:rPr>
        <w:t>s</w:t>
      </w:r>
      <w:r w:rsidRPr="00722580">
        <w:rPr>
          <w:snapToGrid/>
          <w:kern w:val="2"/>
          <w:sz w:val="20"/>
          <w:lang w:val="en-US"/>
        </w:rPr>
        <w:t xml:space="preserve"> or transmission opportunities</w:t>
      </w:r>
      <w:r>
        <w:rPr>
          <w:snapToGrid/>
          <w:kern w:val="2"/>
          <w:sz w:val="20"/>
          <w:lang w:val="en-US"/>
        </w:rPr>
        <w:t>, e.g., PRACH, SRS,</w:t>
      </w:r>
      <w:r w:rsidRPr="00722580">
        <w:rPr>
          <w:snapToGrid/>
          <w:kern w:val="2"/>
          <w:sz w:val="20"/>
          <w:lang w:val="en-US"/>
        </w:rPr>
        <w:t xml:space="preserve"> </w:t>
      </w:r>
      <w:r>
        <w:rPr>
          <w:snapToGrid/>
          <w:kern w:val="2"/>
          <w:sz w:val="20"/>
          <w:lang w:val="en-US"/>
        </w:rPr>
        <w:t xml:space="preserve">which require dedicated resources. </w:t>
      </w:r>
    </w:p>
    <w:p w14:paraId="34011A6A" w14:textId="77777777" w:rsidR="00616D0D" w:rsidRPr="00886760" w:rsidRDefault="00616D0D" w:rsidP="00616D0D">
      <w:pPr>
        <w:pStyle w:val="LGTdoc1"/>
        <w:spacing w:beforeLines="0" w:before="240" w:after="240" w:afterAutospacing="0"/>
        <w:rPr>
          <w:snapToGrid/>
          <w:kern w:val="2"/>
          <w:sz w:val="20"/>
          <w:lang w:val="en-US"/>
        </w:rPr>
      </w:pPr>
      <w:r>
        <w:rPr>
          <w:snapToGrid/>
          <w:kern w:val="2"/>
          <w:sz w:val="20"/>
          <w:lang w:val="en-US"/>
        </w:rPr>
        <w:t>Proposal 1</w:t>
      </w:r>
      <w:r w:rsidRPr="00FC7BBB">
        <w:rPr>
          <w:snapToGrid/>
          <w:kern w:val="2"/>
          <w:sz w:val="20"/>
          <w:lang w:val="en-US"/>
        </w:rPr>
        <w:t xml:space="preserve">: </w:t>
      </w:r>
      <w:r>
        <w:rPr>
          <w:snapToGrid/>
          <w:kern w:val="2"/>
          <w:sz w:val="20"/>
          <w:lang w:val="en-US"/>
        </w:rPr>
        <w:t xml:space="preserve">The </w:t>
      </w:r>
      <w:r w:rsidRPr="00722580">
        <w:rPr>
          <w:snapToGrid/>
          <w:kern w:val="2"/>
          <w:sz w:val="20"/>
          <w:lang w:val="en-US"/>
        </w:rPr>
        <w:t xml:space="preserve">NR UL design should provide </w:t>
      </w:r>
      <w:r>
        <w:rPr>
          <w:snapToGrid/>
          <w:kern w:val="2"/>
          <w:sz w:val="20"/>
          <w:lang w:val="en-US"/>
        </w:rPr>
        <w:t>sufficient</w:t>
      </w:r>
      <w:r w:rsidRPr="00722580">
        <w:rPr>
          <w:snapToGrid/>
          <w:kern w:val="2"/>
          <w:sz w:val="20"/>
          <w:lang w:val="en-US"/>
        </w:rPr>
        <w:t xml:space="preserve"> flexibility such that potential NR UL periodic transmission</w:t>
      </w:r>
      <w:r>
        <w:rPr>
          <w:snapToGrid/>
          <w:kern w:val="2"/>
          <w:sz w:val="20"/>
          <w:lang w:val="en-US"/>
        </w:rPr>
        <w:t>s</w:t>
      </w:r>
      <w:r w:rsidRPr="00722580">
        <w:rPr>
          <w:snapToGrid/>
          <w:kern w:val="2"/>
          <w:sz w:val="20"/>
          <w:lang w:val="en-US"/>
        </w:rPr>
        <w:t xml:space="preserve"> or transmission opportunities can be configured while avoiding the </w:t>
      </w:r>
      <w:r>
        <w:rPr>
          <w:snapToGrid/>
          <w:kern w:val="2"/>
          <w:sz w:val="20"/>
          <w:lang w:val="en-US"/>
        </w:rPr>
        <w:t xml:space="preserve">time/frequency resource </w:t>
      </w:r>
      <w:r w:rsidRPr="00722580">
        <w:rPr>
          <w:snapToGrid/>
          <w:kern w:val="2"/>
          <w:sz w:val="20"/>
          <w:lang w:val="en-US"/>
        </w:rPr>
        <w:t xml:space="preserve">that are </w:t>
      </w:r>
      <w:r>
        <w:rPr>
          <w:snapToGrid/>
          <w:kern w:val="2"/>
          <w:sz w:val="20"/>
          <w:lang w:val="en-US"/>
        </w:rPr>
        <w:t>periodically configured by</w:t>
      </w:r>
      <w:r w:rsidRPr="00722580">
        <w:rPr>
          <w:snapToGrid/>
          <w:kern w:val="2"/>
          <w:sz w:val="20"/>
          <w:lang w:val="en-US"/>
        </w:rPr>
        <w:t xml:space="preserve"> LTE.</w:t>
      </w:r>
      <w:r>
        <w:rPr>
          <w:snapToGrid/>
          <w:kern w:val="2"/>
          <w:sz w:val="20"/>
          <w:lang w:val="en-US"/>
        </w:rPr>
        <w:t xml:space="preserve"> </w:t>
      </w:r>
    </w:p>
    <w:p w14:paraId="3F6B8D14" w14:textId="77777777" w:rsidR="00616D0D" w:rsidRPr="00A1740A" w:rsidRDefault="00616D0D" w:rsidP="00616D0D">
      <w:pPr>
        <w:pStyle w:val="LGTdoc1"/>
        <w:spacing w:beforeLines="0" w:before="240" w:after="240" w:afterAutospacing="0"/>
        <w:rPr>
          <w:snapToGrid/>
          <w:kern w:val="2"/>
          <w:sz w:val="20"/>
          <w:lang w:val="en-US"/>
        </w:rPr>
      </w:pPr>
      <w:r>
        <w:rPr>
          <w:snapToGrid/>
          <w:kern w:val="2"/>
          <w:sz w:val="20"/>
          <w:lang w:val="en-US"/>
        </w:rPr>
        <w:t>Observation 2</w:t>
      </w:r>
      <w:r w:rsidRPr="00FC7BBB">
        <w:rPr>
          <w:snapToGrid/>
          <w:kern w:val="2"/>
          <w:sz w:val="20"/>
          <w:lang w:val="en-US"/>
        </w:rPr>
        <w:t xml:space="preserve">: </w:t>
      </w:r>
      <w:r>
        <w:rPr>
          <w:snapToGrid/>
          <w:kern w:val="2"/>
          <w:sz w:val="20"/>
          <w:lang w:val="en-US"/>
        </w:rPr>
        <w:t xml:space="preserve">The UL carrier sharing via FDM approach would require more tight coordination between </w:t>
      </w:r>
      <w:proofErr w:type="spellStart"/>
      <w:r>
        <w:rPr>
          <w:snapToGrid/>
          <w:kern w:val="2"/>
          <w:sz w:val="20"/>
          <w:lang w:val="en-US"/>
        </w:rPr>
        <w:t>gNB</w:t>
      </w:r>
      <w:proofErr w:type="spellEnd"/>
      <w:r>
        <w:rPr>
          <w:snapToGrid/>
          <w:kern w:val="2"/>
          <w:sz w:val="20"/>
          <w:lang w:val="en-US"/>
        </w:rPr>
        <w:t xml:space="preserve"> and </w:t>
      </w:r>
      <w:proofErr w:type="spellStart"/>
      <w:r>
        <w:rPr>
          <w:snapToGrid/>
          <w:kern w:val="2"/>
          <w:sz w:val="20"/>
          <w:lang w:val="en-US"/>
        </w:rPr>
        <w:t>eNB</w:t>
      </w:r>
      <w:proofErr w:type="spellEnd"/>
      <w:r>
        <w:rPr>
          <w:snapToGrid/>
          <w:kern w:val="2"/>
          <w:sz w:val="20"/>
          <w:lang w:val="en-US"/>
        </w:rPr>
        <w:t xml:space="preserve"> to avoid scheduling conflicts. </w:t>
      </w:r>
    </w:p>
    <w:p w14:paraId="3017A188" w14:textId="77777777" w:rsidR="00616D0D" w:rsidRPr="008C0EFE" w:rsidRDefault="00616D0D" w:rsidP="00616D0D">
      <w:pPr>
        <w:pStyle w:val="LGTdoc1"/>
        <w:spacing w:beforeLines="0" w:before="240" w:after="240" w:afterAutospacing="0"/>
        <w:rPr>
          <w:snapToGrid/>
          <w:kern w:val="2"/>
          <w:sz w:val="20"/>
          <w:lang w:val="en-US"/>
        </w:rPr>
      </w:pPr>
      <w:r>
        <w:rPr>
          <w:snapToGrid/>
          <w:kern w:val="2"/>
          <w:sz w:val="20"/>
          <w:lang w:val="en-US"/>
        </w:rPr>
        <w:t>Observation 3</w:t>
      </w:r>
      <w:r w:rsidRPr="00FC7BBB">
        <w:rPr>
          <w:snapToGrid/>
          <w:kern w:val="2"/>
          <w:sz w:val="20"/>
          <w:lang w:val="en-US"/>
        </w:rPr>
        <w:t xml:space="preserve">: </w:t>
      </w:r>
      <w:r>
        <w:rPr>
          <w:snapToGrid/>
          <w:kern w:val="2"/>
          <w:sz w:val="20"/>
          <w:lang w:val="en-US"/>
        </w:rPr>
        <w:t xml:space="preserve">When </w:t>
      </w:r>
      <w:r w:rsidRPr="00A93183">
        <w:rPr>
          <w:snapToGrid/>
          <w:kern w:val="2"/>
          <w:sz w:val="20"/>
          <w:lang w:val="en-US"/>
        </w:rPr>
        <w:t>UL carrier</w:t>
      </w:r>
      <w:r>
        <w:rPr>
          <w:snapToGrid/>
          <w:kern w:val="2"/>
          <w:sz w:val="20"/>
          <w:lang w:val="en-US"/>
        </w:rPr>
        <w:t xml:space="preserve"> is shared between </w:t>
      </w:r>
      <w:r w:rsidRPr="00A93183">
        <w:rPr>
          <w:snapToGrid/>
          <w:kern w:val="2"/>
          <w:sz w:val="20"/>
          <w:lang w:val="en-US"/>
        </w:rPr>
        <w:t xml:space="preserve">LTE and NR via FDM, there could be interference between LTE and NR due to potentially different </w:t>
      </w:r>
      <w:r>
        <w:rPr>
          <w:snapToGrid/>
          <w:kern w:val="2"/>
          <w:sz w:val="20"/>
          <w:lang w:val="en-US"/>
        </w:rPr>
        <w:t xml:space="preserve">subcarrier spacing and waveforms. </w:t>
      </w:r>
    </w:p>
    <w:p w14:paraId="35B91C9E" w14:textId="0A82A6B8" w:rsidR="003A4CD3" w:rsidRPr="00616D0D" w:rsidRDefault="00616D0D" w:rsidP="00616D0D">
      <w:pPr>
        <w:pStyle w:val="LGTdoc1"/>
        <w:spacing w:beforeLines="0" w:before="240" w:after="240" w:afterAutospacing="0"/>
        <w:rPr>
          <w:snapToGrid/>
          <w:kern w:val="2"/>
          <w:sz w:val="20"/>
          <w:lang w:val="en-US"/>
        </w:rPr>
      </w:pPr>
      <w:r>
        <w:rPr>
          <w:snapToGrid/>
          <w:kern w:val="2"/>
          <w:sz w:val="20"/>
          <w:lang w:val="en-US"/>
        </w:rPr>
        <w:t>Proposal 2</w:t>
      </w:r>
      <w:r w:rsidRPr="00FC7BBB">
        <w:rPr>
          <w:snapToGrid/>
          <w:kern w:val="2"/>
          <w:sz w:val="20"/>
          <w:lang w:val="en-US"/>
        </w:rPr>
        <w:t xml:space="preserve">: </w:t>
      </w:r>
      <w:r>
        <w:rPr>
          <w:snapToGrid/>
          <w:kern w:val="2"/>
          <w:sz w:val="20"/>
          <w:lang w:val="en-US"/>
        </w:rPr>
        <w:t xml:space="preserve">The TDM approach is prioritized over FDM approach for UL carrier sharing between LTE and NR for Release 15. </w:t>
      </w: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6A155A6B" w:rsidR="00970EC2"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w:t>
      </w:r>
      <w:r w:rsidR="00BF6FF4">
        <w:rPr>
          <w:sz w:val="20"/>
        </w:rPr>
        <w:t xml:space="preserve"> NR Ad-Hoc</w:t>
      </w:r>
      <w:r w:rsidR="00991F9D" w:rsidRPr="00EF467A">
        <w:rPr>
          <w:sz w:val="20"/>
        </w:rPr>
        <w:t xml:space="preserve">, </w:t>
      </w:r>
      <w:r w:rsidR="00BF6FF4">
        <w:rPr>
          <w:sz w:val="20"/>
        </w:rPr>
        <w:t>January</w:t>
      </w:r>
      <w:r w:rsidR="00991F9D" w:rsidRPr="00EF467A">
        <w:rPr>
          <w:sz w:val="20"/>
        </w:rPr>
        <w:t>, 201</w:t>
      </w:r>
      <w:r w:rsidR="00BF6FF4">
        <w:rPr>
          <w:sz w:val="20"/>
        </w:rPr>
        <w:t>7</w:t>
      </w:r>
    </w:p>
    <w:p w14:paraId="59524AAA" w14:textId="3F6B8692" w:rsidR="00CE5373" w:rsidRPr="00FC7BBB" w:rsidRDefault="00CE5373" w:rsidP="00CE5373">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Pr>
          <w:sz w:val="20"/>
        </w:rPr>
        <w:t>R1-1612009, Efficient coexistence of NR with LTE, Intel Corporation</w:t>
      </w:r>
      <w:r w:rsidRPr="00EF467A">
        <w:rPr>
          <w:sz w:val="20"/>
        </w:rPr>
        <w:t>, 3GPP TSG RAN WG1 Meeting</w:t>
      </w:r>
      <w:r>
        <w:rPr>
          <w:sz w:val="20"/>
        </w:rPr>
        <w:t xml:space="preserve"> #87, November, 2016</w:t>
      </w:r>
    </w:p>
    <w:p w14:paraId="422559E3" w14:textId="01DC43FE" w:rsidR="00385823" w:rsidRPr="00915C3F" w:rsidRDefault="002F0161" w:rsidP="00915C3F">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sidR="00AD59C9">
        <w:rPr>
          <w:sz w:val="20"/>
        </w:rPr>
        <w:t>R1-1</w:t>
      </w:r>
      <w:r w:rsidR="008A2AC4">
        <w:rPr>
          <w:sz w:val="20"/>
        </w:rPr>
        <w:t>700989</w:t>
      </w:r>
      <w:r>
        <w:rPr>
          <w:sz w:val="20"/>
        </w:rPr>
        <w:t>,</w:t>
      </w:r>
      <w:r w:rsidR="008A2AC4">
        <w:rPr>
          <w:sz w:val="20"/>
        </w:rPr>
        <w:t xml:space="preserve"> LTE-NR co-existence for UL, Samsung Electronics</w:t>
      </w:r>
      <w:r w:rsidRPr="00EF467A">
        <w:rPr>
          <w:sz w:val="20"/>
        </w:rPr>
        <w:t>, 3GPP TSG RAN WG1 Meeting</w:t>
      </w:r>
      <w:r w:rsidR="008A2AC4">
        <w:rPr>
          <w:sz w:val="20"/>
        </w:rPr>
        <w:t xml:space="preserve"> NR Ad-Hoc, January, 2017</w:t>
      </w:r>
    </w:p>
    <w:sectPr w:rsidR="00385823" w:rsidRPr="00915C3F" w:rsidSect="00FC27AE">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E7E3E" w14:textId="77777777" w:rsidR="00994B26" w:rsidRDefault="00994B26">
      <w:r>
        <w:separator/>
      </w:r>
    </w:p>
  </w:endnote>
  <w:endnote w:type="continuationSeparator" w:id="0">
    <w:p w14:paraId="065EAE99" w14:textId="77777777" w:rsidR="00994B26" w:rsidRDefault="0099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60280E" w:rsidRDefault="006028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60280E" w:rsidRDefault="006028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60280E" w:rsidRDefault="006028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82FC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FC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862ED" w14:textId="77777777" w:rsidR="00994B26" w:rsidRDefault="00994B26">
      <w:r>
        <w:separator/>
      </w:r>
    </w:p>
  </w:footnote>
  <w:footnote w:type="continuationSeparator" w:id="0">
    <w:p w14:paraId="7D9E65BD" w14:textId="77777777" w:rsidR="00994B26" w:rsidRDefault="00994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60280E" w:rsidRDefault="006028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3"/>
  </w:num>
  <w:num w:numId="4">
    <w:abstractNumId w:val="17"/>
  </w:num>
  <w:num w:numId="5">
    <w:abstractNumId w:val="8"/>
  </w:num>
  <w:num w:numId="6">
    <w:abstractNumId w:val="11"/>
  </w:num>
  <w:num w:numId="7">
    <w:abstractNumId w:val="7"/>
  </w:num>
  <w:num w:numId="8">
    <w:abstractNumId w:val="3"/>
  </w:num>
  <w:num w:numId="9">
    <w:abstractNumId w:val="4"/>
  </w:num>
  <w:num w:numId="10">
    <w:abstractNumId w:val="10"/>
  </w:num>
  <w:num w:numId="11">
    <w:abstractNumId w:val="2"/>
  </w:num>
  <w:num w:numId="12">
    <w:abstractNumId w:val="1"/>
  </w:num>
  <w:num w:numId="13">
    <w:abstractNumId w:val="5"/>
  </w:num>
  <w:num w:numId="14">
    <w:abstractNumId w:val="15"/>
  </w:num>
  <w:num w:numId="15">
    <w:abstractNumId w:val="18"/>
  </w:num>
  <w:num w:numId="16">
    <w:abstractNumId w:val="12"/>
  </w:num>
  <w:num w:numId="17">
    <w:abstractNumId w:val="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56A2"/>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1CA4"/>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47F"/>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458"/>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29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5E"/>
    <w:rsid w:val="001B716B"/>
    <w:rsid w:val="001B748B"/>
    <w:rsid w:val="001C002C"/>
    <w:rsid w:val="001C0085"/>
    <w:rsid w:val="001C04E1"/>
    <w:rsid w:val="001C063F"/>
    <w:rsid w:val="001C080B"/>
    <w:rsid w:val="001C0883"/>
    <w:rsid w:val="001C16A9"/>
    <w:rsid w:val="001C1E53"/>
    <w:rsid w:val="001C211D"/>
    <w:rsid w:val="001C2E60"/>
    <w:rsid w:val="001C3474"/>
    <w:rsid w:val="001C3518"/>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D8E"/>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3D6"/>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11F4"/>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4082"/>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667"/>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48B"/>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3DD1"/>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3E"/>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2FCE"/>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392"/>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BD0"/>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36C"/>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9E1"/>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3FD"/>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5C40"/>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6DE"/>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641"/>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6BA2"/>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6D0D"/>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1AB"/>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58"/>
    <w:rsid w:val="00733A74"/>
    <w:rsid w:val="00733A80"/>
    <w:rsid w:val="00733AA9"/>
    <w:rsid w:val="00733D0B"/>
    <w:rsid w:val="00733E88"/>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2B5"/>
    <w:rsid w:val="0078756D"/>
    <w:rsid w:val="00787736"/>
    <w:rsid w:val="00787977"/>
    <w:rsid w:val="00787A55"/>
    <w:rsid w:val="00787FF1"/>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1A4C"/>
    <w:rsid w:val="00823335"/>
    <w:rsid w:val="008237B2"/>
    <w:rsid w:val="00823F61"/>
    <w:rsid w:val="0082449E"/>
    <w:rsid w:val="008249FF"/>
    <w:rsid w:val="008251EC"/>
    <w:rsid w:val="00825DD4"/>
    <w:rsid w:val="00826204"/>
    <w:rsid w:val="00826306"/>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86D"/>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6BC"/>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760"/>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6A5"/>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0EFE"/>
    <w:rsid w:val="008C2426"/>
    <w:rsid w:val="008C2453"/>
    <w:rsid w:val="008C24AB"/>
    <w:rsid w:val="008C26B4"/>
    <w:rsid w:val="008C28BA"/>
    <w:rsid w:val="008C2AD5"/>
    <w:rsid w:val="008C2FB2"/>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B26"/>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0868"/>
    <w:rsid w:val="009B3221"/>
    <w:rsid w:val="009B346F"/>
    <w:rsid w:val="009B3745"/>
    <w:rsid w:val="009B3C79"/>
    <w:rsid w:val="009B4821"/>
    <w:rsid w:val="009B4BED"/>
    <w:rsid w:val="009B4C24"/>
    <w:rsid w:val="009B5821"/>
    <w:rsid w:val="009B59B0"/>
    <w:rsid w:val="009B616B"/>
    <w:rsid w:val="009B68AD"/>
    <w:rsid w:val="009B6C13"/>
    <w:rsid w:val="009B7865"/>
    <w:rsid w:val="009B7BB7"/>
    <w:rsid w:val="009B7F10"/>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CC2"/>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40A"/>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3"/>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6D6"/>
    <w:rsid w:val="00A71D6B"/>
    <w:rsid w:val="00A71DB0"/>
    <w:rsid w:val="00A72DF9"/>
    <w:rsid w:val="00A73873"/>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183"/>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0B"/>
    <w:rsid w:val="00AC45D6"/>
    <w:rsid w:val="00AC4D53"/>
    <w:rsid w:val="00AC4E2E"/>
    <w:rsid w:val="00AC596D"/>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65F"/>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607"/>
    <w:rsid w:val="00B326BE"/>
    <w:rsid w:val="00B32821"/>
    <w:rsid w:val="00B32CE3"/>
    <w:rsid w:val="00B33595"/>
    <w:rsid w:val="00B3396B"/>
    <w:rsid w:val="00B33CDA"/>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1DA2"/>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436"/>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F1A"/>
    <w:rsid w:val="00C010F5"/>
    <w:rsid w:val="00C0150C"/>
    <w:rsid w:val="00C01835"/>
    <w:rsid w:val="00C01866"/>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33"/>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49AC"/>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373"/>
    <w:rsid w:val="00CE5E50"/>
    <w:rsid w:val="00CE697C"/>
    <w:rsid w:val="00CE69F3"/>
    <w:rsid w:val="00CE6AD5"/>
    <w:rsid w:val="00CE6E24"/>
    <w:rsid w:val="00CE76BD"/>
    <w:rsid w:val="00CE79BC"/>
    <w:rsid w:val="00CE7AB1"/>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830"/>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1E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863"/>
    <w:rsid w:val="00D86B20"/>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356"/>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C1A"/>
    <w:rsid w:val="00E54D33"/>
    <w:rsid w:val="00E553DD"/>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D67"/>
    <w:rsid w:val="00EA3DB9"/>
    <w:rsid w:val="00EA475F"/>
    <w:rsid w:val="00EA4877"/>
    <w:rsid w:val="00EA4AC2"/>
    <w:rsid w:val="00EA5029"/>
    <w:rsid w:val="00EA5335"/>
    <w:rsid w:val="00EA5986"/>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733"/>
    <w:rsid w:val="00EC5A0B"/>
    <w:rsid w:val="00EC5A47"/>
    <w:rsid w:val="00EC5F1A"/>
    <w:rsid w:val="00EC5F44"/>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99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82A"/>
    <w:rsid w:val="00EF0E50"/>
    <w:rsid w:val="00EF118F"/>
    <w:rsid w:val="00EF1BCB"/>
    <w:rsid w:val="00EF20FD"/>
    <w:rsid w:val="00EF251B"/>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548"/>
    <w:rsid w:val="00F377A2"/>
    <w:rsid w:val="00F37922"/>
    <w:rsid w:val="00F37AEF"/>
    <w:rsid w:val="00F4125D"/>
    <w:rsid w:val="00F41F01"/>
    <w:rsid w:val="00F42910"/>
    <w:rsid w:val="00F42C2B"/>
    <w:rsid w:val="00F439C5"/>
    <w:rsid w:val="00F43D1B"/>
    <w:rsid w:val="00F443C0"/>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0B8BE8A-41F7-4F07-871C-CB3082588A9E}">
  <ds:schemaRefs>
    <ds:schemaRef ds:uri="http://schemas.openxmlformats.org/officeDocument/2006/bibliography"/>
  </ds:schemaRefs>
</ds:datastoreItem>
</file>

<file path=customXml/itemProps5.xml><?xml version="1.0" encoding="utf-8"?>
<ds:datastoreItem xmlns:ds="http://schemas.openxmlformats.org/officeDocument/2006/customXml" ds:itemID="{2075C48C-62E7-4E7A-81B9-4C067633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3</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10</cp:revision>
  <cp:lastPrinted>2016-05-14T03:13:00Z</cp:lastPrinted>
  <dcterms:created xsi:type="dcterms:W3CDTF">2017-02-03T08:25:00Z</dcterms:created>
  <dcterms:modified xsi:type="dcterms:W3CDTF">2017-02-07T05:09:00Z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