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5EB96" w14:textId="7CE9BED4" w:rsidR="00F55410" w:rsidRPr="000A64D8" w:rsidRDefault="00F55410" w:rsidP="00F55410">
      <w:pPr>
        <w:tabs>
          <w:tab w:val="right" w:pos="10000"/>
        </w:tabs>
        <w:spacing w:after="0"/>
        <w:rPr>
          <w:rFonts w:ascii="Arial" w:hAnsi="Arial" w:cs="Arial"/>
          <w:b/>
          <w:sz w:val="24"/>
          <w:szCs w:val="24"/>
        </w:rPr>
      </w:pPr>
      <w:r w:rsidRPr="000A64D8">
        <w:rPr>
          <w:rFonts w:ascii="Arial" w:hAnsi="Arial" w:cs="Arial"/>
          <w:b/>
          <w:sz w:val="24"/>
          <w:szCs w:val="24"/>
        </w:rPr>
        <w:t>3GPP TSG-RAN WG1</w:t>
      </w:r>
      <w:r w:rsidR="00051D3D">
        <w:rPr>
          <w:rFonts w:ascii="Arial" w:hAnsi="Arial" w:cs="Arial"/>
          <w:b/>
          <w:sz w:val="24"/>
          <w:szCs w:val="24"/>
        </w:rPr>
        <w:t>#88</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w:t>
      </w:r>
      <w:r w:rsidR="00051D3D">
        <w:rPr>
          <w:rFonts w:ascii="Arial" w:hAnsi="Arial" w:cs="Arial"/>
          <w:b/>
          <w:sz w:val="24"/>
          <w:szCs w:val="24"/>
        </w:rPr>
        <w:t>02626</w:t>
      </w:r>
    </w:p>
    <w:p w14:paraId="61FEAEB7" w14:textId="623F3D35" w:rsidR="00905BC8" w:rsidRDefault="00051D3D" w:rsidP="00905BC8">
      <w:pPr>
        <w:pStyle w:val="Footer"/>
        <w:jc w:val="both"/>
        <w:rPr>
          <w:i w:val="0"/>
          <w:sz w:val="24"/>
          <w:szCs w:val="24"/>
          <w:lang w:val="en-GB" w:eastAsia="ja-JP"/>
        </w:rPr>
      </w:pPr>
      <w:r>
        <w:rPr>
          <w:i w:val="0"/>
          <w:iCs/>
          <w:sz w:val="24"/>
          <w:szCs w:val="24"/>
          <w:lang w:val="en-GB" w:eastAsia="ja-JP"/>
        </w:rPr>
        <w:t>February</w:t>
      </w:r>
      <w:r w:rsidR="00905BC8">
        <w:rPr>
          <w:i w:val="0"/>
          <w:iCs/>
          <w:sz w:val="24"/>
          <w:szCs w:val="24"/>
          <w:lang w:val="en-GB" w:eastAsia="ja-JP"/>
        </w:rPr>
        <w:t xml:space="preserve"> 1</w:t>
      </w:r>
      <w:r>
        <w:rPr>
          <w:i w:val="0"/>
          <w:iCs/>
          <w:sz w:val="24"/>
          <w:szCs w:val="24"/>
          <w:lang w:val="en-GB" w:eastAsia="ja-JP"/>
        </w:rPr>
        <w:t>3</w:t>
      </w:r>
      <w:r w:rsidR="00905BC8">
        <w:rPr>
          <w:i w:val="0"/>
          <w:iCs/>
          <w:sz w:val="24"/>
          <w:szCs w:val="24"/>
          <w:vertAlign w:val="superscript"/>
          <w:lang w:val="en-GB" w:eastAsia="ja-JP"/>
        </w:rPr>
        <w:t>th</w:t>
      </w:r>
      <w:r w:rsidR="00905BC8">
        <w:rPr>
          <w:i w:val="0"/>
          <w:iCs/>
          <w:sz w:val="24"/>
          <w:szCs w:val="24"/>
          <w:lang w:val="en-GB" w:eastAsia="ja-JP"/>
        </w:rPr>
        <w:t xml:space="preserve"> - </w:t>
      </w:r>
      <w:r>
        <w:rPr>
          <w:i w:val="0"/>
          <w:iCs/>
          <w:sz w:val="24"/>
          <w:szCs w:val="24"/>
          <w:lang w:val="en-GB" w:eastAsia="ja-JP"/>
        </w:rPr>
        <w:t>18</w:t>
      </w:r>
      <w:r w:rsidR="00905BC8">
        <w:rPr>
          <w:i w:val="0"/>
          <w:iCs/>
          <w:sz w:val="24"/>
          <w:szCs w:val="24"/>
          <w:vertAlign w:val="superscript"/>
          <w:lang w:val="en-GB" w:eastAsia="ja-JP"/>
        </w:rPr>
        <w:t>th</w:t>
      </w:r>
      <w:r w:rsidR="00905BC8">
        <w:rPr>
          <w:i w:val="0"/>
          <w:iCs/>
          <w:sz w:val="24"/>
          <w:szCs w:val="24"/>
          <w:lang w:val="en-GB" w:eastAsia="ja-JP"/>
        </w:rPr>
        <w:t>, 2017</w:t>
      </w:r>
    </w:p>
    <w:p w14:paraId="02819C2B" w14:textId="4EBF41D0" w:rsidR="00905BC8" w:rsidRDefault="00051D3D" w:rsidP="00905BC8">
      <w:pPr>
        <w:pStyle w:val="Footer"/>
        <w:jc w:val="both"/>
        <w:rPr>
          <w:i w:val="0"/>
          <w:iCs/>
          <w:sz w:val="24"/>
          <w:szCs w:val="24"/>
          <w:lang w:val="en-GB" w:eastAsia="ja-JP"/>
        </w:rPr>
      </w:pPr>
      <w:r>
        <w:rPr>
          <w:i w:val="0"/>
          <w:iCs/>
          <w:sz w:val="24"/>
          <w:szCs w:val="24"/>
          <w:lang w:val="en-GB" w:eastAsia="zh-CN"/>
        </w:rPr>
        <w:t>Athens, Greece</w:t>
      </w:r>
    </w:p>
    <w:p w14:paraId="43B7F87B" w14:textId="77777777" w:rsidR="0068226B" w:rsidRPr="000A64D8" w:rsidRDefault="0068226B" w:rsidP="00480B03">
      <w:pPr>
        <w:pStyle w:val="Footer"/>
        <w:jc w:val="both"/>
        <w:rPr>
          <w:noProof w:val="0"/>
        </w:rPr>
      </w:pPr>
    </w:p>
    <w:p w14:paraId="43B7F87C" w14:textId="4760AC2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51D3D">
        <w:rPr>
          <w:rFonts w:ascii="Arial" w:hAnsi="Arial"/>
          <w:sz w:val="24"/>
        </w:rPr>
        <w:t>8.1.3.1.2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C84009B"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51D3D">
        <w:rPr>
          <w:rFonts w:ascii="Arial" w:hAnsi="Arial"/>
          <w:sz w:val="24"/>
          <w:szCs w:val="24"/>
        </w:rPr>
        <w:t>View on group common PDCCH</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2BB8475F" w14:textId="195C88FB" w:rsidR="008A5AB1" w:rsidRDefault="00B2588A" w:rsidP="004503F9">
      <w:pPr>
        <w:jc w:val="both"/>
        <w:rPr>
          <w:szCs w:val="22"/>
        </w:rPr>
      </w:pPr>
      <w:r>
        <w:rPr>
          <w:szCs w:val="22"/>
        </w:rPr>
        <w:t>During RAN1 NR AdHoc meeting, the following agreements were made related to ‘group common PDCCH’.</w:t>
      </w:r>
      <w:r w:rsidR="000A3C82">
        <w:rPr>
          <w:szCs w:val="22"/>
        </w:rPr>
        <w:t xml:space="preserve"> In this contribution, we further discuss open issues on group common PDCCH.</w:t>
      </w:r>
    </w:p>
    <w:p w14:paraId="403D8FA1" w14:textId="77777777" w:rsidR="00B2588A" w:rsidRDefault="00B2588A" w:rsidP="00B2588A">
      <w:pPr>
        <w:pStyle w:val="ListParagraph"/>
        <w:ind w:leftChars="12" w:left="864" w:hanging="840"/>
        <w:rPr>
          <w:rFonts w:eastAsia="MS Mincho"/>
          <w:szCs w:val="20"/>
          <w:lang w:eastAsia="ja-JP"/>
        </w:rPr>
      </w:pPr>
      <w:r w:rsidRPr="00337F00">
        <w:rPr>
          <w:rFonts w:eastAsia="MS Mincho" w:hint="eastAsia"/>
          <w:b/>
          <w:highlight w:val="green"/>
          <w:u w:val="single"/>
          <w:lang w:eastAsia="ja-JP"/>
        </w:rPr>
        <w:t>Agreements:</w:t>
      </w:r>
    </w:p>
    <w:p w14:paraId="14BBFCFE" w14:textId="77777777" w:rsidR="00B2588A" w:rsidRPr="00F24B1D" w:rsidRDefault="00B2588A" w:rsidP="0048032D">
      <w:pPr>
        <w:numPr>
          <w:ilvl w:val="0"/>
          <w:numId w:val="6"/>
        </w:numPr>
        <w:overflowPunct/>
        <w:autoSpaceDE/>
        <w:autoSpaceDN/>
        <w:adjustRightInd/>
        <w:spacing w:after="0"/>
        <w:jc w:val="both"/>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0AE54629" w14:textId="77777777" w:rsidR="00B2588A" w:rsidRPr="00F24B1D" w:rsidRDefault="00B2588A" w:rsidP="0048032D">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18C15AFA" w14:textId="77777777" w:rsidR="00B2588A" w:rsidRPr="00F24B1D" w:rsidRDefault="00B2588A" w:rsidP="0048032D">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4CCBF89E" w14:textId="77777777" w:rsidR="00B2588A" w:rsidRPr="00F24B1D" w:rsidRDefault="00B2588A" w:rsidP="0048032D">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Common does not necessarily imply common per cell.</w:t>
      </w:r>
    </w:p>
    <w:p w14:paraId="480DB065" w14:textId="77777777" w:rsidR="00B2588A" w:rsidRPr="00F24B1D" w:rsidRDefault="00B2588A" w:rsidP="0048032D">
      <w:pPr>
        <w:numPr>
          <w:ilvl w:val="1"/>
          <w:numId w:val="6"/>
        </w:numPr>
        <w:overflowPunct/>
        <w:autoSpaceDE/>
        <w:autoSpaceDN/>
        <w:adjustRightInd/>
        <w:spacing w:after="0"/>
        <w:jc w:val="both"/>
        <w:textAlignment w:val="auto"/>
        <w:rPr>
          <w:rFonts w:eastAsia="MS Mincho"/>
          <w:lang w:eastAsia="ja-JP"/>
        </w:rPr>
      </w:pPr>
      <w:r w:rsidRPr="00F24B1D">
        <w:t>Continue the discussion on the detailed content of the ‘group common PDCCH’ including usage for TDD and FDD</w:t>
      </w:r>
    </w:p>
    <w:p w14:paraId="5034FB37" w14:textId="77777777" w:rsidR="00B2588A" w:rsidRPr="00F24B1D" w:rsidRDefault="00B2588A" w:rsidP="0048032D">
      <w:pPr>
        <w:numPr>
          <w:ilvl w:val="1"/>
          <w:numId w:val="6"/>
        </w:numPr>
        <w:overflowPunct/>
        <w:autoSpaceDE/>
        <w:autoSpaceDN/>
        <w:adjustRightInd/>
        <w:spacing w:after="0"/>
        <w:jc w:val="both"/>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2666B542" w14:textId="77777777" w:rsidR="00B2588A" w:rsidRPr="00D810AA" w:rsidRDefault="00B2588A" w:rsidP="00B2588A">
      <w:pPr>
        <w:rPr>
          <w:rFonts w:eastAsia="MS Mincho"/>
          <w:b/>
          <w:u w:val="single"/>
          <w:lang w:eastAsia="ja-JP"/>
        </w:rPr>
      </w:pPr>
      <w:r w:rsidRPr="00D810AA">
        <w:rPr>
          <w:rFonts w:eastAsia="MS Mincho" w:hint="eastAsia"/>
          <w:b/>
          <w:highlight w:val="green"/>
          <w:u w:val="single"/>
          <w:lang w:eastAsia="ja-JP"/>
        </w:rPr>
        <w:t>Agreements:</w:t>
      </w:r>
    </w:p>
    <w:p w14:paraId="4D4469C3" w14:textId="77777777" w:rsidR="00B2588A" w:rsidRPr="003413C9" w:rsidRDefault="00B2588A" w:rsidP="0048032D">
      <w:pPr>
        <w:pStyle w:val="ListParagraph"/>
        <w:numPr>
          <w:ilvl w:val="0"/>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The staring position of downlink data in a slot can be explicitly and dynamically indicated to the UE.</w:t>
      </w:r>
    </w:p>
    <w:p w14:paraId="549A2DF0" w14:textId="77777777" w:rsidR="00B2588A" w:rsidRPr="003413C9" w:rsidRDefault="00B2588A" w:rsidP="0048032D">
      <w:pPr>
        <w:pStyle w:val="ListParagraph"/>
        <w:numPr>
          <w:ilvl w:val="1"/>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signaled in the UE-specific DCI and/or a ‘group-common PDCCH’</w:t>
      </w:r>
    </w:p>
    <w:p w14:paraId="39E130B2" w14:textId="77777777" w:rsidR="00B2588A" w:rsidRPr="003413C9" w:rsidRDefault="00B2588A" w:rsidP="0048032D">
      <w:pPr>
        <w:pStyle w:val="ListParagraph"/>
        <w:numPr>
          <w:ilvl w:val="1"/>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how and with what granularity the unused control resource set(s) can be used for data</w:t>
      </w:r>
    </w:p>
    <w:p w14:paraId="0F15F4B5" w14:textId="77777777" w:rsidR="00B2588A" w:rsidRPr="007F7517" w:rsidRDefault="00B2588A" w:rsidP="00B2588A">
      <w:pPr>
        <w:rPr>
          <w:rFonts w:eastAsia="MS Mincho"/>
          <w:b/>
          <w:u w:val="single"/>
          <w:lang w:eastAsia="ja-JP"/>
        </w:rPr>
      </w:pPr>
      <w:r w:rsidRPr="00633195">
        <w:rPr>
          <w:rFonts w:eastAsia="MS Mincho" w:hint="eastAsia"/>
          <w:b/>
          <w:highlight w:val="green"/>
          <w:u w:val="single"/>
          <w:lang w:eastAsia="ja-JP"/>
        </w:rPr>
        <w:t>Agreements:</w:t>
      </w:r>
    </w:p>
    <w:p w14:paraId="585987A3" w14:textId="77777777" w:rsidR="00B2588A" w:rsidRPr="003413C9" w:rsidRDefault="00B2588A" w:rsidP="0048032D">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The UE will have the possibility to determine whether some blind decodings can be skipped based on information on a ‘group common PDCCH’ (if present).</w:t>
      </w:r>
    </w:p>
    <w:p w14:paraId="7DB567C8" w14:textId="77777777" w:rsidR="00B2588A" w:rsidRPr="003413C9" w:rsidRDefault="00B2588A" w:rsidP="0048032D">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if the data starting position is signaled on the group common PDCCH, the UE may exploit this information to skip some blind decodings</w:t>
      </w:r>
    </w:p>
    <w:p w14:paraId="335B4F41" w14:textId="77777777" w:rsidR="00B2588A" w:rsidRPr="003413C9" w:rsidRDefault="00B2588A" w:rsidP="0048032D">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if the end of the control resource set is signaled on the ‘group common PDCCH’, the UE may exploit this information to skip some blind decodings</w:t>
      </w:r>
    </w:p>
    <w:p w14:paraId="50FC4428" w14:textId="77777777" w:rsidR="00B2588A" w:rsidRPr="003413C9" w:rsidRDefault="00B2588A" w:rsidP="0048032D">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how to handle the case when there is no ‘group common PDCCH’ in a slot</w:t>
      </w:r>
    </w:p>
    <w:p w14:paraId="78CFA0AC" w14:textId="77777777" w:rsidR="00B2588A" w:rsidRPr="003413C9" w:rsidRDefault="00B2588A" w:rsidP="0048032D">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When monitoring for a PDCCH, the UE should be able to process a detected PDCCH irrespective of whether the ‘group common PDCCH’ is received or not</w:t>
      </w:r>
    </w:p>
    <w:p w14:paraId="3F9549C8" w14:textId="77777777" w:rsidR="00170EA1" w:rsidRPr="00476354" w:rsidRDefault="00170EA1" w:rsidP="00170EA1">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5D3C667B" w14:textId="77777777" w:rsidR="00170EA1" w:rsidRPr="00476354" w:rsidRDefault="00170EA1" w:rsidP="0048032D">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71345AF1" w14:textId="77777777" w:rsidR="00170EA1" w:rsidRPr="00476354" w:rsidRDefault="00170EA1" w:rsidP="0048032D">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0091BCBA" w14:textId="77777777" w:rsidR="00170EA1" w:rsidRPr="00476354" w:rsidRDefault="00170EA1" w:rsidP="0048032D">
      <w:pPr>
        <w:pStyle w:val="BodyText"/>
        <w:numPr>
          <w:ilvl w:val="1"/>
          <w:numId w:val="9"/>
        </w:numPr>
        <w:overflowPunct/>
        <w:autoSpaceDE/>
        <w:autoSpaceDN/>
        <w:adjustRightInd/>
        <w:spacing w:after="0"/>
        <w:textAlignment w:val="auto"/>
        <w:rPr>
          <w:szCs w:val="20"/>
          <w:lang w:eastAsia="ja-JP"/>
        </w:rPr>
      </w:pPr>
      <w:r w:rsidRPr="00476354">
        <w:rPr>
          <w:szCs w:val="20"/>
          <w:lang w:eastAsia="ja-JP"/>
        </w:rPr>
        <w:t>FFS: if ‘other’ can be subdivided into ‘blank’, ‘sidelink’, etc</w:t>
      </w:r>
    </w:p>
    <w:p w14:paraId="7201D1B5" w14:textId="77777777" w:rsidR="00170EA1" w:rsidRPr="00476354" w:rsidRDefault="00170EA1" w:rsidP="0048032D">
      <w:pPr>
        <w:pStyle w:val="BodyText"/>
        <w:numPr>
          <w:ilvl w:val="0"/>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‘Control resource set duration’</w:t>
      </w:r>
    </w:p>
    <w:p w14:paraId="4AD6F80D" w14:textId="77777777" w:rsidR="00170EA1" w:rsidRPr="00476354" w:rsidRDefault="00170EA1" w:rsidP="0048032D">
      <w:pPr>
        <w:pStyle w:val="BodyText"/>
        <w:numPr>
          <w:ilvl w:val="1"/>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 xml:space="preserve">Indicates the duration of the control resource set(s) </w:t>
      </w:r>
    </w:p>
    <w:p w14:paraId="33F6F44C" w14:textId="77777777" w:rsidR="00170EA1" w:rsidRPr="00476354" w:rsidRDefault="00170EA1" w:rsidP="0048032D">
      <w:pPr>
        <w:pStyle w:val="BodyText"/>
        <w:numPr>
          <w:ilvl w:val="1"/>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Can help the UE skip some of the semi-statically configured blind decodings. If not received, the UE performs all blind decodings.</w:t>
      </w:r>
    </w:p>
    <w:p w14:paraId="1730A52E" w14:textId="79A7C08B" w:rsidR="00B2588A" w:rsidRDefault="00B2588A" w:rsidP="004503F9">
      <w:pPr>
        <w:jc w:val="both"/>
        <w:rPr>
          <w:szCs w:val="22"/>
        </w:rPr>
      </w:pPr>
    </w:p>
    <w:p w14:paraId="0B3BE98D" w14:textId="5ACA215F" w:rsidR="0044173B" w:rsidRDefault="001D23A3" w:rsidP="0044173B">
      <w:pPr>
        <w:pStyle w:val="Heading1"/>
      </w:pPr>
      <w:r>
        <w:lastRenderedPageBreak/>
        <w:t>Use cases for group common PDCCH</w:t>
      </w:r>
    </w:p>
    <w:p w14:paraId="7AA10E94" w14:textId="22580509" w:rsidR="009C2B1C" w:rsidRDefault="009C2B1C" w:rsidP="008A5AB1">
      <w:r>
        <w:t xml:space="preserve">There could be different use cases for </w:t>
      </w:r>
      <w:r w:rsidR="00170EA1">
        <w:t>group common PDCCH</w:t>
      </w:r>
      <w:r>
        <w:t>.</w:t>
      </w:r>
      <w:r w:rsidR="009D008A">
        <w:t xml:space="preserve"> We will mainly discuss </w:t>
      </w:r>
      <w:r w:rsidR="001902B8">
        <w:t xml:space="preserve">them </w:t>
      </w:r>
      <w:r w:rsidR="009D008A">
        <w:t>for scheduled UEs and non-scheduled UEs</w:t>
      </w:r>
      <w:r w:rsidR="004911FB">
        <w:t xml:space="preserve"> respectively</w:t>
      </w:r>
      <w:r w:rsidR="009D008A">
        <w:t>.</w:t>
      </w:r>
    </w:p>
    <w:p w14:paraId="4E1C0510" w14:textId="77777777" w:rsidR="009D008A" w:rsidRPr="009D008A" w:rsidRDefault="009D008A" w:rsidP="0048032D">
      <w:pPr>
        <w:numPr>
          <w:ilvl w:val="0"/>
          <w:numId w:val="5"/>
        </w:numPr>
      </w:pPr>
      <w:r w:rsidRPr="009D008A">
        <w:t>Non-scheduled UEs</w:t>
      </w:r>
    </w:p>
    <w:p w14:paraId="48ABF807" w14:textId="77777777" w:rsidR="00165D2D" w:rsidRDefault="009D008A" w:rsidP="0048032D">
      <w:pPr>
        <w:numPr>
          <w:ilvl w:val="1"/>
          <w:numId w:val="5"/>
        </w:numPr>
      </w:pPr>
      <w:r>
        <w:t xml:space="preserve">The main beneficiary among non-scheduled UEs would be </w:t>
      </w:r>
    </w:p>
    <w:p w14:paraId="23FB12D4" w14:textId="648A498F" w:rsidR="009D008A" w:rsidRDefault="009D008A" w:rsidP="0048032D">
      <w:pPr>
        <w:numPr>
          <w:ilvl w:val="2"/>
          <w:numId w:val="5"/>
        </w:numPr>
      </w:pPr>
      <w:r w:rsidRPr="009D008A">
        <w:t>UEs served by other cells</w:t>
      </w:r>
    </w:p>
    <w:p w14:paraId="1FCBB277" w14:textId="3DB59506" w:rsidR="00165D2D" w:rsidRPr="009D008A" w:rsidRDefault="00165D2D" w:rsidP="0048032D">
      <w:pPr>
        <w:numPr>
          <w:ilvl w:val="2"/>
          <w:numId w:val="5"/>
        </w:numPr>
      </w:pPr>
      <w:r>
        <w:t>UEs served by the same cell but there is no active DL or UL grant in the slot</w:t>
      </w:r>
    </w:p>
    <w:p w14:paraId="609EB323" w14:textId="7F243CD6" w:rsidR="009E2234" w:rsidRDefault="009E2234" w:rsidP="0048032D">
      <w:pPr>
        <w:numPr>
          <w:ilvl w:val="1"/>
          <w:numId w:val="5"/>
        </w:numPr>
      </w:pPr>
      <w:r>
        <w:t>The following information can be delivered and utilized</w:t>
      </w:r>
    </w:p>
    <w:p w14:paraId="10FC304E" w14:textId="43EA07BB" w:rsidR="00165D2D" w:rsidRDefault="00165D2D" w:rsidP="0048032D">
      <w:pPr>
        <w:numPr>
          <w:ilvl w:val="2"/>
          <w:numId w:val="5"/>
        </w:numPr>
      </w:pPr>
      <w:r>
        <w:t>Slot format (DL</w:t>
      </w:r>
      <w:r w:rsidR="007864F6">
        <w:t>/UL traffic</w:t>
      </w:r>
      <w:r>
        <w:t>)</w:t>
      </w:r>
    </w:p>
    <w:p w14:paraId="720E0496" w14:textId="2626F350" w:rsidR="009D008A" w:rsidRPr="009D008A" w:rsidRDefault="00DD430B" w:rsidP="0048032D">
      <w:pPr>
        <w:numPr>
          <w:ilvl w:val="2"/>
          <w:numId w:val="5"/>
        </w:numPr>
      </w:pPr>
      <w:r>
        <w:t>Blanking information</w:t>
      </w:r>
      <w:r w:rsidR="009D008A" w:rsidRPr="009D008A">
        <w:t xml:space="preserve"> for periodic </w:t>
      </w:r>
      <w:r>
        <w:t>DL/</w:t>
      </w:r>
      <w:r w:rsidR="009D008A" w:rsidRPr="009D008A">
        <w:t>UL control signaling</w:t>
      </w:r>
      <w:r>
        <w:t xml:space="preserve"> for dynamic TDD or future compatibility (unlicensed)</w:t>
      </w:r>
    </w:p>
    <w:p w14:paraId="1C611CE5" w14:textId="7634AA4A" w:rsidR="009D008A" w:rsidRPr="009D008A" w:rsidRDefault="009D008A" w:rsidP="00267819">
      <w:pPr>
        <w:numPr>
          <w:ilvl w:val="3"/>
          <w:numId w:val="5"/>
        </w:numPr>
      </w:pPr>
      <w:r w:rsidRPr="009D008A">
        <w:t>CSI-RS, SRS</w:t>
      </w:r>
      <w:r w:rsidR="00DD430B">
        <w:t xml:space="preserve">, </w:t>
      </w:r>
      <w:r w:rsidRPr="009D008A">
        <w:t xml:space="preserve">PUCCH transmission in UL centric </w:t>
      </w:r>
      <w:r w:rsidR="009E2234">
        <w:t>slot</w:t>
      </w:r>
      <w:r w:rsidR="0078618F">
        <w:t xml:space="preserve"> and etc.</w:t>
      </w:r>
    </w:p>
    <w:p w14:paraId="6834599C" w14:textId="77777777" w:rsidR="009D008A" w:rsidRPr="009D008A" w:rsidRDefault="009D008A" w:rsidP="0048032D">
      <w:pPr>
        <w:numPr>
          <w:ilvl w:val="0"/>
          <w:numId w:val="5"/>
        </w:numPr>
      </w:pPr>
      <w:r w:rsidRPr="009D008A">
        <w:t>Scheduled UEs (Unicast or broadcast PDSCH, and PUSCH)</w:t>
      </w:r>
    </w:p>
    <w:p w14:paraId="3B5EB367" w14:textId="18127CA0" w:rsidR="009D008A" w:rsidRPr="009D008A" w:rsidRDefault="009E2234" w:rsidP="0048032D">
      <w:pPr>
        <w:numPr>
          <w:ilvl w:val="1"/>
          <w:numId w:val="5"/>
        </w:numPr>
      </w:pPr>
      <w:r>
        <w:t>On one hand, b</w:t>
      </w:r>
      <w:r w:rsidR="009D008A" w:rsidRPr="009D008A">
        <w:t>roadcast information could be always delivered to scheduled UEs over unicast channels</w:t>
      </w:r>
      <w:r>
        <w:t xml:space="preserve"> without the need of broadcast channel</w:t>
      </w:r>
    </w:p>
    <w:p w14:paraId="3B154851" w14:textId="36332637" w:rsidR="009D008A" w:rsidRPr="009D008A" w:rsidRDefault="00C4301B" w:rsidP="0048032D">
      <w:pPr>
        <w:numPr>
          <w:ilvl w:val="2"/>
          <w:numId w:val="5"/>
        </w:numPr>
      </w:pPr>
      <w:r>
        <w:t>However, t</w:t>
      </w:r>
      <w:r w:rsidR="009D008A" w:rsidRPr="009D008A">
        <w:t xml:space="preserve">he </w:t>
      </w:r>
      <w:r w:rsidR="00170EA1">
        <w:t>Group common PDCCH</w:t>
      </w:r>
      <w:r w:rsidR="009D008A" w:rsidRPr="009D008A">
        <w:t xml:space="preserve"> </w:t>
      </w:r>
      <w:r>
        <w:t xml:space="preserve">can </w:t>
      </w:r>
      <w:r w:rsidR="009D008A" w:rsidRPr="009D008A">
        <w:t>provide an efficient and faster way to deliver some of the information (limited amount)</w:t>
      </w:r>
    </w:p>
    <w:p w14:paraId="2601A1D7" w14:textId="5D75C933" w:rsidR="00C4301B" w:rsidRDefault="00C4301B" w:rsidP="00DD2DEB">
      <w:pPr>
        <w:numPr>
          <w:ilvl w:val="3"/>
          <w:numId w:val="5"/>
        </w:numPr>
      </w:pPr>
      <w:r>
        <w:t>Slot format</w:t>
      </w:r>
      <w:r w:rsidR="00DD430B">
        <w:t xml:space="preserve"> (</w:t>
      </w:r>
      <w:r>
        <w:t>DL/UL traffic</w:t>
      </w:r>
      <w:r w:rsidR="00DD430B">
        <w:t>)</w:t>
      </w:r>
    </w:p>
    <w:p w14:paraId="0B512896" w14:textId="1DC89CB3" w:rsidR="00DD430B" w:rsidRDefault="00DD430B" w:rsidP="00DD2DEB">
      <w:pPr>
        <w:numPr>
          <w:ilvl w:val="3"/>
          <w:numId w:val="5"/>
        </w:numPr>
      </w:pPr>
      <w:r>
        <w:t>Blanking for periodic DL/UL control signaling for dynamic TDD or future compatibility (unlicensed)</w:t>
      </w:r>
    </w:p>
    <w:p w14:paraId="194B3FBB" w14:textId="21A11E8C" w:rsidR="00DD430B" w:rsidRPr="009D008A" w:rsidRDefault="00DD430B" w:rsidP="00267819">
      <w:pPr>
        <w:numPr>
          <w:ilvl w:val="4"/>
          <w:numId w:val="5"/>
        </w:numPr>
      </w:pPr>
      <w:r>
        <w:t>CSI-RS, SRS, PUCCH transmission in UL centric slot</w:t>
      </w:r>
      <w:r w:rsidR="0078618F">
        <w:t xml:space="preserve"> and etc.</w:t>
      </w:r>
    </w:p>
    <w:p w14:paraId="4EF9E659" w14:textId="2A931066" w:rsidR="00CC34E2" w:rsidRDefault="00170EA1" w:rsidP="001902B8">
      <w:r>
        <w:t>Group common PDCCH</w:t>
      </w:r>
      <w:r w:rsidR="00CC74E5">
        <w:t xml:space="preserve"> may provide additional</w:t>
      </w:r>
      <w:r w:rsidR="001902B8">
        <w:t xml:space="preserve"> </w:t>
      </w:r>
      <w:r w:rsidR="009D008A" w:rsidRPr="009D008A">
        <w:t>UE power saving</w:t>
      </w:r>
      <w:r w:rsidR="001902B8">
        <w:t xml:space="preserve"> </w:t>
      </w:r>
      <w:r w:rsidR="00CC74E5">
        <w:t>benefit</w:t>
      </w:r>
      <w:r w:rsidR="001902B8">
        <w:t xml:space="preserve">. </w:t>
      </w:r>
      <w:r w:rsidR="00CC74E5">
        <w:t>For example, if ABS (almost blan</w:t>
      </w:r>
      <w:r>
        <w:t>k slot) indicator is included as the part of slot format</w:t>
      </w:r>
      <w:r w:rsidR="00CC74E5">
        <w:t xml:space="preserve">, </w:t>
      </w:r>
      <w:r w:rsidR="00172261">
        <w:t>once UE</w:t>
      </w:r>
      <w:r w:rsidR="00CC74E5">
        <w:t xml:space="preserve"> decode the </w:t>
      </w:r>
      <w:r>
        <w:t>group common PDCCH</w:t>
      </w:r>
      <w:r w:rsidR="00172261">
        <w:t xml:space="preserve"> UE may stop processing PDCCH blind decodings in that slot.</w:t>
      </w:r>
      <w:r w:rsidR="001902B8">
        <w:t xml:space="preserve"> </w:t>
      </w:r>
    </w:p>
    <w:p w14:paraId="5946ED83" w14:textId="3DC13110" w:rsidR="002B1939" w:rsidRDefault="00D039A0" w:rsidP="002B1939">
      <w:r>
        <w:t xml:space="preserve">To </w:t>
      </w:r>
      <w:r w:rsidR="00CC74E5">
        <w:t>support</w:t>
      </w:r>
      <w:r>
        <w:t xml:space="preserve"> timeline friendly processing for UE, </w:t>
      </w:r>
      <w:r w:rsidR="009D008A" w:rsidRPr="009D008A">
        <w:t>par</w:t>
      </w:r>
      <w:r w:rsidR="00C4301B">
        <w:t>allel processing</w:t>
      </w:r>
      <w:r>
        <w:t xml:space="preserve"> of </w:t>
      </w:r>
      <w:r w:rsidR="00170EA1">
        <w:t>group common PDCCH</w:t>
      </w:r>
      <w:r>
        <w:t xml:space="preserve"> and PDCCH may be desirable</w:t>
      </w:r>
      <w:r w:rsidR="00A516EF">
        <w:t xml:space="preserve">. </w:t>
      </w:r>
      <w:r w:rsidR="00170EA1">
        <w:t xml:space="preserve">Therefore, certain PDCCH blind decoding shall start without waiting for the decoding of group common PDCCH </w:t>
      </w:r>
      <w:r w:rsidR="00172261">
        <w:t>once</w:t>
      </w:r>
      <w:r w:rsidR="00170EA1">
        <w:t xml:space="preserve"> the resources for PDCCH </w:t>
      </w:r>
      <w:r w:rsidR="00172261">
        <w:t xml:space="preserve">blind decoding candidates </w:t>
      </w:r>
      <w:r w:rsidR="00170EA1">
        <w:t xml:space="preserve">are available. </w:t>
      </w:r>
      <w:r w:rsidR="00172261">
        <w:t>In addition</w:t>
      </w:r>
      <w:r w:rsidR="00170EA1">
        <w:t xml:space="preserve">, </w:t>
      </w:r>
      <w:r w:rsidR="00172261">
        <w:t>if the group common PDCCH is not received by the UE or UE fails in decoding the group common PDCCH, it was agreed that</w:t>
      </w:r>
      <w:r w:rsidR="002B1939">
        <w:t xml:space="preserve"> UE should be able to receive PDCCH in a slot. In that regard, CFI type of information is not </w:t>
      </w:r>
      <w:r w:rsidR="00BD2161">
        <w:t>desirable</w:t>
      </w:r>
      <w:r w:rsidR="002B1939">
        <w:t xml:space="preserve"> for the contents of group common PDCCH. </w:t>
      </w:r>
      <w:r w:rsidR="00AA7819">
        <w:t>For example, if dynamic CFI is allowed</w:t>
      </w:r>
      <w:r w:rsidR="00BD2161">
        <w:t xml:space="preserve"> with a larger number of control symbols</w:t>
      </w:r>
      <w:r w:rsidR="00AA7819">
        <w:t xml:space="preserve"> and no group common PDCCH is in the slot, UE </w:t>
      </w:r>
      <w:r w:rsidR="00BD2161">
        <w:t>needs to decode against the max number of control symbols</w:t>
      </w:r>
      <w:r w:rsidR="00AA7819">
        <w:t xml:space="preserve">. </w:t>
      </w:r>
      <w:r w:rsidR="002B1939">
        <w:t xml:space="preserve">Therefore, it is our view that the contents of group common PDCCH may be optionally used for the skipping of some PDCCH blind decoding candidates but </w:t>
      </w:r>
      <w:r w:rsidR="00BD2161">
        <w:t xml:space="preserve">should not </w:t>
      </w:r>
      <w:r w:rsidR="002B1939">
        <w:t>be intended to indicate the control region size dynamically.</w:t>
      </w:r>
    </w:p>
    <w:p w14:paraId="736CAF43" w14:textId="1B0EEE91" w:rsidR="001902B8" w:rsidRDefault="001902B8" w:rsidP="001902B8">
      <w:r>
        <w:t xml:space="preserve">For mmW case, the scope of </w:t>
      </w:r>
      <w:r w:rsidR="00170EA1">
        <w:t>Group common PDCCH</w:t>
      </w:r>
      <w:r>
        <w:t xml:space="preserve"> might be defined within the beam coverage. If this channel is sent with the same beam as the data portion, those UEs affected by this beam can be reached.</w:t>
      </w:r>
    </w:p>
    <w:p w14:paraId="36AE1A63" w14:textId="77777777" w:rsidR="00920B0E" w:rsidRDefault="00920B0E" w:rsidP="00920B0E">
      <w:r w:rsidRPr="00A3651A">
        <w:rPr>
          <w:b/>
          <w:u w:val="single"/>
        </w:rPr>
        <w:t xml:space="preserve">Proposal </w:t>
      </w:r>
      <w:r>
        <w:rPr>
          <w:b/>
          <w:u w:val="single"/>
        </w:rPr>
        <w:t>1</w:t>
      </w:r>
      <w:r>
        <w:t>: Dynamic CFI is not considered for group common PDCCH.</w:t>
      </w:r>
    </w:p>
    <w:p w14:paraId="64FED35D" w14:textId="72B6408C" w:rsidR="001D23A3" w:rsidRDefault="001D23A3" w:rsidP="001D23A3">
      <w:pPr>
        <w:pStyle w:val="Heading1"/>
      </w:pPr>
      <w:r>
        <w:t>Contents of group common PDCCH</w:t>
      </w:r>
    </w:p>
    <w:p w14:paraId="1C83C335" w14:textId="0AB48E29" w:rsidR="001D23A3" w:rsidRDefault="0078618F" w:rsidP="001D23A3">
      <w:r>
        <w:t>Based on the use cases discussed in section 2, p</w:t>
      </w:r>
      <w:r w:rsidR="001D23A3">
        <w:t xml:space="preserve">otential contents for the </w:t>
      </w:r>
      <w:r w:rsidR="00136EED">
        <w:t>group common PDCCH</w:t>
      </w:r>
      <w:r w:rsidR="001D23A3">
        <w:t xml:space="preserve"> can be as follows:</w:t>
      </w:r>
    </w:p>
    <w:p w14:paraId="49CB7B90" w14:textId="23C78594" w:rsidR="0078618F" w:rsidRPr="009F5902" w:rsidRDefault="00136EED" w:rsidP="00DD2DEB">
      <w:pPr>
        <w:pStyle w:val="ListParagraph"/>
        <w:numPr>
          <w:ilvl w:val="0"/>
          <w:numId w:val="4"/>
        </w:numPr>
        <w:rPr>
          <w:rFonts w:ascii="Times New Roman" w:hAnsi="Times New Roman"/>
          <w:sz w:val="20"/>
          <w:szCs w:val="20"/>
          <w:lang w:eastAsia="zh-CN"/>
        </w:rPr>
      </w:pPr>
      <w:r w:rsidRPr="00DD2DEB">
        <w:rPr>
          <w:sz w:val="20"/>
          <w:szCs w:val="20"/>
        </w:rPr>
        <w:lastRenderedPageBreak/>
        <w:t>Slot format indicator</w:t>
      </w:r>
      <w:r w:rsidR="00267819" w:rsidRPr="00DD2DEB">
        <w:rPr>
          <w:sz w:val="20"/>
          <w:szCs w:val="20"/>
        </w:rPr>
        <w:t xml:space="preserve"> (</w:t>
      </w:r>
      <w:r w:rsidR="001D23A3" w:rsidRPr="00DD2DEB">
        <w:rPr>
          <w:rFonts w:ascii="Times New Roman" w:hAnsi="Times New Roman"/>
          <w:sz w:val="20"/>
          <w:szCs w:val="20"/>
          <w:lang w:eastAsia="zh-CN"/>
        </w:rPr>
        <w:t>DL centric slot</w:t>
      </w:r>
      <w:r w:rsidR="00267819" w:rsidRPr="00DD2DEB">
        <w:rPr>
          <w:sz w:val="20"/>
          <w:szCs w:val="20"/>
          <w:lang w:eastAsia="zh-CN"/>
        </w:rPr>
        <w:t xml:space="preserve">, </w:t>
      </w:r>
      <w:r w:rsidR="001D23A3" w:rsidRPr="00DD2DEB">
        <w:rPr>
          <w:rFonts w:ascii="Times New Roman" w:hAnsi="Times New Roman"/>
          <w:sz w:val="20"/>
          <w:szCs w:val="20"/>
          <w:lang w:eastAsia="zh-CN"/>
        </w:rPr>
        <w:t>UL centric slot</w:t>
      </w:r>
      <w:r w:rsidR="00267819" w:rsidRPr="00DD2DEB">
        <w:rPr>
          <w:sz w:val="20"/>
          <w:szCs w:val="20"/>
          <w:lang w:eastAsia="zh-CN"/>
        </w:rPr>
        <w:t xml:space="preserve">, </w:t>
      </w:r>
      <w:r w:rsidR="0078618F" w:rsidRPr="00DD2DEB">
        <w:rPr>
          <w:rFonts w:ascii="Times New Roman" w:hAnsi="Times New Roman"/>
          <w:sz w:val="20"/>
          <w:szCs w:val="20"/>
          <w:lang w:eastAsia="zh-CN"/>
        </w:rPr>
        <w:t>Almost blank slot</w:t>
      </w:r>
      <w:r w:rsidR="00267819" w:rsidRPr="009F5902">
        <w:rPr>
          <w:rFonts w:ascii="Times New Roman" w:hAnsi="Times New Roman"/>
          <w:sz w:val="20"/>
          <w:szCs w:val="20"/>
          <w:lang w:eastAsia="zh-CN"/>
        </w:rPr>
        <w:t>)</w:t>
      </w:r>
    </w:p>
    <w:p w14:paraId="34F98431" w14:textId="642278A4" w:rsidR="00267819" w:rsidRPr="00DD2DEB" w:rsidRDefault="00267819">
      <w:pPr>
        <w:pStyle w:val="ListParagraph"/>
        <w:numPr>
          <w:ilvl w:val="1"/>
          <w:numId w:val="4"/>
        </w:numPr>
        <w:rPr>
          <w:rFonts w:ascii="Times New Roman" w:hAnsi="Times New Roman"/>
          <w:sz w:val="20"/>
          <w:szCs w:val="20"/>
          <w:lang w:eastAsia="zh-CN"/>
        </w:rPr>
      </w:pPr>
      <w:r w:rsidRPr="009F5902">
        <w:rPr>
          <w:rFonts w:ascii="Times New Roman" w:hAnsi="Times New Roman"/>
          <w:sz w:val="20"/>
          <w:szCs w:val="20"/>
          <w:lang w:eastAsia="zh-CN"/>
        </w:rPr>
        <w:t>Depending on the decision on property of the slot aggregation (whether to keep the DL and UL control region</w:t>
      </w:r>
      <w:r w:rsidR="00F75057">
        <w:rPr>
          <w:rFonts w:ascii="Times New Roman" w:hAnsi="Times New Roman"/>
          <w:sz w:val="20"/>
          <w:szCs w:val="20"/>
          <w:lang w:eastAsia="zh-CN"/>
        </w:rPr>
        <w:t xml:space="preserve"> every slot</w:t>
      </w:r>
      <w:r w:rsidRPr="009F5902">
        <w:rPr>
          <w:rFonts w:ascii="Times New Roman" w:hAnsi="Times New Roman"/>
          <w:sz w:val="20"/>
          <w:szCs w:val="20"/>
          <w:lang w:eastAsia="zh-CN"/>
        </w:rPr>
        <w:t xml:space="preserve"> with slot aggregation), additional slot format may be needed</w:t>
      </w:r>
    </w:p>
    <w:p w14:paraId="358C7F8A" w14:textId="23319E39" w:rsidR="00136EED" w:rsidRPr="00DD2DEB" w:rsidRDefault="0078618F">
      <w:pPr>
        <w:pStyle w:val="ListParagraph"/>
        <w:numPr>
          <w:ilvl w:val="0"/>
          <w:numId w:val="4"/>
        </w:numPr>
        <w:rPr>
          <w:sz w:val="20"/>
          <w:szCs w:val="20"/>
          <w:lang w:eastAsia="zh-CN"/>
        </w:rPr>
      </w:pPr>
      <w:r w:rsidRPr="00DD2DEB">
        <w:rPr>
          <w:sz w:val="20"/>
          <w:szCs w:val="20"/>
        </w:rPr>
        <w:t>Blanking</w:t>
      </w:r>
      <w:r w:rsidR="00136EED" w:rsidRPr="00DD2DEB">
        <w:rPr>
          <w:sz w:val="20"/>
          <w:szCs w:val="20"/>
        </w:rPr>
        <w:t xml:space="preserve"> for periodic </w:t>
      </w:r>
      <w:r w:rsidRPr="00DD2DEB">
        <w:rPr>
          <w:sz w:val="20"/>
          <w:szCs w:val="20"/>
        </w:rPr>
        <w:t>DL/</w:t>
      </w:r>
      <w:r w:rsidR="00136EED" w:rsidRPr="00DD2DEB">
        <w:rPr>
          <w:sz w:val="20"/>
          <w:szCs w:val="20"/>
        </w:rPr>
        <w:t>UL control signaling</w:t>
      </w:r>
    </w:p>
    <w:p w14:paraId="3C211E1E" w14:textId="33525432" w:rsidR="00267819" w:rsidRPr="00DD2DEB" w:rsidRDefault="002501CB" w:rsidP="00DD2DEB">
      <w:pPr>
        <w:pStyle w:val="ListParagraph"/>
        <w:numPr>
          <w:ilvl w:val="1"/>
          <w:numId w:val="4"/>
        </w:numPr>
        <w:rPr>
          <w:sz w:val="20"/>
          <w:szCs w:val="20"/>
          <w:lang w:eastAsia="zh-CN"/>
        </w:rPr>
      </w:pPr>
      <w:r w:rsidRPr="00DD2DEB">
        <w:rPr>
          <w:sz w:val="20"/>
          <w:szCs w:val="20"/>
        </w:rPr>
        <w:t xml:space="preserve">This is to </w:t>
      </w:r>
      <w:r w:rsidRPr="009F5902">
        <w:rPr>
          <w:sz w:val="20"/>
          <w:szCs w:val="20"/>
        </w:rPr>
        <w:t>provide blanking capability for periodic DL/UL control signaling such as CSI-RS, SRS</w:t>
      </w:r>
      <w:r w:rsidR="0050685C">
        <w:rPr>
          <w:sz w:val="20"/>
          <w:szCs w:val="20"/>
        </w:rPr>
        <w:t>,</w:t>
      </w:r>
      <w:r w:rsidRPr="009F5902">
        <w:rPr>
          <w:sz w:val="20"/>
          <w:szCs w:val="20"/>
        </w:rPr>
        <w:t xml:space="preserve"> PUCCH in UL centric slot</w:t>
      </w:r>
      <w:r w:rsidR="0050685C">
        <w:rPr>
          <w:sz w:val="20"/>
          <w:szCs w:val="20"/>
        </w:rPr>
        <w:t xml:space="preserve"> and etc.</w:t>
      </w:r>
    </w:p>
    <w:p w14:paraId="3B38E299" w14:textId="0EBFA225" w:rsidR="001D23A3" w:rsidRPr="009F5902" w:rsidRDefault="001D23A3" w:rsidP="00DD2DEB">
      <w:pPr>
        <w:pStyle w:val="ListParagraph"/>
        <w:numPr>
          <w:ilvl w:val="0"/>
          <w:numId w:val="4"/>
        </w:numPr>
        <w:spacing w:after="120"/>
        <w:rPr>
          <w:sz w:val="20"/>
          <w:szCs w:val="20"/>
          <w:lang w:eastAsia="zh-CN"/>
        </w:rPr>
      </w:pPr>
      <w:r w:rsidRPr="00DD2DEB">
        <w:rPr>
          <w:sz w:val="20"/>
          <w:szCs w:val="20"/>
          <w:lang w:eastAsia="zh-CN"/>
        </w:rPr>
        <w:t>Reservation for future compatibility</w:t>
      </w:r>
    </w:p>
    <w:p w14:paraId="7E9E9383" w14:textId="2973509B" w:rsidR="002501CB" w:rsidRPr="00DD2DEB" w:rsidRDefault="002501CB" w:rsidP="00DD2DEB">
      <w:pPr>
        <w:pStyle w:val="ListParagraph"/>
        <w:numPr>
          <w:ilvl w:val="1"/>
          <w:numId w:val="4"/>
        </w:numPr>
        <w:spacing w:after="120"/>
        <w:rPr>
          <w:sz w:val="20"/>
          <w:szCs w:val="20"/>
          <w:lang w:eastAsia="zh-CN"/>
        </w:rPr>
      </w:pPr>
      <w:r w:rsidRPr="009F5902">
        <w:rPr>
          <w:sz w:val="20"/>
          <w:szCs w:val="20"/>
          <w:lang w:eastAsia="zh-CN"/>
        </w:rPr>
        <w:t xml:space="preserve">Depending on the need for </w:t>
      </w:r>
      <w:r w:rsidR="00005D97">
        <w:rPr>
          <w:sz w:val="20"/>
          <w:szCs w:val="20"/>
          <w:lang w:eastAsia="zh-CN"/>
        </w:rPr>
        <w:t>additional</w:t>
      </w:r>
      <w:r w:rsidRPr="009F5902">
        <w:rPr>
          <w:sz w:val="20"/>
          <w:szCs w:val="20"/>
          <w:lang w:eastAsia="zh-CN"/>
        </w:rPr>
        <w:t xml:space="preserve"> </w:t>
      </w:r>
      <w:r w:rsidR="00005D97">
        <w:rPr>
          <w:sz w:val="20"/>
          <w:szCs w:val="20"/>
          <w:lang w:eastAsia="zh-CN"/>
        </w:rPr>
        <w:t>formats</w:t>
      </w:r>
      <w:r w:rsidRPr="009F5902">
        <w:rPr>
          <w:sz w:val="20"/>
          <w:szCs w:val="20"/>
          <w:lang w:eastAsia="zh-CN"/>
        </w:rPr>
        <w:t xml:space="preserve"> for future compatibility, some bits may need to be reserved.</w:t>
      </w:r>
    </w:p>
    <w:p w14:paraId="44CA915A" w14:textId="69A73876" w:rsidR="00136EED" w:rsidRDefault="00981E33" w:rsidP="00136EED">
      <w:pPr>
        <w:rPr>
          <w:lang w:eastAsia="zh-CN"/>
        </w:rPr>
      </w:pPr>
      <w:r>
        <w:rPr>
          <w:lang w:eastAsia="zh-CN"/>
        </w:rPr>
        <w:t xml:space="preserve">It should be noted that it is </w:t>
      </w:r>
      <w:r w:rsidR="002501CB">
        <w:rPr>
          <w:lang w:eastAsia="zh-CN"/>
        </w:rPr>
        <w:t xml:space="preserve">also </w:t>
      </w:r>
      <w:r>
        <w:rPr>
          <w:lang w:eastAsia="zh-CN"/>
        </w:rPr>
        <w:t>important to limit the information size in the group common PDCCH.</w:t>
      </w:r>
      <w:r w:rsidR="00FF40CB">
        <w:rPr>
          <w:lang w:eastAsia="zh-CN"/>
        </w:rPr>
        <w:t xml:space="preserve"> Ideally this channel should be available to the UEs on the cell edge </w:t>
      </w:r>
      <w:r w:rsidR="00CA3DB2">
        <w:rPr>
          <w:lang w:eastAsia="zh-CN"/>
        </w:rPr>
        <w:t>for the serving cell as well as</w:t>
      </w:r>
      <w:r w:rsidR="00FF40CB">
        <w:rPr>
          <w:lang w:eastAsia="zh-CN"/>
        </w:rPr>
        <w:t xml:space="preserve"> the neighbor cells. To provide a proper link budget for this purpose, we should try to limit the contents of group common PDCCH </w:t>
      </w:r>
      <w:r w:rsidR="00005D97">
        <w:rPr>
          <w:lang w:eastAsia="zh-CN"/>
        </w:rPr>
        <w:t xml:space="preserve">(&lt;10 or less bits) </w:t>
      </w:r>
      <w:r w:rsidR="00FF40CB">
        <w:rPr>
          <w:lang w:eastAsia="zh-CN"/>
        </w:rPr>
        <w:t>to avoid large coding overhead.</w:t>
      </w:r>
    </w:p>
    <w:p w14:paraId="14ABE107" w14:textId="114B599D" w:rsidR="00005D97" w:rsidRDefault="00005D97" w:rsidP="00136EED">
      <w:pPr>
        <w:rPr>
          <w:lang w:eastAsia="zh-CN"/>
        </w:rPr>
      </w:pPr>
      <w:r>
        <w:rPr>
          <w:lang w:eastAsia="zh-CN"/>
        </w:rPr>
        <w:t>Alternatively we can also consider a full size PDCCH to deliver granular slot f</w:t>
      </w:r>
      <w:bookmarkStart w:id="2" w:name="_GoBack"/>
      <w:bookmarkEnd w:id="2"/>
      <w:r>
        <w:rPr>
          <w:lang w:eastAsia="zh-CN"/>
        </w:rPr>
        <w:t>ormats to indicate all the flexible patterns of slots. However, this may become a very expensive channel and may only be used on a need base.</w:t>
      </w:r>
    </w:p>
    <w:p w14:paraId="46C1BC37" w14:textId="136AFD2B" w:rsidR="00920B0E" w:rsidRDefault="00920B0E" w:rsidP="00920B0E">
      <w:r w:rsidRPr="00A3651A">
        <w:rPr>
          <w:b/>
          <w:u w:val="single"/>
        </w:rPr>
        <w:t xml:space="preserve">Proposal </w:t>
      </w:r>
      <w:r>
        <w:rPr>
          <w:b/>
          <w:u w:val="single"/>
        </w:rPr>
        <w:t>2</w:t>
      </w:r>
      <w:r>
        <w:t xml:space="preserve">: It is proposed to </w:t>
      </w:r>
      <w:r w:rsidR="002501CB">
        <w:t xml:space="preserve">consider </w:t>
      </w:r>
      <w:r>
        <w:t>following contents for group common PDCCH.</w:t>
      </w:r>
    </w:p>
    <w:p w14:paraId="115E768E" w14:textId="77777777" w:rsidR="00920B0E" w:rsidRPr="00136EED" w:rsidRDefault="00920B0E" w:rsidP="0048032D">
      <w:pPr>
        <w:pStyle w:val="ListParagraph"/>
        <w:numPr>
          <w:ilvl w:val="0"/>
          <w:numId w:val="4"/>
        </w:numPr>
        <w:rPr>
          <w:rFonts w:ascii="Times New Roman" w:hAnsi="Times New Roman"/>
          <w:sz w:val="20"/>
          <w:szCs w:val="20"/>
        </w:rPr>
      </w:pPr>
      <w:r w:rsidRPr="00136EED">
        <w:rPr>
          <w:rFonts w:ascii="Times New Roman" w:hAnsi="Times New Roman"/>
          <w:sz w:val="20"/>
          <w:szCs w:val="20"/>
        </w:rPr>
        <w:t>Slot format indicator:</w:t>
      </w:r>
    </w:p>
    <w:p w14:paraId="6FF6E0A0" w14:textId="1F467F0D" w:rsidR="00920B0E" w:rsidRPr="00136EED" w:rsidRDefault="00920B0E" w:rsidP="0048032D">
      <w:pPr>
        <w:pStyle w:val="ListParagraph"/>
        <w:numPr>
          <w:ilvl w:val="1"/>
          <w:numId w:val="4"/>
        </w:numPr>
        <w:rPr>
          <w:rFonts w:ascii="Times New Roman" w:hAnsi="Times New Roman"/>
          <w:sz w:val="20"/>
          <w:szCs w:val="20"/>
          <w:lang w:eastAsia="zh-CN"/>
        </w:rPr>
      </w:pPr>
      <w:r w:rsidRPr="00136EED">
        <w:rPr>
          <w:rFonts w:ascii="Times New Roman" w:hAnsi="Times New Roman"/>
          <w:sz w:val="20"/>
          <w:szCs w:val="20"/>
          <w:lang w:eastAsia="zh-CN"/>
        </w:rPr>
        <w:t>DL centric slot</w:t>
      </w:r>
      <w:r w:rsidR="00AA7819">
        <w:rPr>
          <w:rFonts w:ascii="Times New Roman" w:hAnsi="Times New Roman"/>
          <w:sz w:val="20"/>
          <w:szCs w:val="20"/>
          <w:lang w:eastAsia="zh-CN"/>
        </w:rPr>
        <w:t xml:space="preserve"> (already agreed)</w:t>
      </w:r>
    </w:p>
    <w:p w14:paraId="6D145F6C" w14:textId="1BC93368" w:rsidR="00920B0E" w:rsidRPr="00136EED" w:rsidRDefault="00920B0E" w:rsidP="0048032D">
      <w:pPr>
        <w:pStyle w:val="ListParagraph"/>
        <w:numPr>
          <w:ilvl w:val="1"/>
          <w:numId w:val="4"/>
        </w:numPr>
        <w:rPr>
          <w:rFonts w:ascii="Times New Roman" w:hAnsi="Times New Roman"/>
          <w:sz w:val="20"/>
          <w:szCs w:val="20"/>
          <w:lang w:eastAsia="zh-CN"/>
        </w:rPr>
      </w:pPr>
      <w:r w:rsidRPr="00136EED">
        <w:rPr>
          <w:rFonts w:ascii="Times New Roman" w:hAnsi="Times New Roman"/>
          <w:sz w:val="20"/>
          <w:szCs w:val="20"/>
          <w:lang w:eastAsia="zh-CN"/>
        </w:rPr>
        <w:t>UL centric slot</w:t>
      </w:r>
      <w:r w:rsidR="00AA7819">
        <w:rPr>
          <w:rFonts w:ascii="Times New Roman" w:hAnsi="Times New Roman"/>
          <w:sz w:val="20"/>
          <w:szCs w:val="20"/>
          <w:lang w:eastAsia="zh-CN"/>
        </w:rPr>
        <w:t xml:space="preserve"> (already agreed)</w:t>
      </w:r>
    </w:p>
    <w:p w14:paraId="1FC7AEA5" w14:textId="77777777" w:rsidR="0078618F" w:rsidRPr="00136EED" w:rsidRDefault="0078618F" w:rsidP="0078618F">
      <w:pPr>
        <w:pStyle w:val="ListParagraph"/>
        <w:numPr>
          <w:ilvl w:val="1"/>
          <w:numId w:val="4"/>
        </w:numPr>
        <w:rPr>
          <w:rFonts w:ascii="Times New Roman" w:hAnsi="Times New Roman"/>
          <w:sz w:val="20"/>
          <w:szCs w:val="20"/>
          <w:lang w:eastAsia="zh-CN"/>
        </w:rPr>
      </w:pPr>
      <w:r w:rsidRPr="00136EED">
        <w:rPr>
          <w:rFonts w:ascii="Times New Roman" w:hAnsi="Times New Roman"/>
          <w:sz w:val="20"/>
          <w:szCs w:val="20"/>
          <w:lang w:eastAsia="zh-CN"/>
        </w:rPr>
        <w:t>Almost blank slot</w:t>
      </w:r>
    </w:p>
    <w:p w14:paraId="3A810895" w14:textId="77777777" w:rsidR="002501CB" w:rsidRPr="00195C4C" w:rsidRDefault="002501CB" w:rsidP="002501CB">
      <w:pPr>
        <w:pStyle w:val="ListParagraph"/>
        <w:numPr>
          <w:ilvl w:val="0"/>
          <w:numId w:val="4"/>
        </w:numPr>
        <w:rPr>
          <w:sz w:val="20"/>
          <w:szCs w:val="20"/>
          <w:lang w:eastAsia="zh-CN"/>
        </w:rPr>
      </w:pPr>
      <w:r w:rsidRPr="00195C4C">
        <w:rPr>
          <w:sz w:val="20"/>
          <w:szCs w:val="20"/>
        </w:rPr>
        <w:t>Blanking for periodic DL/UL control signaling</w:t>
      </w:r>
    </w:p>
    <w:p w14:paraId="5885AC49" w14:textId="77777777" w:rsidR="002501CB" w:rsidRDefault="002501CB" w:rsidP="002501CB">
      <w:pPr>
        <w:pStyle w:val="ListParagraph"/>
        <w:numPr>
          <w:ilvl w:val="0"/>
          <w:numId w:val="4"/>
        </w:numPr>
        <w:spacing w:after="120"/>
        <w:rPr>
          <w:sz w:val="20"/>
          <w:szCs w:val="20"/>
          <w:lang w:eastAsia="zh-CN"/>
        </w:rPr>
      </w:pPr>
      <w:r w:rsidRPr="00195C4C">
        <w:rPr>
          <w:sz w:val="20"/>
          <w:szCs w:val="20"/>
          <w:lang w:eastAsia="zh-CN"/>
        </w:rPr>
        <w:t>Reservation for future compatibility</w:t>
      </w:r>
    </w:p>
    <w:p w14:paraId="1521C943" w14:textId="1059DE94" w:rsidR="001D23A3" w:rsidRDefault="001D23A3" w:rsidP="001D23A3">
      <w:pPr>
        <w:pStyle w:val="Heading1"/>
      </w:pPr>
      <w:r>
        <w:t>Open issues for group common PDCCH</w:t>
      </w:r>
    </w:p>
    <w:p w14:paraId="53B5C69C" w14:textId="15EDDA70" w:rsidR="00FF40CB" w:rsidRPr="00FF40CB" w:rsidRDefault="00FF40CB" w:rsidP="001D23A3">
      <w:pPr>
        <w:rPr>
          <w:u w:val="single"/>
          <w:lang w:val="en-GB"/>
        </w:rPr>
      </w:pPr>
      <w:r w:rsidRPr="00FF40CB">
        <w:rPr>
          <w:u w:val="single"/>
          <w:lang w:val="en-GB"/>
        </w:rPr>
        <w:t>RRC configuration</w:t>
      </w:r>
    </w:p>
    <w:p w14:paraId="2D582FE2" w14:textId="77777777" w:rsidR="00A25BD5" w:rsidRDefault="00FF40CB" w:rsidP="001D23A3">
      <w:pPr>
        <w:rPr>
          <w:lang w:val="en-GB"/>
        </w:rPr>
      </w:pPr>
      <w:r>
        <w:rPr>
          <w:lang w:val="en-GB"/>
        </w:rPr>
        <w:t>It was agreed that t</w:t>
      </w:r>
      <w:r w:rsidRPr="00FF40CB">
        <w:rPr>
          <w:lang w:val="en-GB"/>
        </w:rPr>
        <w:t>he network will inform through RRC signalling the UE whether to decode the ‘group common PDCCH’ or not</w:t>
      </w:r>
      <w:r>
        <w:rPr>
          <w:lang w:val="en-GB"/>
        </w:rPr>
        <w:t>. Then, the natural question is how to convey this message to the UEs belonging to other nearby neighbour cells.</w:t>
      </w:r>
      <w:r w:rsidR="00A25BD5">
        <w:rPr>
          <w:lang w:val="en-GB"/>
        </w:rPr>
        <w:t xml:space="preserve"> There can be multiple options:</w:t>
      </w:r>
    </w:p>
    <w:p w14:paraId="51080335" w14:textId="22F6C38D" w:rsidR="00FF40CB" w:rsidRPr="003413C9" w:rsidRDefault="00A25BD5" w:rsidP="0048032D">
      <w:pPr>
        <w:pStyle w:val="ListParagraph"/>
        <w:numPr>
          <w:ilvl w:val="0"/>
          <w:numId w:val="10"/>
        </w:numPr>
        <w:rPr>
          <w:rFonts w:ascii="Times New Roman" w:hAnsi="Times New Roman"/>
          <w:sz w:val="20"/>
        </w:rPr>
      </w:pPr>
      <w:r w:rsidRPr="003413C9">
        <w:rPr>
          <w:rFonts w:ascii="Times New Roman" w:hAnsi="Times New Roman"/>
          <w:sz w:val="20"/>
          <w:lang w:val="en-GB"/>
        </w:rPr>
        <w:t>The serving cell also provides the information for nearby neighbour cells</w:t>
      </w:r>
    </w:p>
    <w:p w14:paraId="6FB8C04D" w14:textId="593A8D31" w:rsidR="00A25BD5" w:rsidRPr="003413C9" w:rsidRDefault="00A25BD5" w:rsidP="0048032D">
      <w:pPr>
        <w:pStyle w:val="ListParagraph"/>
        <w:numPr>
          <w:ilvl w:val="0"/>
          <w:numId w:val="10"/>
        </w:numPr>
        <w:rPr>
          <w:rFonts w:ascii="Times New Roman" w:hAnsi="Times New Roman"/>
          <w:sz w:val="20"/>
        </w:rPr>
      </w:pPr>
      <w:r w:rsidRPr="003413C9">
        <w:rPr>
          <w:rFonts w:ascii="Times New Roman" w:hAnsi="Times New Roman"/>
          <w:sz w:val="20"/>
          <w:lang w:val="en-GB"/>
        </w:rPr>
        <w:t>UE assumes the same configuration for nearby neighbour cells</w:t>
      </w:r>
    </w:p>
    <w:p w14:paraId="481B4533" w14:textId="6FCF84D9" w:rsidR="00A25BD5" w:rsidRPr="003413C9" w:rsidRDefault="00A25BD5" w:rsidP="0048032D">
      <w:pPr>
        <w:pStyle w:val="ListParagraph"/>
        <w:numPr>
          <w:ilvl w:val="0"/>
          <w:numId w:val="10"/>
        </w:numPr>
        <w:rPr>
          <w:rFonts w:ascii="Times New Roman" w:hAnsi="Times New Roman"/>
          <w:sz w:val="20"/>
        </w:rPr>
      </w:pPr>
      <w:r w:rsidRPr="003413C9">
        <w:rPr>
          <w:rFonts w:ascii="Times New Roman" w:hAnsi="Times New Roman"/>
          <w:sz w:val="20"/>
        </w:rPr>
        <w:t>The serving cell informs the configuration is limited to the serving cell only. In this case, UE most likely will not try to decode the group common PDCCH of neighbor cells given uncertainty</w:t>
      </w:r>
    </w:p>
    <w:p w14:paraId="38B8139F" w14:textId="77777777" w:rsidR="00FE53E8" w:rsidRPr="003413C9" w:rsidRDefault="00FE53E8" w:rsidP="00FE53E8">
      <w:pPr>
        <w:rPr>
          <w:sz w:val="18"/>
        </w:rPr>
      </w:pPr>
    </w:p>
    <w:p w14:paraId="7E3FD913" w14:textId="0BBB2189" w:rsidR="00A25BD5" w:rsidRPr="00A25BD5" w:rsidRDefault="00A25BD5" w:rsidP="001D23A3">
      <w:pPr>
        <w:rPr>
          <w:u w:val="single"/>
          <w:lang w:val="en-GB"/>
        </w:rPr>
      </w:pPr>
      <w:r w:rsidRPr="00A25BD5">
        <w:rPr>
          <w:u w:val="single"/>
          <w:lang w:val="en-GB"/>
        </w:rPr>
        <w:t>Scoping of ‘group common’</w:t>
      </w:r>
    </w:p>
    <w:p w14:paraId="330845E9" w14:textId="5C726250" w:rsidR="00FE53E8" w:rsidRDefault="00FE53E8" w:rsidP="001D23A3">
      <w:pPr>
        <w:rPr>
          <w:lang w:val="en-GB"/>
        </w:rPr>
      </w:pPr>
      <w:r>
        <w:rPr>
          <w:lang w:val="en-GB"/>
        </w:rPr>
        <w:t xml:space="preserve">It was </w:t>
      </w:r>
      <w:r w:rsidR="00A6157E">
        <w:rPr>
          <w:lang w:val="en-GB"/>
        </w:rPr>
        <w:t xml:space="preserve">also </w:t>
      </w:r>
      <w:r>
        <w:rPr>
          <w:lang w:val="en-GB"/>
        </w:rPr>
        <w:t>agreed that ‘</w:t>
      </w:r>
      <w:r w:rsidRPr="00FE53E8">
        <w:rPr>
          <w:lang w:val="en-GB"/>
        </w:rPr>
        <w:t>Common</w:t>
      </w:r>
      <w:r>
        <w:rPr>
          <w:lang w:val="en-GB"/>
        </w:rPr>
        <w:t>’</w:t>
      </w:r>
      <w:r w:rsidRPr="00FE53E8">
        <w:rPr>
          <w:lang w:val="en-GB"/>
        </w:rPr>
        <w:t xml:space="preserve"> does not necessarily imply common per cell.</w:t>
      </w:r>
      <w:r>
        <w:rPr>
          <w:lang w:val="en-GB"/>
        </w:rPr>
        <w:t xml:space="preserve"> There may be a need to clarify the scope of this group. It is not very clear, whether this is intended assuming multi-beam deployment or it is also intended for single beam deployment assuming there can be multiple groups within the cell.</w:t>
      </w:r>
      <w:r w:rsidR="00A6157E">
        <w:rPr>
          <w:lang w:val="en-GB"/>
        </w:rPr>
        <w:t xml:space="preserve"> If it is intended to have multiple groups within a cell and UE needs to distinguish different groups, there should be a solution on how to configure multiple groups.</w:t>
      </w:r>
    </w:p>
    <w:p w14:paraId="0C74E0C2" w14:textId="77777777" w:rsidR="00A6157E" w:rsidRPr="00A6157E" w:rsidRDefault="00A6157E" w:rsidP="001D23A3">
      <w:pPr>
        <w:rPr>
          <w:lang w:val="en-GB"/>
        </w:rPr>
      </w:pPr>
    </w:p>
    <w:p w14:paraId="25023506" w14:textId="60B9001E" w:rsidR="00A25BD5" w:rsidRPr="00A25BD5" w:rsidRDefault="00A25BD5" w:rsidP="001D23A3">
      <w:pPr>
        <w:rPr>
          <w:u w:val="single"/>
          <w:lang w:val="en-GB"/>
        </w:rPr>
      </w:pPr>
      <w:r w:rsidRPr="00A25BD5">
        <w:rPr>
          <w:u w:val="single"/>
          <w:lang w:val="en-GB"/>
        </w:rPr>
        <w:t>PHY channel of group common PDCCH</w:t>
      </w:r>
    </w:p>
    <w:p w14:paraId="65734AF5" w14:textId="7B056E64" w:rsidR="002B1939" w:rsidRDefault="00A6157E" w:rsidP="001D23A3">
      <w:pPr>
        <w:rPr>
          <w:lang w:val="en-GB"/>
        </w:rPr>
      </w:pPr>
      <w:r>
        <w:t>Actual PHY channel for group common PDCCH is still TBD. We can consider reusing a regular PDCCH or introducing a new PHY channel. We view that PHY channel</w:t>
      </w:r>
      <w:r w:rsidR="001D23A3">
        <w:rPr>
          <w:lang w:val="en-GB"/>
        </w:rPr>
        <w:t xml:space="preserve"> decision </w:t>
      </w:r>
      <w:r>
        <w:rPr>
          <w:lang w:val="en-GB"/>
        </w:rPr>
        <w:t xml:space="preserve">can be </w:t>
      </w:r>
      <w:r w:rsidR="001D23A3">
        <w:rPr>
          <w:lang w:val="en-GB"/>
        </w:rPr>
        <w:t>de</w:t>
      </w:r>
      <w:r>
        <w:rPr>
          <w:lang w:val="en-GB"/>
        </w:rPr>
        <w:t xml:space="preserve">ferred till the contents of this </w:t>
      </w:r>
      <w:r w:rsidR="001D23A3">
        <w:rPr>
          <w:lang w:val="en-GB"/>
        </w:rPr>
        <w:t xml:space="preserve">channel </w:t>
      </w:r>
      <w:r>
        <w:rPr>
          <w:lang w:val="en-GB"/>
        </w:rPr>
        <w:t xml:space="preserve">and the number of information bits are </w:t>
      </w:r>
      <w:r w:rsidR="001D23A3">
        <w:rPr>
          <w:lang w:val="en-GB"/>
        </w:rPr>
        <w:t>finalized</w:t>
      </w:r>
      <w:r>
        <w:rPr>
          <w:lang w:val="en-GB"/>
        </w:rPr>
        <w:t>.</w:t>
      </w:r>
    </w:p>
    <w:p w14:paraId="0F4265EA" w14:textId="77777777" w:rsidR="00920B0E" w:rsidRDefault="00920B0E" w:rsidP="00920B0E">
      <w:r w:rsidRPr="00A3651A">
        <w:rPr>
          <w:b/>
          <w:u w:val="single"/>
        </w:rPr>
        <w:t>Proposal 3</w:t>
      </w:r>
      <w:r>
        <w:t>: PHY channel decision is deferred till the contents and the number of information bits for group common PDCCH are finalized.</w:t>
      </w:r>
    </w:p>
    <w:p w14:paraId="56D28D4B" w14:textId="26018A49" w:rsidR="00067CA8" w:rsidRPr="00226FE2" w:rsidRDefault="004503F9" w:rsidP="00067CA8">
      <w:pPr>
        <w:pStyle w:val="Heading1"/>
        <w:rPr>
          <w:lang w:eastAsia="zh-CN"/>
        </w:rPr>
      </w:pPr>
      <w:r>
        <w:rPr>
          <w:lang w:eastAsia="zh-CN"/>
        </w:rPr>
        <w:lastRenderedPageBreak/>
        <w:t>Conclusions</w:t>
      </w:r>
    </w:p>
    <w:p w14:paraId="44963BCB" w14:textId="233C0204" w:rsidR="00915570" w:rsidRDefault="005C33CE" w:rsidP="00915570">
      <w:r>
        <w:rPr>
          <w:szCs w:val="22"/>
        </w:rPr>
        <w:t>We further discuss open issues on group common PDCCH. The following proposals have been made:</w:t>
      </w:r>
    </w:p>
    <w:p w14:paraId="687AFFDE" w14:textId="6D8B0EAA" w:rsidR="00B271E3" w:rsidRDefault="00B271E3" w:rsidP="00B271E3">
      <w:r w:rsidRPr="00A3651A">
        <w:rPr>
          <w:b/>
          <w:u w:val="single"/>
        </w:rPr>
        <w:t xml:space="preserve">Proposal </w:t>
      </w:r>
      <w:r>
        <w:rPr>
          <w:b/>
          <w:u w:val="single"/>
        </w:rPr>
        <w:t>1</w:t>
      </w:r>
      <w:r>
        <w:t>: Dynamic CFI is not considered for group common PDCCH.</w:t>
      </w:r>
    </w:p>
    <w:p w14:paraId="71AF37D9" w14:textId="77777777" w:rsidR="00205543" w:rsidRDefault="00205543" w:rsidP="00205543">
      <w:r w:rsidRPr="00A3651A">
        <w:rPr>
          <w:b/>
          <w:u w:val="single"/>
        </w:rPr>
        <w:t xml:space="preserve">Proposal </w:t>
      </w:r>
      <w:r>
        <w:rPr>
          <w:b/>
          <w:u w:val="single"/>
        </w:rPr>
        <w:t>2</w:t>
      </w:r>
      <w:r>
        <w:t>: It is proposed to consider following contents for group common PDCCH.</w:t>
      </w:r>
    </w:p>
    <w:p w14:paraId="69FE741E" w14:textId="77777777" w:rsidR="00205543" w:rsidRPr="00136EED" w:rsidRDefault="00205543" w:rsidP="00205543">
      <w:pPr>
        <w:pStyle w:val="ListParagraph"/>
        <w:numPr>
          <w:ilvl w:val="0"/>
          <w:numId w:val="4"/>
        </w:numPr>
        <w:rPr>
          <w:rFonts w:ascii="Times New Roman" w:hAnsi="Times New Roman"/>
          <w:sz w:val="20"/>
          <w:szCs w:val="20"/>
        </w:rPr>
      </w:pPr>
      <w:r w:rsidRPr="00136EED">
        <w:rPr>
          <w:rFonts w:ascii="Times New Roman" w:hAnsi="Times New Roman"/>
          <w:sz w:val="20"/>
          <w:szCs w:val="20"/>
        </w:rPr>
        <w:t>Slot format indicator:</w:t>
      </w:r>
    </w:p>
    <w:p w14:paraId="61B99F81" w14:textId="77777777" w:rsidR="00205543" w:rsidRPr="00136EED" w:rsidRDefault="00205543" w:rsidP="00205543">
      <w:pPr>
        <w:pStyle w:val="ListParagraph"/>
        <w:numPr>
          <w:ilvl w:val="1"/>
          <w:numId w:val="4"/>
        </w:numPr>
        <w:rPr>
          <w:rFonts w:ascii="Times New Roman" w:hAnsi="Times New Roman"/>
          <w:sz w:val="20"/>
          <w:szCs w:val="20"/>
          <w:lang w:eastAsia="zh-CN"/>
        </w:rPr>
      </w:pPr>
      <w:r w:rsidRPr="00136EED">
        <w:rPr>
          <w:rFonts w:ascii="Times New Roman" w:hAnsi="Times New Roman"/>
          <w:sz w:val="20"/>
          <w:szCs w:val="20"/>
          <w:lang w:eastAsia="zh-CN"/>
        </w:rPr>
        <w:t>DL centric slot</w:t>
      </w:r>
      <w:r>
        <w:rPr>
          <w:rFonts w:ascii="Times New Roman" w:hAnsi="Times New Roman"/>
          <w:sz w:val="20"/>
          <w:szCs w:val="20"/>
          <w:lang w:eastAsia="zh-CN"/>
        </w:rPr>
        <w:t xml:space="preserve"> (already agreed)</w:t>
      </w:r>
    </w:p>
    <w:p w14:paraId="2928F454" w14:textId="77777777" w:rsidR="00205543" w:rsidRPr="00136EED" w:rsidRDefault="00205543" w:rsidP="00205543">
      <w:pPr>
        <w:pStyle w:val="ListParagraph"/>
        <w:numPr>
          <w:ilvl w:val="1"/>
          <w:numId w:val="4"/>
        </w:numPr>
        <w:rPr>
          <w:rFonts w:ascii="Times New Roman" w:hAnsi="Times New Roman"/>
          <w:sz w:val="20"/>
          <w:szCs w:val="20"/>
          <w:lang w:eastAsia="zh-CN"/>
        </w:rPr>
      </w:pPr>
      <w:r w:rsidRPr="00136EED">
        <w:rPr>
          <w:rFonts w:ascii="Times New Roman" w:hAnsi="Times New Roman"/>
          <w:sz w:val="20"/>
          <w:szCs w:val="20"/>
          <w:lang w:eastAsia="zh-CN"/>
        </w:rPr>
        <w:t>UL centric slot</w:t>
      </w:r>
      <w:r>
        <w:rPr>
          <w:rFonts w:ascii="Times New Roman" w:hAnsi="Times New Roman"/>
          <w:sz w:val="20"/>
          <w:szCs w:val="20"/>
          <w:lang w:eastAsia="zh-CN"/>
        </w:rPr>
        <w:t xml:space="preserve"> (already agreed)</w:t>
      </w:r>
    </w:p>
    <w:p w14:paraId="2331F38A" w14:textId="77777777" w:rsidR="00205543" w:rsidRPr="00136EED" w:rsidRDefault="00205543" w:rsidP="00205543">
      <w:pPr>
        <w:pStyle w:val="ListParagraph"/>
        <w:numPr>
          <w:ilvl w:val="1"/>
          <w:numId w:val="4"/>
        </w:numPr>
        <w:rPr>
          <w:rFonts w:ascii="Times New Roman" w:hAnsi="Times New Roman"/>
          <w:sz w:val="20"/>
          <w:szCs w:val="20"/>
          <w:lang w:eastAsia="zh-CN"/>
        </w:rPr>
      </w:pPr>
      <w:r w:rsidRPr="00136EED">
        <w:rPr>
          <w:rFonts w:ascii="Times New Roman" w:hAnsi="Times New Roman"/>
          <w:sz w:val="20"/>
          <w:szCs w:val="20"/>
          <w:lang w:eastAsia="zh-CN"/>
        </w:rPr>
        <w:t>Almost blank slot</w:t>
      </w:r>
    </w:p>
    <w:p w14:paraId="4E58B160" w14:textId="77777777" w:rsidR="00205543" w:rsidRPr="00195C4C" w:rsidRDefault="00205543" w:rsidP="00205543">
      <w:pPr>
        <w:pStyle w:val="ListParagraph"/>
        <w:numPr>
          <w:ilvl w:val="0"/>
          <w:numId w:val="4"/>
        </w:numPr>
        <w:rPr>
          <w:sz w:val="20"/>
          <w:szCs w:val="20"/>
          <w:lang w:eastAsia="zh-CN"/>
        </w:rPr>
      </w:pPr>
      <w:r w:rsidRPr="00195C4C">
        <w:rPr>
          <w:sz w:val="20"/>
          <w:szCs w:val="20"/>
        </w:rPr>
        <w:t>Blanking for periodic DL/UL control signaling</w:t>
      </w:r>
    </w:p>
    <w:p w14:paraId="3B998B37" w14:textId="77777777" w:rsidR="00205543" w:rsidRDefault="00205543" w:rsidP="00205543">
      <w:pPr>
        <w:pStyle w:val="ListParagraph"/>
        <w:numPr>
          <w:ilvl w:val="0"/>
          <w:numId w:val="4"/>
        </w:numPr>
        <w:spacing w:after="120"/>
        <w:rPr>
          <w:sz w:val="20"/>
          <w:szCs w:val="20"/>
          <w:lang w:eastAsia="zh-CN"/>
        </w:rPr>
      </w:pPr>
      <w:r w:rsidRPr="00195C4C">
        <w:rPr>
          <w:sz w:val="20"/>
          <w:szCs w:val="20"/>
          <w:lang w:eastAsia="zh-CN"/>
        </w:rPr>
        <w:t>Reservation for future compatibility</w:t>
      </w:r>
    </w:p>
    <w:p w14:paraId="28E05C97" w14:textId="46BFB4C4" w:rsidR="00CC34E2" w:rsidRDefault="00CC34E2" w:rsidP="007977CE">
      <w:r w:rsidRPr="00A3651A">
        <w:rPr>
          <w:b/>
          <w:u w:val="single"/>
        </w:rPr>
        <w:t>Proposal 3</w:t>
      </w:r>
      <w:r w:rsidR="00412263">
        <w:t>:</w:t>
      </w:r>
      <w:r>
        <w:t xml:space="preserve"> </w:t>
      </w:r>
      <w:r w:rsidR="00E71166">
        <w:t>PHY channel decision is deferred till the contents and the number of information bits for group common PDCCH are finalized.</w:t>
      </w:r>
    </w:p>
    <w:sectPr w:rsidR="00CC34E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8A1AF" w14:textId="77777777" w:rsidR="00D426E8" w:rsidRDefault="00D426E8">
      <w:r>
        <w:separator/>
      </w:r>
    </w:p>
  </w:endnote>
  <w:endnote w:type="continuationSeparator" w:id="0">
    <w:p w14:paraId="232AC2D5" w14:textId="77777777" w:rsidR="00D426E8" w:rsidRDefault="00D426E8">
      <w:r>
        <w:continuationSeparator/>
      </w:r>
    </w:p>
  </w:endnote>
  <w:endnote w:type="continuationNotice" w:id="1">
    <w:p w14:paraId="08359D9E" w14:textId="77777777" w:rsidR="00D426E8" w:rsidRDefault="00D42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13C9" w:rsidRDefault="003413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13C9" w:rsidRDefault="003413C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461BA582" w:rsidR="003413C9" w:rsidRDefault="003413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A3DB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3DB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1397F" w14:textId="77777777" w:rsidR="00D426E8" w:rsidRDefault="00D426E8">
      <w:r>
        <w:separator/>
      </w:r>
    </w:p>
  </w:footnote>
  <w:footnote w:type="continuationSeparator" w:id="0">
    <w:p w14:paraId="492F47FD" w14:textId="77777777" w:rsidR="00D426E8" w:rsidRDefault="00D426E8">
      <w:r>
        <w:continuationSeparator/>
      </w:r>
    </w:p>
  </w:footnote>
  <w:footnote w:type="continuationNotice" w:id="1">
    <w:p w14:paraId="5AFF59F7" w14:textId="77777777" w:rsidR="00D426E8" w:rsidRDefault="00D426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13C9" w:rsidRDefault="003413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num>
  <w:num w:numId="4">
    <w:abstractNumId w:val="8"/>
  </w:num>
  <w:num w:numId="5">
    <w:abstractNumId w:val="3"/>
  </w:num>
  <w:num w:numId="6">
    <w:abstractNumId w:val="6"/>
  </w:num>
  <w:num w:numId="7">
    <w:abstractNumId w:val="4"/>
  </w:num>
  <w:num w:numId="8">
    <w:abstractNumId w:val="7"/>
  </w:num>
  <w:num w:numId="9">
    <w:abstractNumId w:val="2"/>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824"/>
    <w:rsid w:val="00DF69A9"/>
    <w:rsid w:val="00DF6A7B"/>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HR33RHYHUWRF-4-1729</_dlc_DocId>
    <_dlc_DocIdUrl xmlns="c06861ca-3f08-4d07-bff7-bb15bac121f4">
      <Url>https://projects.qualcomm.com/sites/pentari/_layouts/15/DocIdRedir.aspx?ID=HR33RHYHUWRF-4-1729</Url>
      <Description>HR33RHYHUWRF-4-1729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58757F-11AB-43B0-911B-BF8DFCC1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1323</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8853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Lee, Heechoon</cp:lastModifiedBy>
  <cp:revision>9</cp:revision>
  <cp:lastPrinted>2014-11-07T05:38:00Z</cp:lastPrinted>
  <dcterms:created xsi:type="dcterms:W3CDTF">2017-02-07T06:00:00Z</dcterms:created>
  <dcterms:modified xsi:type="dcterms:W3CDTF">2017-02-07T06:50:00Z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a9163fd0-694d-481a-b991-9c07e6a887af</vt:lpwstr>
  </property>
  <property fmtid="{D5CDD505-2E9C-101B-9397-08002B2CF9AE}" pid="10" name="_ReviewingToolsShownOnce">
    <vt:lpwstr/>
  </property>
</Properties>
</file>