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8DB09" w14:textId="7BA4B614" w:rsidR="00EA6C38" w:rsidRPr="006E473F" w:rsidRDefault="00EA6C38" w:rsidP="009C7599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59155C">
        <w:rPr>
          <w:rFonts w:hint="eastAsia"/>
          <w:b/>
          <w:sz w:val="24"/>
          <w:szCs w:val="24"/>
          <w:lang w:eastAsia="ko-KR"/>
        </w:rPr>
        <w:t>8</w:t>
      </w:r>
      <w:r w:rsidR="005F7771">
        <w:rPr>
          <w:b/>
          <w:sz w:val="24"/>
          <w:szCs w:val="24"/>
          <w:lang w:eastAsia="ko-KR"/>
        </w:rPr>
        <w:t>7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3305">
        <w:rPr>
          <w:b/>
          <w:i/>
          <w:noProof/>
          <w:sz w:val="24"/>
          <w:szCs w:val="24"/>
          <w:lang w:eastAsia="ko-KR"/>
        </w:rPr>
        <w:t>6</w:t>
      </w:r>
      <w:r w:rsidR="005C6024">
        <w:rPr>
          <w:b/>
          <w:i/>
          <w:noProof/>
          <w:sz w:val="24"/>
          <w:szCs w:val="24"/>
          <w:lang w:eastAsia="ko-KR"/>
        </w:rPr>
        <w:t>12451</w:t>
      </w:r>
    </w:p>
    <w:bookmarkEnd w:id="0"/>
    <w:bookmarkEnd w:id="1"/>
    <w:p w14:paraId="7E9A5EFF" w14:textId="76DB5EFC" w:rsidR="003D6F63" w:rsidRPr="003D6F63" w:rsidRDefault="005F7771" w:rsidP="009C7599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Reno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color w:val="545454"/>
          <w:sz w:val="24"/>
          <w:shd w:val="clear" w:color="auto" w:fill="FFFFFF"/>
        </w:rPr>
        <w:t>USA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 w:rsidR="00614ED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614ED4">
        <w:rPr>
          <w:rFonts w:ascii="Arial" w:hAnsi="Arial" w:cs="Arial" w:hint="eastAsia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 w:rsidR="00614ED4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3D6F63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2016</w:t>
      </w:r>
    </w:p>
    <w:p w14:paraId="42CD44DA" w14:textId="77777777" w:rsidR="0014141E" w:rsidRDefault="0014141E" w:rsidP="009C7599">
      <w:pPr>
        <w:tabs>
          <w:tab w:val="left" w:pos="1985"/>
        </w:tabs>
        <w:ind w:left="2040" w:hangingChars="850" w:hanging="2040"/>
        <w:jc w:val="both"/>
        <w:rPr>
          <w:rFonts w:ascii="Arial" w:hAnsi="Arial"/>
          <w:b/>
          <w:sz w:val="24"/>
        </w:rPr>
      </w:pPr>
    </w:p>
    <w:p w14:paraId="75CD537F" w14:textId="6AB271BC" w:rsidR="0072162A" w:rsidRDefault="0072162A" w:rsidP="009C7599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F7771">
        <w:rPr>
          <w:rFonts w:ascii="Arial" w:hAnsi="Arial"/>
          <w:sz w:val="24"/>
          <w:lang w:eastAsia="ko-KR"/>
        </w:rPr>
        <w:t>7</w:t>
      </w:r>
      <w:r w:rsidR="006F4D44">
        <w:rPr>
          <w:rFonts w:ascii="Arial" w:hAnsi="Arial"/>
          <w:sz w:val="24"/>
          <w:lang w:eastAsia="ko-KR"/>
        </w:rPr>
        <w:t>.</w:t>
      </w:r>
      <w:r w:rsidR="00075052">
        <w:rPr>
          <w:rFonts w:ascii="Arial" w:hAnsi="Arial"/>
          <w:sz w:val="24"/>
          <w:lang w:eastAsia="ko-KR"/>
        </w:rPr>
        <w:t>1</w:t>
      </w:r>
      <w:r w:rsidR="006F4D44">
        <w:rPr>
          <w:rFonts w:ascii="Arial" w:hAnsi="Arial"/>
          <w:sz w:val="24"/>
          <w:lang w:eastAsia="ko-KR"/>
        </w:rPr>
        <w:t>.</w:t>
      </w:r>
      <w:r w:rsidR="00725197">
        <w:rPr>
          <w:rFonts w:ascii="Arial" w:hAnsi="Arial"/>
          <w:sz w:val="24"/>
          <w:lang w:eastAsia="ko-KR"/>
        </w:rPr>
        <w:t>2</w:t>
      </w:r>
      <w:r w:rsidR="00075052">
        <w:rPr>
          <w:rFonts w:ascii="Arial" w:hAnsi="Arial"/>
          <w:sz w:val="24"/>
          <w:lang w:eastAsia="ko-KR"/>
        </w:rPr>
        <w:t>.</w:t>
      </w:r>
      <w:r w:rsidR="00725197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9C7599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2BFB39C2" w:rsidR="0072162A" w:rsidRPr="004D7CAE" w:rsidRDefault="0072162A" w:rsidP="009C7599">
      <w:pPr>
        <w:tabs>
          <w:tab w:val="left" w:pos="1985"/>
        </w:tabs>
        <w:ind w:left="2040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725197">
        <w:rPr>
          <w:rFonts w:ascii="Arial" w:hAnsi="Arial"/>
          <w:sz w:val="24"/>
        </w:rPr>
        <w:t>Discussion on multiplexing initial access signals</w:t>
      </w:r>
    </w:p>
    <w:p w14:paraId="1BD90C89" w14:textId="3A0D47F0" w:rsidR="0072162A" w:rsidRDefault="0072162A" w:rsidP="009C7599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jc w:val="both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</w:p>
    <w:p w14:paraId="70C29D63" w14:textId="77777777" w:rsidR="0072162A" w:rsidRPr="002958FD" w:rsidRDefault="0072162A" w:rsidP="009C7599">
      <w:pPr>
        <w:pStyle w:val="Heading1"/>
        <w:tabs>
          <w:tab w:val="num" w:pos="0"/>
        </w:tabs>
        <w:ind w:left="799" w:hanging="799"/>
        <w:jc w:val="both"/>
      </w:pPr>
      <w:r w:rsidRPr="002958FD">
        <w:t>I</w:t>
      </w:r>
      <w:r w:rsidRPr="002958FD">
        <w:rPr>
          <w:rFonts w:hint="eastAsia"/>
        </w:rPr>
        <w:t>ntroduction</w:t>
      </w:r>
    </w:p>
    <w:p w14:paraId="4C20CEB6" w14:textId="49D73C6D" w:rsidR="00BD2E41" w:rsidRDefault="00BD2E41" w:rsidP="009C7599">
      <w:pPr>
        <w:pStyle w:val="Style1"/>
      </w:pPr>
      <w:r>
        <w:t>In RAN</w:t>
      </w:r>
      <w:r w:rsidR="008E43B1">
        <w:t>1</w:t>
      </w:r>
      <w:r>
        <w:t>#8</w:t>
      </w:r>
      <w:r w:rsidR="00AE3C62">
        <w:t xml:space="preserve">6b </w:t>
      </w:r>
      <w:r>
        <w:t xml:space="preserve">[1], the evaluation assumptions to study the initial access performance were agreed. In this contribution we </w:t>
      </w:r>
      <w:r w:rsidR="003A1BBA">
        <w:t xml:space="preserve">present our synchronization </w:t>
      </w:r>
      <w:r w:rsidR="00EA12E0">
        <w:t xml:space="preserve">multiplexing </w:t>
      </w:r>
      <w:r w:rsidR="003A1BBA">
        <w:t xml:space="preserve">design as well as </w:t>
      </w:r>
      <w:r>
        <w:t>provide simulation results to study the sync performance.</w:t>
      </w:r>
      <w:r w:rsidR="008E43B1">
        <w:t xml:space="preserve"> The following agreements were</w:t>
      </w:r>
      <w:r w:rsidR="001E3927">
        <w:t xml:space="preserve"> reached</w:t>
      </w:r>
      <w:r w:rsidR="008E43B1">
        <w:t xml:space="preserve"> in RAN1#8</w:t>
      </w:r>
      <w:r w:rsidR="00F47B5B">
        <w:t>6b</w:t>
      </w:r>
      <w:r w:rsidR="003C2C32">
        <w:t xml:space="preserve"> </w:t>
      </w:r>
      <w:r w:rsidR="008E43B1">
        <w:t>[</w:t>
      </w:r>
      <w:r w:rsidR="00D5048D">
        <w:t>2</w:t>
      </w:r>
      <w:r w:rsidR="008E43B1">
        <w:t>]:</w:t>
      </w:r>
    </w:p>
    <w:p w14:paraId="6C1B5537" w14:textId="77777777" w:rsidR="008E43B1" w:rsidRPr="002A1B7D" w:rsidRDefault="008E43B1" w:rsidP="009C7599">
      <w:pPr>
        <w:jc w:val="both"/>
        <w:rPr>
          <w:rFonts w:eastAsia="MS Mincho"/>
          <w:b/>
          <w:u w:val="single"/>
          <w:lang w:val="en-US" w:eastAsia="ja-JP"/>
        </w:rPr>
      </w:pPr>
      <w:r w:rsidRPr="007A01AD">
        <w:rPr>
          <w:rFonts w:eastAsia="MS Mincho" w:hint="eastAsia"/>
          <w:b/>
          <w:highlight w:val="green"/>
          <w:u w:val="single"/>
          <w:lang w:val="en-US" w:eastAsia="ja-JP"/>
        </w:rPr>
        <w:t>Agreements:</w:t>
      </w:r>
    </w:p>
    <w:p w14:paraId="6FA10A6D" w14:textId="77777777" w:rsidR="008E43B1" w:rsidRPr="005D2858" w:rsidRDefault="008E43B1" w:rsidP="009C7599">
      <w:pPr>
        <w:numPr>
          <w:ilvl w:val="0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>NR defines at least two types of synchronization signals</w:t>
      </w:r>
    </w:p>
    <w:p w14:paraId="1019E3B9" w14:textId="77777777" w:rsidR="008E43B1" w:rsidRPr="005D2858" w:rsidRDefault="008E43B1" w:rsidP="009C7599">
      <w:pPr>
        <w:numPr>
          <w:ilvl w:val="1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>NR-PSS at least for initial symbol boundary synchronization to the NR cell</w:t>
      </w:r>
    </w:p>
    <w:p w14:paraId="4C41E7E1" w14:textId="77777777" w:rsidR="008E43B1" w:rsidRPr="005D2858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>FFS other functionality provided by NR-PSS, e.g., part of NR cell ID, serving as DMRS for NR-SSS, detection of subcarrier spacing</w:t>
      </w:r>
    </w:p>
    <w:p w14:paraId="17697B02" w14:textId="6A2F027E" w:rsidR="008E43B1" w:rsidRPr="005D2858" w:rsidRDefault="008E43B1" w:rsidP="009C7599">
      <w:pPr>
        <w:numPr>
          <w:ilvl w:val="1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 xml:space="preserve">NR-SSS for detection of </w:t>
      </w:r>
      <w:r>
        <w:rPr>
          <w:rFonts w:eastAsia="MS Mincho" w:hint="eastAsia"/>
          <w:lang w:val="en-US" w:eastAsia="ja-JP"/>
        </w:rPr>
        <w:t xml:space="preserve">NR cell ID or </w:t>
      </w:r>
      <w:r w:rsidRPr="005D2858">
        <w:rPr>
          <w:rFonts w:eastAsia="MS Mincho"/>
          <w:lang w:val="en-US" w:eastAsia="ja-JP"/>
        </w:rPr>
        <w:t>at least par</w:t>
      </w:r>
      <w:r>
        <w:rPr>
          <w:rFonts w:eastAsia="MS Mincho"/>
          <w:lang w:val="en-US" w:eastAsia="ja-JP"/>
        </w:rPr>
        <w:t xml:space="preserve">t of </w:t>
      </w:r>
      <w:r>
        <w:rPr>
          <w:rFonts w:eastAsia="MS Mincho" w:hint="eastAsia"/>
          <w:lang w:val="en-US" w:eastAsia="ja-JP"/>
        </w:rPr>
        <w:t>NR cell</w:t>
      </w:r>
      <w:r w:rsidRPr="005D2858">
        <w:rPr>
          <w:rFonts w:eastAsia="MS Mincho"/>
          <w:lang w:val="en-US" w:eastAsia="ja-JP"/>
        </w:rPr>
        <w:t xml:space="preserve"> ID</w:t>
      </w:r>
    </w:p>
    <w:p w14:paraId="44A0AE27" w14:textId="77777777" w:rsidR="008E43B1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 xml:space="preserve">Number of NR cell IDs is </w:t>
      </w:r>
      <w:r>
        <w:rPr>
          <w:rFonts w:eastAsia="MS Mincho" w:hint="eastAsia"/>
          <w:lang w:val="en-US" w:eastAsia="ja-JP"/>
        </w:rPr>
        <w:t>targeted to be at least 504</w:t>
      </w:r>
    </w:p>
    <w:p w14:paraId="6345F15F" w14:textId="77777777" w:rsidR="008E43B1" w:rsidRPr="005D2858" w:rsidRDefault="008E43B1" w:rsidP="009C7599">
      <w:pPr>
        <w:numPr>
          <w:ilvl w:val="3"/>
          <w:numId w:val="24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FFS: </w:t>
      </w:r>
      <w:r w:rsidRPr="005D2858">
        <w:rPr>
          <w:rFonts w:eastAsia="MS Mincho"/>
          <w:lang w:val="en-US" w:eastAsia="ja-JP"/>
        </w:rPr>
        <w:t>larger than that in LTE</w:t>
      </w:r>
    </w:p>
    <w:p w14:paraId="0D49B63C" w14:textId="77777777" w:rsidR="008E43B1" w:rsidRPr="005D2858" w:rsidRDefault="008E43B1" w:rsidP="009C7599">
      <w:pPr>
        <w:numPr>
          <w:ilvl w:val="3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>FFS number of NR cell IDs</w:t>
      </w:r>
    </w:p>
    <w:p w14:paraId="5FE0E4C7" w14:textId="77777777" w:rsidR="008E43B1" w:rsidRPr="005D2858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 xml:space="preserve">NR-SSS detection is based on the fixed </w:t>
      </w:r>
      <w:r>
        <w:rPr>
          <w:rFonts w:eastAsia="MS Mincho" w:hint="eastAsia"/>
          <w:lang w:val="en-US" w:eastAsia="ja-JP"/>
        </w:rPr>
        <w:t xml:space="preserve">time/freq. </w:t>
      </w:r>
      <w:r w:rsidRPr="005D2858">
        <w:rPr>
          <w:rFonts w:eastAsia="MS Mincho"/>
          <w:lang w:val="en-US" w:eastAsia="ja-JP"/>
        </w:rPr>
        <w:t xml:space="preserve">relationship with NR-PSS resource position irrespective of duplex mode and beam operation type at least within a given </w:t>
      </w:r>
      <w:r>
        <w:rPr>
          <w:rFonts w:eastAsia="MS Mincho"/>
          <w:lang w:val="en-US" w:eastAsia="ja-JP"/>
        </w:rPr>
        <w:t>frequency range and CP overhead</w:t>
      </w:r>
    </w:p>
    <w:p w14:paraId="51B57CFC" w14:textId="77777777" w:rsidR="008E43B1" w:rsidRPr="005D2858" w:rsidRDefault="008E43B1" w:rsidP="009C7599">
      <w:pPr>
        <w:numPr>
          <w:ilvl w:val="3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>FFS FDM or TDM</w:t>
      </w:r>
    </w:p>
    <w:p w14:paraId="3A88AF75" w14:textId="77777777" w:rsidR="008E43B1" w:rsidRPr="005D2858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5D2858">
        <w:rPr>
          <w:rFonts w:eastAsia="MS Mincho"/>
          <w:lang w:val="en-US" w:eastAsia="ja-JP"/>
        </w:rPr>
        <w:t xml:space="preserve">FFS other functionality provided by NR-SSS, e.g., demodulation of broadcast channel, RRM measurement, deriving </w:t>
      </w:r>
      <w:proofErr w:type="spellStart"/>
      <w:r w:rsidRPr="005D2858">
        <w:rPr>
          <w:rFonts w:eastAsia="MS Mincho"/>
          <w:lang w:val="en-US" w:eastAsia="ja-JP"/>
        </w:rPr>
        <w:t>subframe</w:t>
      </w:r>
      <w:proofErr w:type="spellEnd"/>
      <w:r w:rsidRPr="005D2858">
        <w:rPr>
          <w:rFonts w:eastAsia="MS Mincho"/>
          <w:lang w:val="en-US" w:eastAsia="ja-JP"/>
        </w:rPr>
        <w:t xml:space="preserve"> index, deriving symbol index</w:t>
      </w:r>
    </w:p>
    <w:p w14:paraId="28BFE22A" w14:textId="77777777" w:rsidR="008E43B1" w:rsidRPr="00B0535A" w:rsidRDefault="008E43B1" w:rsidP="009C7599">
      <w:pPr>
        <w:numPr>
          <w:ilvl w:val="0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NR defines at least one broadcast channel: NR-PBCH</w:t>
      </w:r>
    </w:p>
    <w:p w14:paraId="645423BF" w14:textId="77777777" w:rsidR="008E43B1" w:rsidRDefault="008E43B1" w:rsidP="009C7599">
      <w:pPr>
        <w:numPr>
          <w:ilvl w:val="1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 xml:space="preserve">NR-PBCH decoding is based on the fixed relationship with NR-PSS and/or NR-SSS resource position irrespective of duplex mode and beam operation type at least within a given </w:t>
      </w:r>
      <w:r>
        <w:rPr>
          <w:rFonts w:eastAsia="MS Mincho"/>
          <w:lang w:val="en-US" w:eastAsia="ja-JP"/>
        </w:rPr>
        <w:t>frequency range and CP overhead</w:t>
      </w:r>
    </w:p>
    <w:p w14:paraId="0AEC42F6" w14:textId="77777777" w:rsidR="008E43B1" w:rsidRPr="00B0535A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Unlicensed spectrum case</w:t>
      </w:r>
    </w:p>
    <w:p w14:paraId="24D1926A" w14:textId="77777777" w:rsidR="008E43B1" w:rsidRPr="00B0535A" w:rsidRDefault="008E43B1" w:rsidP="009C7599">
      <w:pPr>
        <w:numPr>
          <w:ilvl w:val="1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FFS relationship between NR-PBCH subcarrier spacing and NR-PSS and/or SSS subcarrier spacing</w:t>
      </w:r>
    </w:p>
    <w:p w14:paraId="16EAA515" w14:textId="77777777" w:rsidR="008E43B1" w:rsidRPr="00B0535A" w:rsidRDefault="008E43B1" w:rsidP="009C7599">
      <w:pPr>
        <w:numPr>
          <w:ilvl w:val="1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Following broadcasting schemes to carry essential system information can be considered</w:t>
      </w:r>
    </w:p>
    <w:p w14:paraId="42CBCF6D" w14:textId="77777777" w:rsidR="008E43B1" w:rsidRPr="00B0535A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Option 1: NR-PBCH carries a part of essential system information for initial access including information necessary for UE to receive channel carrying remaining essential system information</w:t>
      </w:r>
    </w:p>
    <w:p w14:paraId="1FE1564D" w14:textId="77777777" w:rsidR="008E43B1" w:rsidRPr="00B0535A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Option 2: NR-PBCH carries minimum information necessary for UE to perform initial UL transmission</w:t>
      </w:r>
      <w:r>
        <w:rPr>
          <w:rFonts w:eastAsia="MS Mincho" w:hint="eastAsia"/>
          <w:lang w:val="en-US" w:eastAsia="ja-JP"/>
        </w:rPr>
        <w:t xml:space="preserve"> (not limited to NR-PRACH)</w:t>
      </w:r>
      <w:r w:rsidRPr="00B0535A">
        <w:rPr>
          <w:rFonts w:eastAsia="MS Mincho"/>
          <w:lang w:val="en-US" w:eastAsia="ja-JP"/>
        </w:rPr>
        <w:t xml:space="preserve"> in addition to information in Option 1</w:t>
      </w:r>
    </w:p>
    <w:p w14:paraId="22B88950" w14:textId="77777777" w:rsidR="008E43B1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 w:rsidRPr="00B0535A">
        <w:rPr>
          <w:rFonts w:eastAsia="MS Mincho"/>
          <w:lang w:val="en-US" w:eastAsia="ja-JP"/>
        </w:rPr>
        <w:t>Option 3: NR-PBCH carries all essential system information for initial access</w:t>
      </w:r>
    </w:p>
    <w:p w14:paraId="1C788487" w14:textId="77777777" w:rsidR="008E43B1" w:rsidRPr="00826D95" w:rsidRDefault="008E43B1" w:rsidP="009C7599">
      <w:pPr>
        <w:numPr>
          <w:ilvl w:val="2"/>
          <w:numId w:val="24"/>
        </w:numPr>
        <w:spacing w:after="0"/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Other options are not precluded</w:t>
      </w:r>
    </w:p>
    <w:p w14:paraId="69A4673E" w14:textId="77777777" w:rsidR="008E43B1" w:rsidRDefault="008E43B1" w:rsidP="009C7599">
      <w:pPr>
        <w:pStyle w:val="Style1"/>
      </w:pPr>
    </w:p>
    <w:p w14:paraId="6F41ADCA" w14:textId="77777777" w:rsidR="00625038" w:rsidRDefault="008E43B1" w:rsidP="00625038">
      <w:pPr>
        <w:pStyle w:val="Style1"/>
      </w:pPr>
      <w:r>
        <w:t>In this contribution, we present our views on mul</w:t>
      </w:r>
      <w:r w:rsidR="00780AE1">
        <w:t xml:space="preserve">tiplexing initial access design. </w:t>
      </w:r>
    </w:p>
    <w:p w14:paraId="6CE39254" w14:textId="1006C85F" w:rsidR="00EC1DCC" w:rsidRDefault="00780AE1" w:rsidP="009C7599">
      <w:pPr>
        <w:pStyle w:val="Heading1"/>
        <w:tabs>
          <w:tab w:val="num" w:pos="0"/>
        </w:tabs>
        <w:spacing w:before="360" w:after="120"/>
        <w:ind w:left="799" w:hanging="799"/>
        <w:jc w:val="both"/>
      </w:pPr>
      <w:r>
        <w:t>Comparison of TDM and FDM</w:t>
      </w:r>
    </w:p>
    <w:p w14:paraId="39180B2D" w14:textId="3DEB0A6E" w:rsidR="004D686D" w:rsidRDefault="006410C5" w:rsidP="009C7599">
      <w:pPr>
        <w:pStyle w:val="Style1"/>
        <w:rPr>
          <w:lang w:val="en-US" w:eastAsia="zh-CN"/>
        </w:rPr>
      </w:pPr>
      <w:r>
        <w:rPr>
          <w:lang w:val="en-US" w:eastAsia="zh-CN"/>
        </w:rPr>
        <w:t>Synchronization signal</w:t>
      </w:r>
      <w:r w:rsidR="004F6FF5">
        <w:rPr>
          <w:lang w:val="en-US" w:eastAsia="zh-CN"/>
        </w:rPr>
        <w:t>s</w:t>
      </w:r>
      <w:r w:rsidR="00C61E9A">
        <w:rPr>
          <w:lang w:val="en-US" w:eastAsia="zh-CN"/>
        </w:rPr>
        <w:t xml:space="preserve"> in </w:t>
      </w:r>
      <w:proofErr w:type="spellStart"/>
      <w:r w:rsidR="00B520FC">
        <w:rPr>
          <w:lang w:val="en-US" w:eastAsia="zh-CN"/>
        </w:rPr>
        <w:t>mm</w:t>
      </w:r>
      <w:r w:rsidR="004F6FF5">
        <w:rPr>
          <w:lang w:val="en-US" w:eastAsia="zh-CN"/>
        </w:rPr>
        <w:t>W</w:t>
      </w:r>
      <w:r w:rsidR="00B520FC">
        <w:rPr>
          <w:lang w:val="en-US" w:eastAsia="zh-CN"/>
        </w:rPr>
        <w:t>ave</w:t>
      </w:r>
      <w:proofErr w:type="spellEnd"/>
      <w:r w:rsidR="00B520FC">
        <w:rPr>
          <w:lang w:val="en-US" w:eastAsia="zh-CN"/>
        </w:rPr>
        <w:t xml:space="preserve"> band</w:t>
      </w:r>
      <w:r w:rsidR="00C61E9A">
        <w:rPr>
          <w:lang w:val="en-US" w:eastAsia="zh-CN"/>
        </w:rPr>
        <w:t xml:space="preserve"> </w:t>
      </w:r>
      <w:r w:rsidR="004F6FF5">
        <w:rPr>
          <w:lang w:val="en-US" w:eastAsia="zh-CN"/>
        </w:rPr>
        <w:t>are</w:t>
      </w:r>
      <w:r w:rsidR="00EC1DCC">
        <w:rPr>
          <w:lang w:val="en-US" w:eastAsia="zh-CN"/>
        </w:rPr>
        <w:t xml:space="preserve"> expected to be </w:t>
      </w:r>
      <w:r w:rsidR="00C61E9A">
        <w:rPr>
          <w:lang w:val="en-US" w:eastAsia="zh-CN"/>
        </w:rPr>
        <w:t xml:space="preserve">transmitted in a </w:t>
      </w:r>
      <w:proofErr w:type="spellStart"/>
      <w:r w:rsidR="00C61E9A">
        <w:rPr>
          <w:lang w:val="en-US" w:eastAsia="zh-CN"/>
        </w:rPr>
        <w:t>beamformed</w:t>
      </w:r>
      <w:proofErr w:type="spellEnd"/>
      <w:r w:rsidR="00C61E9A">
        <w:rPr>
          <w:lang w:val="en-US" w:eastAsia="zh-CN"/>
        </w:rPr>
        <w:t xml:space="preserve"> manner to compensate for high free space path loss and additional penetration losses</w:t>
      </w:r>
      <w:r w:rsidR="00B222FE">
        <w:rPr>
          <w:lang w:val="en-US" w:eastAsia="zh-CN"/>
        </w:rPr>
        <w:t xml:space="preserve">. </w:t>
      </w:r>
      <w:r>
        <w:rPr>
          <w:lang w:val="en-US" w:eastAsia="zh-CN"/>
        </w:rPr>
        <w:t xml:space="preserve">Further, the sync signal is transmitted periodically in time domain. The </w:t>
      </w:r>
      <w:r w:rsidR="004D686D">
        <w:rPr>
          <w:lang w:val="en-US" w:eastAsia="zh-CN"/>
        </w:rPr>
        <w:t>exact value of</w:t>
      </w:r>
      <w:r>
        <w:rPr>
          <w:lang w:val="en-US" w:eastAsia="zh-CN"/>
        </w:rPr>
        <w:t xml:space="preserve"> period is a balance of sync latency and resource </w:t>
      </w:r>
      <w:r>
        <w:rPr>
          <w:lang w:val="en-US" w:eastAsia="zh-CN"/>
        </w:rPr>
        <w:lastRenderedPageBreak/>
        <w:t xml:space="preserve">overhead. </w:t>
      </w:r>
      <w:r w:rsidR="00B222FE">
        <w:rPr>
          <w:lang w:val="en-US" w:eastAsia="zh-CN"/>
        </w:rPr>
        <w:t xml:space="preserve">To cover a sufficiently large angular region, the sync signal </w:t>
      </w:r>
      <w:r w:rsidR="004D686D">
        <w:rPr>
          <w:lang w:val="en-US" w:eastAsia="zh-CN"/>
        </w:rPr>
        <w:t xml:space="preserve">is expected to be transmitted </w:t>
      </w:r>
      <w:r w:rsidR="00B222FE">
        <w:rPr>
          <w:lang w:val="en-US" w:eastAsia="zh-CN"/>
        </w:rPr>
        <w:t xml:space="preserve">in different directions </w:t>
      </w:r>
      <w:r>
        <w:rPr>
          <w:lang w:val="en-US" w:eastAsia="zh-CN"/>
        </w:rPr>
        <w:t xml:space="preserve">during a sync </w:t>
      </w:r>
      <w:r w:rsidR="004D686D">
        <w:rPr>
          <w:lang w:val="en-US" w:eastAsia="zh-CN"/>
        </w:rPr>
        <w:t xml:space="preserve">transmission </w:t>
      </w:r>
      <w:r>
        <w:rPr>
          <w:lang w:val="en-US" w:eastAsia="zh-CN"/>
        </w:rPr>
        <w:t>burst</w:t>
      </w:r>
      <w:r w:rsidR="00B222FE">
        <w:rPr>
          <w:lang w:val="en-US" w:eastAsia="zh-CN"/>
        </w:rPr>
        <w:t>.</w:t>
      </w:r>
      <w:r w:rsidR="004D686D">
        <w:rPr>
          <w:lang w:val="en-US" w:eastAsia="zh-CN"/>
        </w:rPr>
        <w:t xml:space="preserve"> For example, the TRP </w:t>
      </w:r>
      <w:r w:rsidR="004F6FF5">
        <w:rPr>
          <w:lang w:val="en-US" w:eastAsia="zh-CN"/>
        </w:rPr>
        <w:t xml:space="preserve">beams </w:t>
      </w:r>
      <w:r w:rsidR="004D686D">
        <w:rPr>
          <w:lang w:val="en-US" w:eastAsia="zh-CN"/>
        </w:rPr>
        <w:t xml:space="preserve">may sweep </w:t>
      </w:r>
      <w:proofErr w:type="spellStart"/>
      <w:r w:rsidR="004D686D" w:rsidRPr="004F6FF5">
        <w:rPr>
          <w:i/>
          <w:lang w:val="en-US" w:eastAsia="zh-CN"/>
        </w:rPr>
        <w:t>N</w:t>
      </w:r>
      <w:proofErr w:type="spellEnd"/>
      <w:r w:rsidR="004D686D">
        <w:rPr>
          <w:lang w:val="en-US" w:eastAsia="zh-CN"/>
        </w:rPr>
        <w:t xml:space="preserve"> different directions within one sync transmission burst. The exact value of </w:t>
      </w:r>
      <w:r w:rsidR="004D686D" w:rsidRPr="00044361">
        <w:rPr>
          <w:i/>
          <w:lang w:val="en-US" w:eastAsia="zh-CN"/>
        </w:rPr>
        <w:t>N</w:t>
      </w:r>
      <w:r w:rsidR="004D686D">
        <w:rPr>
          <w:lang w:val="en-US" w:eastAsia="zh-CN"/>
        </w:rPr>
        <w:t xml:space="preserve"> is FFS. UE will search PSS/SSS </w:t>
      </w:r>
      <w:r w:rsidR="00764A0A">
        <w:rPr>
          <w:lang w:val="en-US" w:eastAsia="zh-CN"/>
        </w:rPr>
        <w:t>to do frame synchronization</w:t>
      </w:r>
      <w:r w:rsidR="002E2D8F">
        <w:rPr>
          <w:lang w:val="en-US" w:eastAsia="zh-CN"/>
        </w:rPr>
        <w:t>,</w:t>
      </w:r>
      <w:r w:rsidR="00764A0A">
        <w:rPr>
          <w:lang w:val="en-US" w:eastAsia="zh-CN"/>
        </w:rPr>
        <w:t xml:space="preserve"> </w:t>
      </w:r>
      <w:r w:rsidR="00C34F72">
        <w:rPr>
          <w:lang w:val="en-US" w:eastAsia="zh-CN"/>
        </w:rPr>
        <w:t>carrier frequency offset (</w:t>
      </w:r>
      <w:r w:rsidR="00764A0A">
        <w:rPr>
          <w:lang w:val="en-US" w:eastAsia="zh-CN"/>
        </w:rPr>
        <w:t>CFO</w:t>
      </w:r>
      <w:r w:rsidR="00C34F72">
        <w:rPr>
          <w:lang w:val="en-US" w:eastAsia="zh-CN"/>
        </w:rPr>
        <w:t>)</w:t>
      </w:r>
      <w:r w:rsidR="00764A0A">
        <w:rPr>
          <w:lang w:val="en-US" w:eastAsia="zh-CN"/>
        </w:rPr>
        <w:t xml:space="preserve"> estimation</w:t>
      </w:r>
      <w:r w:rsidR="002E2D8F">
        <w:rPr>
          <w:lang w:val="en-US" w:eastAsia="zh-CN"/>
        </w:rPr>
        <w:t>,</w:t>
      </w:r>
      <w:r w:rsidR="000D3705">
        <w:rPr>
          <w:lang w:val="en-US" w:eastAsia="zh-CN"/>
        </w:rPr>
        <w:t xml:space="preserve"> as well as physical cell ID acquisition.</w:t>
      </w:r>
      <w:r w:rsidR="00764A0A">
        <w:rPr>
          <w:lang w:val="en-US" w:eastAsia="zh-CN"/>
        </w:rPr>
        <w:t xml:space="preserve"> </w:t>
      </w:r>
    </w:p>
    <w:p w14:paraId="512EDEBE" w14:textId="0F92E271" w:rsidR="006B3EB4" w:rsidRPr="006B3EB4" w:rsidRDefault="004F6FF5" w:rsidP="009C7599">
      <w:pPr>
        <w:jc w:val="both"/>
        <w:rPr>
          <w:rFonts w:cs="Batang"/>
          <w:sz w:val="22"/>
          <w:lang w:val="en-US" w:eastAsia="zh-CN"/>
        </w:rPr>
      </w:pPr>
      <w:r>
        <w:rPr>
          <w:rFonts w:cs="Batang"/>
          <w:sz w:val="22"/>
          <w:lang w:val="en-US" w:eastAsia="zh-CN"/>
        </w:rPr>
        <w:t xml:space="preserve">As agreed in RAN1#86b, </w:t>
      </w:r>
      <w:r w:rsidR="006B3EB4" w:rsidRPr="006B3EB4">
        <w:rPr>
          <w:rFonts w:cs="Batang"/>
          <w:sz w:val="22"/>
          <w:lang w:val="en-US" w:eastAsia="zh-CN"/>
        </w:rPr>
        <w:t xml:space="preserve">the </w:t>
      </w:r>
      <w:r>
        <w:rPr>
          <w:rFonts w:cs="Batang"/>
          <w:sz w:val="22"/>
          <w:lang w:val="en-US" w:eastAsia="zh-CN"/>
        </w:rPr>
        <w:t xml:space="preserve">SS </w:t>
      </w:r>
      <w:r w:rsidR="006B3EB4" w:rsidRPr="006B3EB4">
        <w:rPr>
          <w:rFonts w:cs="Batang"/>
          <w:sz w:val="22"/>
          <w:lang w:val="en-US" w:eastAsia="zh-CN"/>
        </w:rPr>
        <w:t>transmission</w:t>
      </w:r>
      <w:r>
        <w:rPr>
          <w:rFonts w:cs="Batang"/>
          <w:sz w:val="22"/>
          <w:lang w:val="en-US" w:eastAsia="zh-CN"/>
        </w:rPr>
        <w:t>s</w:t>
      </w:r>
      <w:r w:rsidR="006B3EB4" w:rsidRPr="006B3EB4">
        <w:rPr>
          <w:rFonts w:cs="Batang"/>
          <w:sz w:val="22"/>
          <w:lang w:val="en-US" w:eastAsia="zh-CN"/>
        </w:rPr>
        <w:t xml:space="preserve"> </w:t>
      </w:r>
      <w:r>
        <w:rPr>
          <w:rFonts w:cs="Batang"/>
          <w:sz w:val="22"/>
          <w:lang w:val="en-US" w:eastAsia="zh-CN"/>
        </w:rPr>
        <w:t xml:space="preserve">in NR </w:t>
      </w:r>
      <w:r w:rsidR="006B3EB4" w:rsidRPr="006B3EB4">
        <w:rPr>
          <w:rFonts w:cs="Batang"/>
          <w:sz w:val="22"/>
          <w:lang w:val="en-US" w:eastAsia="zh-CN"/>
        </w:rPr>
        <w:t>at least consist of</w:t>
      </w:r>
      <w:r w:rsidR="006B3EB4">
        <w:rPr>
          <w:rFonts w:cs="Batang"/>
          <w:sz w:val="22"/>
          <w:lang w:val="en-US" w:eastAsia="zh-CN"/>
        </w:rPr>
        <w:t>:</w:t>
      </w:r>
    </w:p>
    <w:p w14:paraId="1457103D" w14:textId="7172B11F" w:rsidR="006B3EB4" w:rsidRPr="006B3EB4" w:rsidRDefault="004F6FF5" w:rsidP="009C7599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rFonts w:cs="Batang"/>
          <w:sz w:val="22"/>
          <w:lang w:val="en-US" w:eastAsia="zh-CN"/>
        </w:rPr>
      </w:pPr>
      <w:r>
        <w:rPr>
          <w:rFonts w:cs="Batang"/>
          <w:sz w:val="22"/>
          <w:lang w:val="en-US" w:eastAsia="zh-CN"/>
        </w:rPr>
        <w:t>NR-PSS</w:t>
      </w:r>
      <w:r w:rsidR="006B3EB4">
        <w:rPr>
          <w:rFonts w:cs="Batang"/>
          <w:sz w:val="22"/>
          <w:lang w:val="en-US" w:eastAsia="zh-CN"/>
        </w:rPr>
        <w:t xml:space="preserve"> and</w:t>
      </w:r>
      <w:r w:rsidR="006B3EB4" w:rsidRPr="006B3EB4">
        <w:rPr>
          <w:rFonts w:cs="Batang"/>
          <w:sz w:val="22"/>
          <w:lang w:val="en-US" w:eastAsia="zh-CN"/>
        </w:rPr>
        <w:t xml:space="preserve"> </w:t>
      </w:r>
      <w:r>
        <w:rPr>
          <w:rFonts w:cs="Batang"/>
          <w:sz w:val="22"/>
          <w:lang w:val="en-US" w:eastAsia="zh-CN"/>
        </w:rPr>
        <w:t>NR-SSS</w:t>
      </w:r>
      <w:r w:rsidR="006B3EB4" w:rsidRPr="006B3EB4">
        <w:rPr>
          <w:rFonts w:cs="Batang"/>
          <w:sz w:val="22"/>
          <w:lang w:val="en-US" w:eastAsia="zh-CN"/>
        </w:rPr>
        <w:t xml:space="preserve">: to provide timing and frequency synchronization and </w:t>
      </w:r>
      <w:r w:rsidR="002E2D8F">
        <w:rPr>
          <w:rFonts w:cs="Batang"/>
          <w:sz w:val="22"/>
          <w:lang w:val="en-US" w:eastAsia="zh-CN"/>
        </w:rPr>
        <w:t>NR cell ID acquisition</w:t>
      </w:r>
      <w:r w:rsidR="006B3EB4" w:rsidRPr="006B3EB4">
        <w:rPr>
          <w:rFonts w:cs="Batang"/>
          <w:sz w:val="22"/>
          <w:lang w:val="en-US" w:eastAsia="zh-CN"/>
        </w:rPr>
        <w:t>.</w:t>
      </w:r>
      <w:r w:rsidR="006B3EB4">
        <w:rPr>
          <w:rFonts w:cs="Batang"/>
          <w:sz w:val="22"/>
          <w:lang w:val="en-US" w:eastAsia="zh-CN"/>
        </w:rPr>
        <w:t xml:space="preserve"> </w:t>
      </w:r>
    </w:p>
    <w:p w14:paraId="6B16A263" w14:textId="0E1B9F6D" w:rsidR="006B3EB4" w:rsidRPr="006B3EB4" w:rsidRDefault="004F6FF5" w:rsidP="009C7599">
      <w:pPr>
        <w:pStyle w:val="ListParagraph"/>
        <w:numPr>
          <w:ilvl w:val="0"/>
          <w:numId w:val="23"/>
        </w:numPr>
        <w:autoSpaceDE w:val="0"/>
        <w:autoSpaceDN w:val="0"/>
        <w:adjustRightInd w:val="0"/>
        <w:snapToGrid w:val="0"/>
        <w:spacing w:after="120"/>
        <w:ind w:leftChars="0"/>
        <w:contextualSpacing/>
        <w:jc w:val="both"/>
        <w:rPr>
          <w:rFonts w:cs="Batang"/>
          <w:sz w:val="22"/>
          <w:lang w:val="en-US" w:eastAsia="zh-CN"/>
        </w:rPr>
      </w:pPr>
      <w:r>
        <w:rPr>
          <w:rFonts w:cs="Batang"/>
          <w:sz w:val="22"/>
          <w:lang w:val="en-US" w:eastAsia="zh-CN"/>
        </w:rPr>
        <w:t>NR-</w:t>
      </w:r>
      <w:r w:rsidR="006B3EB4" w:rsidRPr="006B3EB4">
        <w:rPr>
          <w:rFonts w:cs="Batang"/>
          <w:sz w:val="22"/>
          <w:lang w:val="en-US" w:eastAsia="zh-CN"/>
        </w:rPr>
        <w:t xml:space="preserve">PBCH: to provide the minimum system information required for cell acquisition/initial access. </w:t>
      </w:r>
    </w:p>
    <w:p w14:paraId="3EBD8E82" w14:textId="72906927" w:rsidR="006B3EB4" w:rsidRDefault="006B3EB4" w:rsidP="009C7599">
      <w:pPr>
        <w:jc w:val="both"/>
        <w:rPr>
          <w:rFonts w:cs="Batang"/>
          <w:sz w:val="22"/>
          <w:lang w:val="en-US" w:eastAsia="zh-CN"/>
        </w:rPr>
      </w:pPr>
      <w:r w:rsidRPr="006B3EB4">
        <w:rPr>
          <w:rFonts w:cs="Batang"/>
          <w:sz w:val="22"/>
          <w:lang w:val="en-US" w:eastAsia="zh-CN"/>
        </w:rPr>
        <w:t xml:space="preserve">In a </w:t>
      </w:r>
      <w:proofErr w:type="spellStart"/>
      <w:r w:rsidR="004F6FF5" w:rsidRPr="006B3EB4">
        <w:rPr>
          <w:rFonts w:cs="Batang"/>
          <w:sz w:val="22"/>
          <w:lang w:val="en-US" w:eastAsia="zh-CN"/>
        </w:rPr>
        <w:t>mm</w:t>
      </w:r>
      <w:r w:rsidR="004F6FF5">
        <w:rPr>
          <w:rFonts w:cs="Batang"/>
          <w:sz w:val="22"/>
          <w:lang w:val="en-US" w:eastAsia="zh-CN"/>
        </w:rPr>
        <w:t>W</w:t>
      </w:r>
      <w:r w:rsidR="004F6FF5" w:rsidRPr="006B3EB4">
        <w:rPr>
          <w:rFonts w:cs="Batang"/>
          <w:sz w:val="22"/>
          <w:lang w:val="en-US" w:eastAsia="zh-CN"/>
        </w:rPr>
        <w:t>ave</w:t>
      </w:r>
      <w:proofErr w:type="spellEnd"/>
      <w:r w:rsidR="004F6FF5" w:rsidRPr="006B3EB4">
        <w:rPr>
          <w:rFonts w:cs="Batang"/>
          <w:sz w:val="22"/>
          <w:lang w:val="en-US" w:eastAsia="zh-CN"/>
        </w:rPr>
        <w:t xml:space="preserve"> </w:t>
      </w:r>
      <w:r w:rsidRPr="006B3EB4">
        <w:rPr>
          <w:rFonts w:cs="Batang"/>
          <w:sz w:val="22"/>
          <w:lang w:val="en-US" w:eastAsia="zh-CN"/>
        </w:rPr>
        <w:t xml:space="preserve">system the transmission of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 xml:space="preserve">PBCH must be directional similar to the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>PSS/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 xml:space="preserve">SSS signals, hence it would be beneficial to multiplex all three transmissions within a </w:t>
      </w:r>
      <w:r w:rsidR="002E2D8F">
        <w:rPr>
          <w:rFonts w:cs="Batang"/>
          <w:sz w:val="22"/>
          <w:lang w:val="en-US" w:eastAsia="zh-CN"/>
        </w:rPr>
        <w:t>SS block</w:t>
      </w:r>
      <w:r w:rsidRPr="006B3EB4">
        <w:rPr>
          <w:rFonts w:cs="Batang"/>
          <w:sz w:val="22"/>
          <w:lang w:val="en-US" w:eastAsia="zh-CN"/>
        </w:rPr>
        <w:t xml:space="preserve">. There are different options for multiplexing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>PSS/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>SSS/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Pr="006B3EB4">
        <w:rPr>
          <w:rFonts w:cs="Batang"/>
          <w:sz w:val="22"/>
          <w:lang w:val="en-US" w:eastAsia="zh-CN"/>
        </w:rPr>
        <w:t>PBCH: (a) TDM, (b) FDM, or (c)</w:t>
      </w:r>
      <w:r w:rsidR="005328EE">
        <w:rPr>
          <w:rFonts w:cs="Batang"/>
          <w:sz w:val="22"/>
          <w:lang w:val="en-US" w:eastAsia="zh-CN"/>
        </w:rPr>
        <w:t xml:space="preserve"> combination of TDM and FDM</w:t>
      </w:r>
      <w:r w:rsidRPr="006B3EB4">
        <w:rPr>
          <w:rFonts w:cs="Batang"/>
          <w:sz w:val="22"/>
          <w:lang w:val="en-US" w:eastAsia="zh-CN"/>
        </w:rPr>
        <w:t xml:space="preserve">. </w:t>
      </w:r>
      <w:r>
        <w:rPr>
          <w:rFonts w:cs="Batang"/>
          <w:sz w:val="22"/>
          <w:lang w:val="en-US" w:eastAsia="zh-CN"/>
        </w:rPr>
        <w:t>Figure 1</w:t>
      </w:r>
      <w:r w:rsidRPr="006B3EB4">
        <w:rPr>
          <w:rFonts w:cs="Batang"/>
          <w:sz w:val="22"/>
          <w:lang w:val="en-US" w:eastAsia="zh-CN"/>
        </w:rPr>
        <w:t xml:space="preserve"> demonstrates examples of TDM and FDM approaches</w:t>
      </w:r>
      <w:r w:rsidR="00703391">
        <w:rPr>
          <w:rFonts w:cs="Batang"/>
          <w:sz w:val="22"/>
          <w:lang w:val="en-US" w:eastAsia="zh-CN"/>
        </w:rPr>
        <w:t>.</w:t>
      </w:r>
    </w:p>
    <w:p w14:paraId="70267081" w14:textId="14C826FE" w:rsidR="006B3EB4" w:rsidRDefault="00060FDE" w:rsidP="009C7599">
      <w:pPr>
        <w:keepNext/>
        <w:jc w:val="center"/>
      </w:pPr>
      <w:r w:rsidRPr="00060FDE">
        <w:rPr>
          <w:noProof/>
          <w:lang w:val="en-US"/>
        </w:rPr>
        <w:drawing>
          <wp:inline distT="0" distB="0" distL="0" distR="0" wp14:anchorId="1477F1D6" wp14:editId="1CEA4621">
            <wp:extent cx="3524250" cy="1834225"/>
            <wp:effectExtent l="0" t="0" r="0" b="0"/>
            <wp:docPr id="1" name="Picture 1" descr="C:\Users\hao.chen1\Documents\Init access\slides\TDM_FD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o.chen1\Documents\Init access\slides\TDM_FDM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579" cy="18583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DA07BE" w14:textId="133C5425" w:rsidR="007F24B4" w:rsidRPr="007F24B4" w:rsidRDefault="006B3EB4" w:rsidP="007F24B4">
      <w:pPr>
        <w:pStyle w:val="Caption"/>
        <w:jc w:val="center"/>
        <w:rPr>
          <w:noProof/>
          <w:sz w:val="22"/>
          <w:szCs w:val="22"/>
        </w:rPr>
      </w:pPr>
      <w:r w:rsidRPr="00F9409B">
        <w:rPr>
          <w:sz w:val="22"/>
          <w:szCs w:val="22"/>
        </w:rPr>
        <w:t xml:space="preserve">Figure </w:t>
      </w:r>
      <w:r>
        <w:rPr>
          <w:sz w:val="22"/>
          <w:szCs w:val="22"/>
        </w:rPr>
        <w:t>1</w:t>
      </w:r>
      <w:r w:rsidRPr="00F9409B">
        <w:rPr>
          <w:noProof/>
          <w:sz w:val="22"/>
          <w:szCs w:val="22"/>
        </w:rPr>
        <w:t xml:space="preserve"> -- nominal sync symbol design (TDM vs FDM)</w:t>
      </w:r>
      <w:r w:rsidR="00060FDE">
        <w:rPr>
          <w:noProof/>
          <w:sz w:val="22"/>
          <w:szCs w:val="22"/>
        </w:rPr>
        <w:t xml:space="preserve">, signal 1/2/3/4 can </w:t>
      </w:r>
      <w:r w:rsidR="002E2D8F">
        <w:rPr>
          <w:noProof/>
          <w:sz w:val="22"/>
          <w:szCs w:val="22"/>
        </w:rPr>
        <w:t>represent</w:t>
      </w:r>
      <w:r w:rsidR="00060FDE">
        <w:rPr>
          <w:noProof/>
          <w:sz w:val="22"/>
          <w:szCs w:val="22"/>
        </w:rPr>
        <w:t xml:space="preserve"> </w:t>
      </w:r>
      <w:r w:rsidR="002E2D8F">
        <w:rPr>
          <w:noProof/>
          <w:sz w:val="22"/>
          <w:szCs w:val="22"/>
        </w:rPr>
        <w:t>either of the</w:t>
      </w:r>
      <w:r w:rsidR="00060FDE">
        <w:rPr>
          <w:noProof/>
          <w:sz w:val="22"/>
          <w:szCs w:val="22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060FDE">
        <w:rPr>
          <w:noProof/>
          <w:sz w:val="22"/>
          <w:szCs w:val="22"/>
        </w:rPr>
        <w:t>PSS/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060FDE">
        <w:rPr>
          <w:noProof/>
          <w:sz w:val="22"/>
          <w:szCs w:val="22"/>
        </w:rPr>
        <w:t>SSS/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060FDE">
        <w:rPr>
          <w:noProof/>
          <w:sz w:val="22"/>
          <w:szCs w:val="22"/>
        </w:rPr>
        <w:t>PBCH</w:t>
      </w:r>
    </w:p>
    <w:p w14:paraId="039D08D0" w14:textId="41BC0D9B" w:rsidR="00A24568" w:rsidRDefault="00876B4D" w:rsidP="009C7599">
      <w:pPr>
        <w:jc w:val="both"/>
        <w:rPr>
          <w:sz w:val="22"/>
          <w:szCs w:val="22"/>
        </w:rPr>
      </w:pPr>
      <w:r>
        <w:rPr>
          <w:rFonts w:cs="Batang"/>
          <w:sz w:val="22"/>
          <w:lang w:val="en-US" w:eastAsia="zh-CN"/>
        </w:rPr>
        <w:t xml:space="preserve">In </w:t>
      </w:r>
      <w:r w:rsidRPr="00876B4D">
        <w:rPr>
          <w:sz w:val="22"/>
          <w:szCs w:val="22"/>
        </w:rPr>
        <w:t xml:space="preserve">the FDM approach, </w:t>
      </w:r>
      <w:r w:rsidR="004F6FF5">
        <w:rPr>
          <w:sz w:val="22"/>
          <w:szCs w:val="22"/>
        </w:rPr>
        <w:t xml:space="preserve">an SS block comprising these signals </w:t>
      </w:r>
      <w:r w:rsidR="00CB2866">
        <w:rPr>
          <w:sz w:val="22"/>
          <w:szCs w:val="22"/>
        </w:rPr>
        <w:t>span</w:t>
      </w:r>
      <w:r w:rsidR="004F6FF5">
        <w:rPr>
          <w:sz w:val="22"/>
          <w:szCs w:val="22"/>
        </w:rPr>
        <w:t>s</w:t>
      </w:r>
      <w:r w:rsidR="00CB2866">
        <w:rPr>
          <w:sz w:val="22"/>
          <w:szCs w:val="22"/>
        </w:rPr>
        <w:t xml:space="preserve"> </w:t>
      </w:r>
      <w:r w:rsidR="004F6FF5">
        <w:rPr>
          <w:sz w:val="22"/>
          <w:szCs w:val="22"/>
        </w:rPr>
        <w:t xml:space="preserve">a wide </w:t>
      </w:r>
      <w:r w:rsidR="00CB2866">
        <w:rPr>
          <w:sz w:val="22"/>
          <w:szCs w:val="22"/>
        </w:rPr>
        <w:t>bandwidth and occup</w:t>
      </w:r>
      <w:r w:rsidR="004F6FF5">
        <w:rPr>
          <w:sz w:val="22"/>
          <w:szCs w:val="22"/>
        </w:rPr>
        <w:t>ies</w:t>
      </w:r>
      <w:r w:rsidR="00CB2866">
        <w:rPr>
          <w:sz w:val="22"/>
          <w:szCs w:val="22"/>
        </w:rPr>
        <w:t xml:space="preserve"> one OFDM symbol length in time domain</w:t>
      </w:r>
      <w:r w:rsidRPr="00876B4D">
        <w:rPr>
          <w:sz w:val="22"/>
          <w:szCs w:val="22"/>
        </w:rPr>
        <w:t>.</w:t>
      </w:r>
      <w:r w:rsidR="00A00926">
        <w:rPr>
          <w:sz w:val="22"/>
          <w:szCs w:val="22"/>
        </w:rPr>
        <w:t xml:space="preserve"> </w:t>
      </w:r>
      <w:r w:rsidR="00CB2866">
        <w:rPr>
          <w:sz w:val="22"/>
          <w:szCs w:val="22"/>
        </w:rPr>
        <w:t xml:space="preserve">FDM design is </w:t>
      </w:r>
      <w:r w:rsidR="004F6FF5">
        <w:rPr>
          <w:sz w:val="22"/>
          <w:szCs w:val="22"/>
        </w:rPr>
        <w:t xml:space="preserve">more efficient in terms of overhead </w:t>
      </w:r>
      <w:r w:rsidR="00CB2866">
        <w:rPr>
          <w:sz w:val="22"/>
          <w:szCs w:val="22"/>
        </w:rPr>
        <w:t xml:space="preserve">for beam sweeping </w:t>
      </w:r>
      <w:r w:rsidR="004F6FF5">
        <w:rPr>
          <w:sz w:val="22"/>
          <w:szCs w:val="22"/>
        </w:rPr>
        <w:t xml:space="preserve">than </w:t>
      </w:r>
      <w:r w:rsidR="00CB2866">
        <w:rPr>
          <w:sz w:val="22"/>
          <w:szCs w:val="22"/>
        </w:rPr>
        <w:t xml:space="preserve">TDM design </w:t>
      </w:r>
      <w:r w:rsidR="004F6FF5">
        <w:rPr>
          <w:sz w:val="22"/>
          <w:szCs w:val="22"/>
        </w:rPr>
        <w:t xml:space="preserve">if a common </w:t>
      </w:r>
      <w:r w:rsidR="00CB2866">
        <w:rPr>
          <w:sz w:val="22"/>
          <w:szCs w:val="22"/>
        </w:rPr>
        <w:t>subcarrier spacing</w:t>
      </w:r>
      <w:r w:rsidR="004F6FF5">
        <w:rPr>
          <w:sz w:val="22"/>
          <w:szCs w:val="22"/>
        </w:rPr>
        <w:t xml:space="preserve"> is assumed for FDM and TDM</w:t>
      </w:r>
      <w:r w:rsidR="00CB2866">
        <w:rPr>
          <w:sz w:val="22"/>
          <w:szCs w:val="22"/>
        </w:rPr>
        <w:t xml:space="preserve">. One approach to reduce the length of sync period in TDM design </w:t>
      </w:r>
      <w:r w:rsidR="004F6FF5">
        <w:rPr>
          <w:sz w:val="22"/>
          <w:szCs w:val="22"/>
        </w:rPr>
        <w:t xml:space="preserve">being discussed in RAN1 is </w:t>
      </w:r>
      <w:r w:rsidR="00CB2866">
        <w:rPr>
          <w:sz w:val="22"/>
          <w:szCs w:val="22"/>
        </w:rPr>
        <w:t>to increase the subcarrier spacing</w:t>
      </w:r>
      <w:r w:rsidR="00A00926" w:rsidRPr="00A00926">
        <w:rPr>
          <w:sz w:val="22"/>
          <w:szCs w:val="22"/>
        </w:rPr>
        <w:t>.</w:t>
      </w:r>
      <w:r w:rsidR="00A00926">
        <w:rPr>
          <w:sz w:val="22"/>
          <w:szCs w:val="22"/>
        </w:rPr>
        <w:t xml:space="preserve"> </w:t>
      </w:r>
      <w:r w:rsidR="00A24568">
        <w:rPr>
          <w:sz w:val="22"/>
          <w:szCs w:val="22"/>
        </w:rPr>
        <w:t>In the following, we show the specific details o</w:t>
      </w:r>
      <w:r w:rsidR="002E2D8F">
        <w:rPr>
          <w:sz w:val="22"/>
          <w:szCs w:val="22"/>
        </w:rPr>
        <w:t>n the difference between</w:t>
      </w:r>
      <w:r w:rsidR="00A24568">
        <w:rPr>
          <w:sz w:val="22"/>
          <w:szCs w:val="22"/>
        </w:rPr>
        <w:t xml:space="preserve"> TDM</w:t>
      </w:r>
      <w:r w:rsidR="00CB2866">
        <w:rPr>
          <w:sz w:val="22"/>
          <w:szCs w:val="22"/>
        </w:rPr>
        <w:t xml:space="preserve"> with increased subcarrier spacing</w:t>
      </w:r>
      <w:r w:rsidR="00A24568">
        <w:rPr>
          <w:sz w:val="22"/>
          <w:szCs w:val="22"/>
        </w:rPr>
        <w:t xml:space="preserve"> and FDM:</w:t>
      </w:r>
    </w:p>
    <w:p w14:paraId="6AFB2929" w14:textId="77777777" w:rsidR="00033FF4" w:rsidRPr="002339AB" w:rsidRDefault="00EB5C30" w:rsidP="009C7599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>Time and frequency resources.</w:t>
      </w:r>
      <w:r w:rsidRPr="002339AB">
        <w:rPr>
          <w:sz w:val="22"/>
          <w:szCs w:val="22"/>
        </w:rPr>
        <w:t xml:space="preserve"> The TDM design has a wider subcarrier spacing and a shorter symbol length, while the FDM approach has a narrower subcarrier spacing and a longer symbol length</w:t>
      </w:r>
      <w:r w:rsidR="00033FF4" w:rsidRPr="002339AB">
        <w:rPr>
          <w:sz w:val="22"/>
          <w:szCs w:val="22"/>
        </w:rPr>
        <w:t xml:space="preserve">. Therefore, TDM and FDM approach consume comparable time and frequency resources. </w:t>
      </w:r>
    </w:p>
    <w:p w14:paraId="69775F2F" w14:textId="2D417E26" w:rsidR="00411DE9" w:rsidRDefault="00033FF4" w:rsidP="00470BA6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>Frequency offset estimation accuracy.</w:t>
      </w:r>
      <w:r w:rsidRPr="002339AB">
        <w:rPr>
          <w:sz w:val="22"/>
          <w:szCs w:val="22"/>
        </w:rPr>
        <w:t xml:space="preserve"> </w:t>
      </w:r>
      <w:r w:rsidR="007439BD" w:rsidRPr="002339AB">
        <w:rPr>
          <w:sz w:val="22"/>
          <w:szCs w:val="22"/>
        </w:rPr>
        <w:t xml:space="preserve">With a larger subcarrier spacing, </w:t>
      </w:r>
      <w:r w:rsidR="00DD7CD0">
        <w:rPr>
          <w:rFonts w:cs="Batang"/>
          <w:sz w:val="22"/>
          <w:lang w:val="en-US" w:eastAsia="zh-CN"/>
        </w:rPr>
        <w:t>NR-</w:t>
      </w:r>
      <w:r w:rsidR="007439BD" w:rsidRPr="002339AB">
        <w:rPr>
          <w:sz w:val="22"/>
          <w:szCs w:val="22"/>
        </w:rPr>
        <w:t>PSS in the TDM design is not sensitive to frequency offset</w:t>
      </w:r>
      <w:r w:rsidR="003167AF">
        <w:rPr>
          <w:sz w:val="22"/>
          <w:szCs w:val="22"/>
        </w:rPr>
        <w:t xml:space="preserve"> as shown in Fig. 2</w:t>
      </w:r>
      <w:r w:rsidR="007439BD" w:rsidRPr="002339AB">
        <w:rPr>
          <w:sz w:val="22"/>
          <w:szCs w:val="22"/>
        </w:rPr>
        <w:t xml:space="preserve">. </w:t>
      </w:r>
      <w:r w:rsidR="003167AF">
        <w:rPr>
          <w:sz w:val="22"/>
          <w:szCs w:val="22"/>
        </w:rPr>
        <w:t>Fig.2(a) shows the frequency domain signal</w:t>
      </w:r>
      <w:r w:rsidR="003167AF" w:rsidRPr="003167AF">
        <w:rPr>
          <w:sz w:val="22"/>
          <w:szCs w:val="22"/>
        </w:rPr>
        <w:t xml:space="preserve"> </w:t>
      </w:r>
      <w:r w:rsidR="003167AF">
        <w:rPr>
          <w:sz w:val="22"/>
          <w:szCs w:val="22"/>
        </w:rPr>
        <w:t xml:space="preserve">with CFO under TDM and FDM approach. Fig.2 (b) shows the self-correlation in time domain as a function of frequency offset. Fig.2 (b) shows that with a larger subcarrier spacing, the time domain </w:t>
      </w:r>
      <w:r w:rsidR="00882EAE">
        <w:rPr>
          <w:sz w:val="22"/>
          <w:szCs w:val="22"/>
        </w:rPr>
        <w:t xml:space="preserve">signal </w:t>
      </w:r>
      <w:r w:rsidR="003167AF">
        <w:rPr>
          <w:sz w:val="22"/>
          <w:szCs w:val="22"/>
        </w:rPr>
        <w:t xml:space="preserve">correlation </w:t>
      </w:r>
      <w:r w:rsidR="00882EAE">
        <w:rPr>
          <w:sz w:val="22"/>
          <w:szCs w:val="22"/>
        </w:rPr>
        <w:t xml:space="preserve">under TDM design </w:t>
      </w:r>
      <w:r w:rsidR="003167AF">
        <w:rPr>
          <w:sz w:val="22"/>
          <w:szCs w:val="22"/>
        </w:rPr>
        <w:t>decrease</w:t>
      </w:r>
      <w:r w:rsidR="00882EAE">
        <w:rPr>
          <w:sz w:val="22"/>
          <w:szCs w:val="22"/>
        </w:rPr>
        <w:t>s</w:t>
      </w:r>
      <w:r w:rsidR="003167AF">
        <w:rPr>
          <w:sz w:val="22"/>
          <w:szCs w:val="22"/>
        </w:rPr>
        <w:t xml:space="preserve"> </w:t>
      </w:r>
      <w:r w:rsidR="003A3D18">
        <w:rPr>
          <w:sz w:val="22"/>
          <w:szCs w:val="22"/>
        </w:rPr>
        <w:t xml:space="preserve">slowly as the frequency offset increases. </w:t>
      </w:r>
      <w:r w:rsidR="007439BD" w:rsidRPr="000D3705">
        <w:rPr>
          <w:sz w:val="22"/>
          <w:szCs w:val="22"/>
        </w:rPr>
        <w:t xml:space="preserve">Therefore, without additional information from </w:t>
      </w:r>
      <w:r w:rsidR="00DD7CD0" w:rsidRPr="000D3705">
        <w:rPr>
          <w:rFonts w:cs="Batang"/>
          <w:sz w:val="22"/>
          <w:lang w:val="en-US" w:eastAsia="zh-CN"/>
        </w:rPr>
        <w:t>NR-</w:t>
      </w:r>
      <w:r w:rsidR="007439BD" w:rsidRPr="000D3705">
        <w:rPr>
          <w:sz w:val="22"/>
          <w:szCs w:val="22"/>
        </w:rPr>
        <w:t>PBCH/</w:t>
      </w:r>
      <w:r w:rsidR="00DD7CD0" w:rsidRPr="000D3705">
        <w:rPr>
          <w:rFonts w:cs="Batang"/>
          <w:sz w:val="22"/>
          <w:lang w:val="en-US" w:eastAsia="zh-CN"/>
        </w:rPr>
        <w:t xml:space="preserve"> NR-</w:t>
      </w:r>
      <w:r w:rsidR="007439BD" w:rsidRPr="000D3705">
        <w:rPr>
          <w:sz w:val="22"/>
          <w:szCs w:val="22"/>
        </w:rPr>
        <w:t>SSS, the accuracy of frequency offset estimation in TDM design is worse than that in FDM design.</w:t>
      </w:r>
      <w:r w:rsidR="007439BD" w:rsidRPr="002339AB">
        <w:rPr>
          <w:sz w:val="22"/>
          <w:szCs w:val="22"/>
        </w:rPr>
        <w:t xml:space="preserve"> Note that </w:t>
      </w:r>
      <w:r w:rsidR="00346F54">
        <w:rPr>
          <w:sz w:val="22"/>
          <w:szCs w:val="22"/>
        </w:rPr>
        <w:t xml:space="preserve">as proposed by </w:t>
      </w:r>
      <w:r w:rsidR="005E1EA5">
        <w:rPr>
          <w:sz w:val="22"/>
          <w:szCs w:val="22"/>
        </w:rPr>
        <w:t>[3][4]</w:t>
      </w:r>
      <w:r w:rsidR="00346F54">
        <w:rPr>
          <w:sz w:val="22"/>
          <w:szCs w:val="22"/>
        </w:rPr>
        <w:t xml:space="preserve"> in RAN 1</w:t>
      </w:r>
      <w:r w:rsidR="00346F54" w:rsidRPr="00346F54">
        <w:rPr>
          <w:sz w:val="22"/>
          <w:szCs w:val="22"/>
        </w:rPr>
        <w:t>#86b</w:t>
      </w:r>
      <w:r w:rsidR="007439BD" w:rsidRPr="002339AB">
        <w:rPr>
          <w:sz w:val="22"/>
          <w:szCs w:val="22"/>
        </w:rPr>
        <w:t xml:space="preserve">, </w:t>
      </w:r>
      <w:r w:rsidR="00B97D14" w:rsidRPr="002339AB">
        <w:rPr>
          <w:sz w:val="22"/>
          <w:szCs w:val="22"/>
        </w:rPr>
        <w:t xml:space="preserve">a </w:t>
      </w:r>
      <w:r w:rsidR="000F46C5">
        <w:rPr>
          <w:sz w:val="22"/>
          <w:szCs w:val="22"/>
        </w:rPr>
        <w:t xml:space="preserve">repeated </w:t>
      </w:r>
      <w:r w:rsidR="00DD7CD0">
        <w:rPr>
          <w:rFonts w:cs="Batang"/>
          <w:sz w:val="22"/>
          <w:lang w:val="en-US" w:eastAsia="zh-CN"/>
        </w:rPr>
        <w:t>NR-</w:t>
      </w:r>
      <w:r w:rsidR="00B97D14" w:rsidRPr="002339AB">
        <w:rPr>
          <w:sz w:val="22"/>
          <w:szCs w:val="22"/>
        </w:rPr>
        <w:t xml:space="preserve">PBCH </w:t>
      </w:r>
      <w:r w:rsidR="00882EAE">
        <w:rPr>
          <w:sz w:val="22"/>
          <w:szCs w:val="22"/>
        </w:rPr>
        <w:t>is</w:t>
      </w:r>
      <w:r w:rsidR="00B97D14" w:rsidRPr="002339AB">
        <w:rPr>
          <w:sz w:val="22"/>
          <w:szCs w:val="22"/>
        </w:rPr>
        <w:t xml:space="preserve"> transmitted by TRP to improve the performance of frequency offset estimation, this will introduce extra complexi</w:t>
      </w:r>
      <w:r w:rsidR="000A027F" w:rsidRPr="002339AB">
        <w:rPr>
          <w:sz w:val="22"/>
          <w:szCs w:val="22"/>
        </w:rPr>
        <w:t xml:space="preserve">ty </w:t>
      </w:r>
      <w:r w:rsidR="00882EAE">
        <w:rPr>
          <w:sz w:val="22"/>
          <w:szCs w:val="22"/>
        </w:rPr>
        <w:t xml:space="preserve">in frequency offset estimation process </w:t>
      </w:r>
      <w:r w:rsidR="000A027F" w:rsidRPr="002339AB">
        <w:rPr>
          <w:sz w:val="22"/>
          <w:szCs w:val="22"/>
        </w:rPr>
        <w:t xml:space="preserve">and reduce the rate of </w:t>
      </w:r>
      <w:r w:rsidR="00DD7CD0">
        <w:rPr>
          <w:rFonts w:cs="Batang"/>
          <w:sz w:val="22"/>
          <w:lang w:val="en-US" w:eastAsia="zh-CN"/>
        </w:rPr>
        <w:t>NR-</w:t>
      </w:r>
      <w:r w:rsidR="000A027F" w:rsidRPr="002339AB">
        <w:rPr>
          <w:sz w:val="22"/>
          <w:szCs w:val="22"/>
        </w:rPr>
        <w:t>PBCH.</w:t>
      </w:r>
      <w:r w:rsidR="000F46C5">
        <w:rPr>
          <w:sz w:val="22"/>
          <w:szCs w:val="22"/>
        </w:rPr>
        <w:t xml:space="preserve"> </w:t>
      </w:r>
      <w:r w:rsidR="00882EAE">
        <w:rPr>
          <w:sz w:val="22"/>
          <w:szCs w:val="22"/>
        </w:rPr>
        <w:t>If information from NR-PBCH is explored</w:t>
      </w:r>
      <w:r w:rsidR="000F46C5">
        <w:rPr>
          <w:sz w:val="22"/>
          <w:szCs w:val="22"/>
        </w:rPr>
        <w:t>, the accuracy of frequency offset estimation in TDM design will be better than</w:t>
      </w:r>
      <w:r w:rsidR="00470BA6">
        <w:rPr>
          <w:sz w:val="22"/>
          <w:szCs w:val="22"/>
        </w:rPr>
        <w:t xml:space="preserve"> that in FDM design. However,</w:t>
      </w:r>
      <w:r w:rsidR="000F46C5">
        <w:rPr>
          <w:sz w:val="22"/>
          <w:szCs w:val="22"/>
        </w:rPr>
        <w:t xml:space="preserve"> the</w:t>
      </w:r>
      <w:r w:rsidR="00470BA6">
        <w:rPr>
          <w:sz w:val="22"/>
          <w:szCs w:val="22"/>
        </w:rPr>
        <w:t xml:space="preserve"> coarse</w:t>
      </w:r>
      <w:r w:rsidR="000F46C5">
        <w:rPr>
          <w:sz w:val="22"/>
          <w:szCs w:val="22"/>
        </w:rPr>
        <w:t xml:space="preserve"> CFO estimated from NR-PSS is </w:t>
      </w:r>
      <w:r w:rsidR="00470BA6">
        <w:rPr>
          <w:sz w:val="22"/>
          <w:szCs w:val="22"/>
        </w:rPr>
        <w:t>already good enough for broadcast channels (NR-PBCH, NR-SSS)</w:t>
      </w:r>
      <w:r w:rsidR="00A0683A">
        <w:rPr>
          <w:sz w:val="22"/>
          <w:szCs w:val="22"/>
        </w:rPr>
        <w:t xml:space="preserve"> with low coding</w:t>
      </w:r>
      <w:r w:rsidR="00470BA6">
        <w:rPr>
          <w:sz w:val="22"/>
          <w:szCs w:val="22"/>
        </w:rPr>
        <w:t xml:space="preserve"> rate and QPSK. Fine CFO estimation </w:t>
      </w:r>
      <w:r w:rsidR="00A0683A">
        <w:rPr>
          <w:sz w:val="22"/>
          <w:szCs w:val="22"/>
        </w:rPr>
        <w:t xml:space="preserve">for other channels </w:t>
      </w:r>
      <w:r w:rsidR="00470BA6">
        <w:rPr>
          <w:sz w:val="22"/>
          <w:szCs w:val="22"/>
        </w:rPr>
        <w:t xml:space="preserve">can be achieved by CRS (or reduced CRS, or CSI-RS). </w:t>
      </w:r>
      <w:r w:rsidR="00A0683A">
        <w:rPr>
          <w:sz w:val="22"/>
          <w:szCs w:val="22"/>
        </w:rPr>
        <w:t xml:space="preserve">Therefore, there may be no need for accurate CFO estimation in sync processing. </w:t>
      </w:r>
      <w:r w:rsidR="00470BA6">
        <w:rPr>
          <w:sz w:val="22"/>
          <w:szCs w:val="22"/>
        </w:rPr>
        <w:t xml:space="preserve">Furthermore, in FDM design repeated NR-PBCH or NR-PBCH with lower coding rate can also be implemented to improve the NR-PBCH coverage. </w:t>
      </w:r>
    </w:p>
    <w:p w14:paraId="200E7B7C" w14:textId="7F8D58AB" w:rsidR="00044361" w:rsidRDefault="00976BAF" w:rsidP="00044361">
      <w:pPr>
        <w:pStyle w:val="ListParagraph"/>
        <w:ind w:leftChars="0" w:left="93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  <w:r w:rsidRPr="00976BAF">
        <w:rPr>
          <w:noProof/>
          <w:sz w:val="22"/>
          <w:szCs w:val="22"/>
          <w:lang w:val="en-US"/>
        </w:rPr>
        <w:drawing>
          <wp:inline distT="0" distB="0" distL="0" distR="0" wp14:anchorId="62179B92" wp14:editId="4ED0CA06">
            <wp:extent cx="2089150" cy="1982831"/>
            <wp:effectExtent l="0" t="0" r="6350" b="0"/>
            <wp:docPr id="4" name="Picture 4" descr="C:\Users\hao.chen1\Documents\Init access\slides\TDM_FD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o.chen1\Documents\Init access\slides\TDM_FDM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489" cy="199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</w:t>
      </w:r>
      <w:r w:rsidR="005729DA" w:rsidRPr="005729DA">
        <w:rPr>
          <w:noProof/>
          <w:sz w:val="22"/>
          <w:szCs w:val="22"/>
          <w:lang w:val="en-US"/>
        </w:rPr>
        <w:drawing>
          <wp:inline distT="0" distB="0" distL="0" distR="0" wp14:anchorId="5188D3C6" wp14:editId="3B7A4283">
            <wp:extent cx="2634018" cy="20703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883" cy="208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1A19D" w14:textId="38A6FDAC" w:rsidR="00976BAF" w:rsidRPr="00983B4A" w:rsidRDefault="00976BAF" w:rsidP="00044361">
      <w:pPr>
        <w:pStyle w:val="ListParagraph"/>
        <w:ind w:leftChars="0" w:left="930"/>
        <w:jc w:val="both"/>
      </w:pPr>
      <w:r w:rsidRPr="00983B4A">
        <w:t>Fig</w:t>
      </w:r>
      <w:r w:rsidR="00983B4A" w:rsidRPr="00983B4A">
        <w:t>.</w:t>
      </w:r>
      <w:r w:rsidRPr="00983B4A">
        <w:t xml:space="preserve">2(a) frequency domain </w:t>
      </w:r>
      <w:r w:rsidR="00983B4A" w:rsidRPr="00983B4A">
        <w:t>illustration of CFO</w:t>
      </w:r>
      <w:r w:rsidR="00983B4A">
        <w:t>.</w:t>
      </w:r>
      <w:r w:rsidR="00983B4A" w:rsidRPr="00983B4A">
        <w:t xml:space="preserve"> </w:t>
      </w:r>
      <w:r w:rsidR="00983B4A">
        <w:t xml:space="preserve">   </w:t>
      </w:r>
      <w:r w:rsidR="00983B4A" w:rsidRPr="00983B4A">
        <w:t xml:space="preserve">Fig.2(b) </w:t>
      </w:r>
      <w:r w:rsidR="00983B4A">
        <w:t>time domain correlation</w:t>
      </w:r>
      <w:r w:rsidR="003167AF">
        <w:t xml:space="preserve"> as a function of CFO</w:t>
      </w:r>
      <w:r w:rsidR="00983B4A">
        <w:t xml:space="preserve">. </w:t>
      </w:r>
      <w:r w:rsidR="00983B4A" w:rsidRPr="00983B4A">
        <w:t xml:space="preserve"> </w:t>
      </w:r>
      <w:r w:rsidRPr="00983B4A">
        <w:t xml:space="preserve"> </w:t>
      </w:r>
    </w:p>
    <w:p w14:paraId="54CE8344" w14:textId="03F075F7" w:rsidR="001B3FD4" w:rsidRPr="007F24B4" w:rsidRDefault="002339AB" w:rsidP="007F24B4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>Timing estimation accuracy.</w:t>
      </w:r>
      <w:r>
        <w:rPr>
          <w:sz w:val="22"/>
          <w:szCs w:val="22"/>
        </w:rPr>
        <w:t xml:space="preserve"> </w:t>
      </w:r>
      <w:r w:rsidR="000D3705">
        <w:rPr>
          <w:sz w:val="22"/>
          <w:szCs w:val="22"/>
        </w:rPr>
        <w:t>It is generally known that the accuracy of timing estimation is proportionally increased if the bandwidth of synchronization signal is increased. In that sense, since NR-PSS of FDM design has smaller bandwidth compared to TDM</w:t>
      </w:r>
      <w:r>
        <w:rPr>
          <w:sz w:val="22"/>
          <w:szCs w:val="22"/>
        </w:rPr>
        <w:t>, timing estimation accuracy of FDM design is worse than that in TDM design. However, in NR</w:t>
      </w:r>
      <w:r w:rsidR="007F5016">
        <w:rPr>
          <w:sz w:val="22"/>
          <w:szCs w:val="22"/>
        </w:rPr>
        <w:t xml:space="preserve"> above 6GHz</w:t>
      </w:r>
      <w:r>
        <w:rPr>
          <w:sz w:val="22"/>
          <w:szCs w:val="22"/>
        </w:rPr>
        <w:t xml:space="preserve">, with at least 40MHz or 80MHz minimum bandwidth for sync, the </w:t>
      </w:r>
      <w:r w:rsidR="000D3705">
        <w:rPr>
          <w:sz w:val="22"/>
          <w:szCs w:val="22"/>
        </w:rPr>
        <w:t xml:space="preserve">bandwidth </w:t>
      </w:r>
      <w:r>
        <w:rPr>
          <w:sz w:val="22"/>
          <w:szCs w:val="22"/>
        </w:rPr>
        <w:t xml:space="preserve">of </w:t>
      </w:r>
      <w:r w:rsidR="00DD7CD0">
        <w:rPr>
          <w:rFonts w:cs="Batang"/>
          <w:sz w:val="22"/>
          <w:lang w:val="en-US" w:eastAsia="zh-CN"/>
        </w:rPr>
        <w:t>NR-</w:t>
      </w:r>
      <w:r>
        <w:rPr>
          <w:sz w:val="22"/>
          <w:szCs w:val="22"/>
        </w:rPr>
        <w:t xml:space="preserve">PSS signal </w:t>
      </w:r>
      <w:r w:rsidR="00FE7A74">
        <w:rPr>
          <w:sz w:val="22"/>
          <w:szCs w:val="22"/>
        </w:rPr>
        <w:t xml:space="preserve">can be made </w:t>
      </w:r>
      <w:r w:rsidR="000D3705">
        <w:rPr>
          <w:sz w:val="22"/>
          <w:szCs w:val="22"/>
        </w:rPr>
        <w:t xml:space="preserve">large </w:t>
      </w:r>
      <w:r>
        <w:rPr>
          <w:sz w:val="22"/>
          <w:szCs w:val="22"/>
        </w:rPr>
        <w:t>enough to combat time estimation inaccuracy</w:t>
      </w:r>
      <w:r w:rsidR="00FE7A74">
        <w:rPr>
          <w:sz w:val="22"/>
          <w:szCs w:val="22"/>
        </w:rPr>
        <w:t xml:space="preserve"> even for the FDM case, e.g., via increasing the subcarrier spacing</w:t>
      </w:r>
      <w:r w:rsidR="00346F54">
        <w:rPr>
          <w:sz w:val="22"/>
          <w:szCs w:val="22"/>
        </w:rPr>
        <w:t xml:space="preserve"> as shown in Fig. 3</w:t>
      </w:r>
      <w:r>
        <w:rPr>
          <w:sz w:val="22"/>
          <w:szCs w:val="22"/>
        </w:rPr>
        <w:t xml:space="preserve">. </w:t>
      </w:r>
    </w:p>
    <w:p w14:paraId="4D2F6DB4" w14:textId="311B26DF" w:rsidR="001B3FD4" w:rsidRDefault="007F24B4" w:rsidP="007F24B4">
      <w:pPr>
        <w:pStyle w:val="ListParagraph"/>
        <w:ind w:leftChars="0" w:left="930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1B3FD4" w:rsidRPr="001B3FD4">
        <w:rPr>
          <w:noProof/>
          <w:sz w:val="22"/>
          <w:szCs w:val="22"/>
          <w:lang w:val="en-US"/>
        </w:rPr>
        <w:drawing>
          <wp:inline distT="0" distB="0" distL="0" distR="0" wp14:anchorId="5DAD95E6" wp14:editId="4B166E21">
            <wp:extent cx="1303021" cy="1308100"/>
            <wp:effectExtent l="0" t="0" r="0" b="6350"/>
            <wp:docPr id="24" name="Picture 24" descr="C:\Users\hao.chen1\Documents\Init access\slides\fd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ao.chen1\Documents\Init access\slides\fd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309" cy="1325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    </w:t>
      </w:r>
      <w:r w:rsidR="001B3FD4" w:rsidRPr="001B3FD4">
        <w:rPr>
          <w:noProof/>
          <w:sz w:val="22"/>
          <w:szCs w:val="22"/>
          <w:lang w:val="en-US"/>
        </w:rPr>
        <w:drawing>
          <wp:inline distT="0" distB="0" distL="0" distR="0" wp14:anchorId="26145333" wp14:editId="7B79F92E">
            <wp:extent cx="1079500" cy="2096817"/>
            <wp:effectExtent l="0" t="0" r="6350" b="0"/>
            <wp:docPr id="23" name="Picture 23" descr="C:\Users\hao.chen1\Documents\Init access\slides\enhanced_fd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ao.chen1\Documents\Init access\slides\enhanced_fdm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823" cy="209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AEFCAB" w14:textId="4328ADD3" w:rsidR="00346F54" w:rsidRPr="00DB33C8" w:rsidRDefault="00346F54" w:rsidP="00346F54">
      <w:pPr>
        <w:pStyle w:val="ListParagraph"/>
        <w:ind w:leftChars="0" w:left="930"/>
        <w:jc w:val="center"/>
      </w:pPr>
      <w:r w:rsidRPr="00DB33C8">
        <w:t xml:space="preserve">Fig.3 </w:t>
      </w:r>
      <w:r w:rsidR="00DB33C8" w:rsidRPr="00DB33C8">
        <w:t xml:space="preserve">(a) </w:t>
      </w:r>
      <w:r w:rsidRPr="00DB33C8">
        <w:t xml:space="preserve">FDM design </w:t>
      </w:r>
      <w:r w:rsidR="00DB33C8" w:rsidRPr="00DB33C8">
        <w:t xml:space="preserve">normal time domain signal length.  Fig.3(b) Enhanced FDM design </w:t>
      </w:r>
      <w:r w:rsidRPr="00DB33C8">
        <w:t>with shorter time domain signal</w:t>
      </w:r>
      <w:r w:rsidR="00DB33C8" w:rsidRPr="00DB33C8">
        <w:t>.</w:t>
      </w:r>
    </w:p>
    <w:p w14:paraId="543B7218" w14:textId="77777777" w:rsidR="001B3FD4" w:rsidRPr="00033FF4" w:rsidRDefault="001B3FD4" w:rsidP="002A5A76">
      <w:pPr>
        <w:pStyle w:val="ListParagraph"/>
        <w:ind w:leftChars="0" w:left="930"/>
        <w:jc w:val="both"/>
        <w:rPr>
          <w:sz w:val="22"/>
          <w:szCs w:val="22"/>
        </w:rPr>
      </w:pPr>
    </w:p>
    <w:p w14:paraId="0DBDCA30" w14:textId="4E20EFEC" w:rsidR="00163ECE" w:rsidRDefault="002339AB" w:rsidP="009C7599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 xml:space="preserve">Sensitivity to frequency offset/phase noise. </w:t>
      </w:r>
      <w:r w:rsidR="00163ECE" w:rsidRPr="002339AB">
        <w:rPr>
          <w:sz w:val="22"/>
          <w:szCs w:val="22"/>
        </w:rPr>
        <w:t xml:space="preserve">If frequency offset </w:t>
      </w:r>
      <w:r w:rsidR="00B65CE3">
        <w:rPr>
          <w:sz w:val="22"/>
          <w:szCs w:val="22"/>
        </w:rPr>
        <w:t>estimate</w:t>
      </w:r>
      <w:r w:rsidR="007F24B4">
        <w:rPr>
          <w:sz w:val="22"/>
          <w:szCs w:val="22"/>
        </w:rPr>
        <w:t>d</w:t>
      </w:r>
      <w:r w:rsidR="00B65CE3">
        <w:rPr>
          <w:sz w:val="22"/>
          <w:szCs w:val="22"/>
        </w:rPr>
        <w:t xml:space="preserve"> </w:t>
      </w:r>
      <w:r w:rsidR="00163ECE" w:rsidRPr="002339AB">
        <w:rPr>
          <w:sz w:val="22"/>
          <w:szCs w:val="22"/>
        </w:rPr>
        <w:t xml:space="preserve">from </w:t>
      </w:r>
      <w:r w:rsidR="00DD7CD0">
        <w:rPr>
          <w:rFonts w:cs="Batang"/>
          <w:sz w:val="22"/>
          <w:lang w:val="en-US" w:eastAsia="zh-CN"/>
        </w:rPr>
        <w:t>NR-</w:t>
      </w:r>
      <w:r w:rsidR="00163ECE" w:rsidRPr="002339AB">
        <w:rPr>
          <w:sz w:val="22"/>
          <w:szCs w:val="22"/>
        </w:rPr>
        <w:t xml:space="preserve">PSS is mainly used for </w:t>
      </w:r>
      <w:r w:rsidR="00B65CE3">
        <w:rPr>
          <w:sz w:val="22"/>
          <w:szCs w:val="22"/>
        </w:rPr>
        <w:t xml:space="preserve">detecting a cell ID from </w:t>
      </w:r>
      <w:r w:rsidR="00DD7CD0">
        <w:rPr>
          <w:rFonts w:cs="Batang"/>
          <w:sz w:val="22"/>
          <w:lang w:val="en-US" w:eastAsia="zh-CN"/>
        </w:rPr>
        <w:t>NR-</w:t>
      </w:r>
      <w:r w:rsidR="00B65CE3">
        <w:rPr>
          <w:sz w:val="22"/>
          <w:szCs w:val="22"/>
        </w:rPr>
        <w:t xml:space="preserve">SSS and </w:t>
      </w:r>
      <w:r w:rsidR="00163ECE" w:rsidRPr="002339AB">
        <w:rPr>
          <w:sz w:val="22"/>
          <w:szCs w:val="22"/>
        </w:rPr>
        <w:t xml:space="preserve">decoding </w:t>
      </w:r>
      <w:r w:rsidR="00DD7CD0">
        <w:rPr>
          <w:rFonts w:cs="Batang"/>
          <w:sz w:val="22"/>
          <w:lang w:val="en-US" w:eastAsia="zh-CN"/>
        </w:rPr>
        <w:t>NR-</w:t>
      </w:r>
      <w:r w:rsidR="00163ECE" w:rsidRPr="002339AB">
        <w:rPr>
          <w:sz w:val="22"/>
          <w:szCs w:val="22"/>
        </w:rPr>
        <w:t xml:space="preserve">PBCH, the </w:t>
      </w:r>
      <w:r w:rsidR="00B65CE3">
        <w:rPr>
          <w:sz w:val="22"/>
          <w:szCs w:val="22"/>
        </w:rPr>
        <w:t xml:space="preserve">decoding/detection </w:t>
      </w:r>
      <w:r w:rsidR="00163ECE" w:rsidRPr="002339AB">
        <w:rPr>
          <w:sz w:val="22"/>
          <w:szCs w:val="22"/>
        </w:rPr>
        <w:t xml:space="preserve">performance in both TDM and FDM design is comparable. This is because </w:t>
      </w:r>
      <w:r w:rsidR="00DD7CD0">
        <w:rPr>
          <w:rFonts w:cs="Batang"/>
          <w:sz w:val="22"/>
          <w:lang w:val="en-US" w:eastAsia="zh-CN"/>
        </w:rPr>
        <w:t>NR-</w:t>
      </w:r>
      <w:r w:rsidR="00163ECE" w:rsidRPr="002339AB">
        <w:rPr>
          <w:sz w:val="22"/>
          <w:szCs w:val="22"/>
        </w:rPr>
        <w:t>PBCH/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163ECE" w:rsidRPr="002339AB">
        <w:rPr>
          <w:sz w:val="22"/>
          <w:szCs w:val="22"/>
        </w:rPr>
        <w:t>SSS in TDM design is robust to frequency offset due to the large subcarrier spacing while in FDM design finer frequency offset estimation can be obtained</w:t>
      </w:r>
      <w:r w:rsidR="00163ECE">
        <w:rPr>
          <w:sz w:val="22"/>
          <w:szCs w:val="22"/>
        </w:rPr>
        <w:t xml:space="preserve"> and be used to correct the frequency offset in </w:t>
      </w:r>
      <w:r w:rsidR="00DD7CD0">
        <w:rPr>
          <w:rFonts w:cs="Batang"/>
          <w:sz w:val="22"/>
          <w:lang w:val="en-US" w:eastAsia="zh-CN"/>
        </w:rPr>
        <w:t>NR-</w:t>
      </w:r>
      <w:r w:rsidR="00163ECE">
        <w:rPr>
          <w:sz w:val="22"/>
          <w:szCs w:val="22"/>
        </w:rPr>
        <w:t>SSS/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163ECE">
        <w:rPr>
          <w:sz w:val="22"/>
          <w:szCs w:val="22"/>
        </w:rPr>
        <w:t>PBCH</w:t>
      </w:r>
      <w:r w:rsidR="00163ECE" w:rsidRPr="002339AB">
        <w:rPr>
          <w:sz w:val="22"/>
          <w:szCs w:val="22"/>
        </w:rPr>
        <w:t xml:space="preserve">. </w:t>
      </w:r>
    </w:p>
    <w:p w14:paraId="5A94035A" w14:textId="70BC505B" w:rsidR="00163ECE" w:rsidRDefault="00163ECE" w:rsidP="009C7599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>Sensitivity to delay spread.</w:t>
      </w:r>
      <w:r>
        <w:rPr>
          <w:sz w:val="22"/>
          <w:szCs w:val="22"/>
        </w:rPr>
        <w:t xml:space="preserve"> In the TDM approach, the CP length of each OFDM symbol will be smaller compared to that in FDM approach. T</w:t>
      </w:r>
      <w:r w:rsidRPr="006B3EB4">
        <w:rPr>
          <w:sz w:val="22"/>
          <w:szCs w:val="22"/>
        </w:rPr>
        <w:t xml:space="preserve">he small CP size of the TDM approach </w:t>
      </w:r>
      <w:r>
        <w:rPr>
          <w:sz w:val="22"/>
          <w:szCs w:val="22"/>
        </w:rPr>
        <w:t xml:space="preserve">may not affect the detection of </w:t>
      </w:r>
      <w:r w:rsidR="00DD7CD0">
        <w:rPr>
          <w:rFonts w:cs="Batang"/>
          <w:sz w:val="22"/>
          <w:lang w:val="en-US" w:eastAsia="zh-CN"/>
        </w:rPr>
        <w:t>NR-</w:t>
      </w:r>
      <w:r>
        <w:rPr>
          <w:sz w:val="22"/>
          <w:szCs w:val="22"/>
        </w:rPr>
        <w:t xml:space="preserve">PSS. However, small CP size will aggravate the detection of </w:t>
      </w:r>
      <w:r w:rsidR="00DD7CD0">
        <w:rPr>
          <w:rFonts w:cs="Batang"/>
          <w:sz w:val="22"/>
          <w:lang w:val="en-US" w:eastAsia="zh-CN"/>
        </w:rPr>
        <w:t>NR-</w:t>
      </w:r>
      <w:r>
        <w:rPr>
          <w:sz w:val="22"/>
          <w:szCs w:val="22"/>
        </w:rPr>
        <w:t xml:space="preserve">SSS and </w:t>
      </w:r>
      <w:r w:rsidR="00DD7CD0">
        <w:rPr>
          <w:rFonts w:cs="Batang"/>
          <w:sz w:val="22"/>
          <w:lang w:val="en-US" w:eastAsia="zh-CN"/>
        </w:rPr>
        <w:t>NR-</w:t>
      </w:r>
      <w:r>
        <w:rPr>
          <w:sz w:val="22"/>
          <w:szCs w:val="22"/>
        </w:rPr>
        <w:t xml:space="preserve">PBCH. </w:t>
      </w:r>
    </w:p>
    <w:p w14:paraId="2FD806CC" w14:textId="0363A062" w:rsidR="006B3EB4" w:rsidRPr="00FF613C" w:rsidRDefault="00163ECE" w:rsidP="00FF613C">
      <w:pPr>
        <w:pStyle w:val="ListParagraph"/>
        <w:numPr>
          <w:ilvl w:val="0"/>
          <w:numId w:val="25"/>
        </w:numPr>
        <w:ind w:leftChars="0"/>
        <w:jc w:val="both"/>
        <w:rPr>
          <w:sz w:val="22"/>
          <w:szCs w:val="22"/>
        </w:rPr>
      </w:pPr>
      <w:r w:rsidRPr="00044361">
        <w:rPr>
          <w:b/>
          <w:sz w:val="22"/>
          <w:szCs w:val="22"/>
        </w:rPr>
        <w:t xml:space="preserve">PAPR of </w:t>
      </w:r>
      <w:r w:rsidR="00DD7CD0">
        <w:rPr>
          <w:rFonts w:cs="Batang"/>
          <w:sz w:val="22"/>
          <w:lang w:val="en-US" w:eastAsia="zh-CN"/>
        </w:rPr>
        <w:t>NR-</w:t>
      </w:r>
      <w:r w:rsidRPr="00044361">
        <w:rPr>
          <w:b/>
          <w:sz w:val="22"/>
          <w:szCs w:val="22"/>
        </w:rPr>
        <w:t>PSS.</w:t>
      </w:r>
      <w:r>
        <w:rPr>
          <w:sz w:val="22"/>
          <w:szCs w:val="22"/>
        </w:rPr>
        <w:t xml:space="preserve"> Both TDM and FDM approach will have comparable PAPR performance. This is because </w:t>
      </w:r>
      <w:r w:rsidRPr="00A00926">
        <w:rPr>
          <w:sz w:val="22"/>
          <w:szCs w:val="22"/>
        </w:rPr>
        <w:t xml:space="preserve">sync signals, in both TDM and FDM case, need to be </w:t>
      </w:r>
      <w:proofErr w:type="spellStart"/>
      <w:r w:rsidRPr="00A00926">
        <w:rPr>
          <w:sz w:val="22"/>
          <w:szCs w:val="22"/>
        </w:rPr>
        <w:t>FDMed</w:t>
      </w:r>
      <w:proofErr w:type="spellEnd"/>
      <w:r w:rsidR="009C7599">
        <w:rPr>
          <w:sz w:val="22"/>
          <w:szCs w:val="22"/>
        </w:rPr>
        <w:t xml:space="preserve"> with other signals for efficient frequency resource usage as in legacy LTE system</w:t>
      </w:r>
      <w:r w:rsidRPr="00A00926">
        <w:rPr>
          <w:sz w:val="22"/>
          <w:szCs w:val="22"/>
        </w:rPr>
        <w:t>.</w:t>
      </w:r>
      <w:r w:rsidR="005841DE">
        <w:rPr>
          <w:sz w:val="22"/>
          <w:szCs w:val="22"/>
        </w:rPr>
        <w:t xml:space="preserve"> In addition, UL coverage is expected </w:t>
      </w:r>
      <w:r w:rsidR="005841DE">
        <w:rPr>
          <w:sz w:val="22"/>
          <w:szCs w:val="22"/>
        </w:rPr>
        <w:lastRenderedPageBreak/>
        <w:t xml:space="preserve">to be more difficult to achieve owing to small UE </w:t>
      </w:r>
      <w:proofErr w:type="spellStart"/>
      <w:r w:rsidR="005841DE">
        <w:rPr>
          <w:sz w:val="22"/>
          <w:szCs w:val="22"/>
        </w:rPr>
        <w:t>Tx</w:t>
      </w:r>
      <w:proofErr w:type="spellEnd"/>
      <w:r w:rsidR="005841DE">
        <w:rPr>
          <w:sz w:val="22"/>
          <w:szCs w:val="22"/>
        </w:rPr>
        <w:t xml:space="preserve"> power; hence DL PAPR does not seem to be an important issue. </w:t>
      </w:r>
    </w:p>
    <w:p w14:paraId="0A9A1C4E" w14:textId="77777777" w:rsidR="00FF613C" w:rsidRDefault="009C7599" w:rsidP="009C7599">
      <w:pPr>
        <w:jc w:val="both"/>
        <w:rPr>
          <w:sz w:val="22"/>
          <w:szCs w:val="22"/>
        </w:rPr>
      </w:pPr>
      <w:r w:rsidRPr="007F5016">
        <w:rPr>
          <w:sz w:val="22"/>
          <w:szCs w:val="22"/>
        </w:rPr>
        <w:t xml:space="preserve">In summary, </w:t>
      </w:r>
      <w:r w:rsidR="000808A2">
        <w:rPr>
          <w:sz w:val="22"/>
          <w:szCs w:val="22"/>
        </w:rPr>
        <w:t xml:space="preserve">due to the difference in subcarrier spacing/symbol length, the TDM </w:t>
      </w:r>
      <w:r w:rsidR="00FF613C">
        <w:rPr>
          <w:sz w:val="22"/>
          <w:szCs w:val="22"/>
        </w:rPr>
        <w:t xml:space="preserve">with increased subcarrier spacing </w:t>
      </w:r>
      <w:r w:rsidR="000808A2">
        <w:rPr>
          <w:sz w:val="22"/>
          <w:szCs w:val="22"/>
        </w:rPr>
        <w:t xml:space="preserve">and FDM approach have both advantages and disadvantages. </w:t>
      </w:r>
    </w:p>
    <w:p w14:paraId="7ADFFEF3" w14:textId="5E8C8AB3" w:rsidR="006B3EB4" w:rsidRPr="00D55626" w:rsidRDefault="000808A2" w:rsidP="009C759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Overall, </w:t>
      </w:r>
      <w:r w:rsidR="007F5016" w:rsidRPr="007F5016">
        <w:rPr>
          <w:sz w:val="22"/>
          <w:szCs w:val="22"/>
        </w:rPr>
        <w:t>the performance of TDM approach and FDM approach are comparable in most of the</w:t>
      </w:r>
      <w:r w:rsidR="007F5016">
        <w:rPr>
          <w:sz w:val="22"/>
          <w:szCs w:val="22"/>
        </w:rPr>
        <w:t xml:space="preserve"> above listed metrics. However, in NR above 6GHz, with at least 40MHz or 80MHz minimum bandwidth for sync, </w:t>
      </w:r>
      <w:r w:rsidR="00AF54D8">
        <w:rPr>
          <w:sz w:val="22"/>
          <w:szCs w:val="22"/>
        </w:rPr>
        <w:t xml:space="preserve">the subcarrier spacing of sync signal in FDM approach will </w:t>
      </w:r>
      <w:r w:rsidR="00FF613C">
        <w:rPr>
          <w:sz w:val="22"/>
          <w:szCs w:val="22"/>
        </w:rPr>
        <w:t xml:space="preserve">be large enough to </w:t>
      </w:r>
      <w:r w:rsidR="00AF54D8">
        <w:rPr>
          <w:sz w:val="22"/>
          <w:szCs w:val="22"/>
        </w:rPr>
        <w:t>compensate its disadvantages</w:t>
      </w:r>
      <w:r w:rsidR="007F5016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FF613C">
        <w:rPr>
          <w:sz w:val="22"/>
          <w:szCs w:val="22"/>
        </w:rPr>
        <w:t>Furthermore, decoding</w:t>
      </w:r>
      <w:r w:rsidR="00280A66">
        <w:rPr>
          <w:sz w:val="22"/>
          <w:szCs w:val="22"/>
        </w:rPr>
        <w:t>/detection</w:t>
      </w:r>
      <w:r w:rsidR="00FF613C">
        <w:rPr>
          <w:sz w:val="22"/>
          <w:szCs w:val="22"/>
        </w:rPr>
        <w:t xml:space="preserve"> of </w:t>
      </w:r>
      <w:r w:rsidR="00DD7CD0">
        <w:rPr>
          <w:rFonts w:cs="Batang"/>
          <w:sz w:val="22"/>
          <w:lang w:val="en-US" w:eastAsia="zh-CN"/>
        </w:rPr>
        <w:t>NR-</w:t>
      </w:r>
      <w:r w:rsidR="00FF613C">
        <w:rPr>
          <w:sz w:val="22"/>
          <w:szCs w:val="22"/>
        </w:rPr>
        <w:t>SSS/</w:t>
      </w:r>
      <w:r w:rsidR="00DD7CD0" w:rsidRPr="00DD7CD0">
        <w:rPr>
          <w:rFonts w:cs="Batang"/>
          <w:sz w:val="22"/>
          <w:lang w:val="en-US" w:eastAsia="zh-CN"/>
        </w:rPr>
        <w:t xml:space="preserve"> </w:t>
      </w:r>
      <w:r w:rsidR="00DD7CD0">
        <w:rPr>
          <w:rFonts w:cs="Batang"/>
          <w:sz w:val="22"/>
          <w:lang w:val="en-US" w:eastAsia="zh-CN"/>
        </w:rPr>
        <w:t>NR-</w:t>
      </w:r>
      <w:r w:rsidR="00FF613C">
        <w:rPr>
          <w:sz w:val="22"/>
          <w:szCs w:val="22"/>
        </w:rPr>
        <w:t xml:space="preserve">PBCH in FDM design is more robust to delay spread compared to that in TDM design. Finally, TDM with increased subcarrier spacing will introduce new numerology and the corresponding </w:t>
      </w:r>
      <w:r w:rsidR="00280A66">
        <w:rPr>
          <w:sz w:val="22"/>
          <w:szCs w:val="22"/>
        </w:rPr>
        <w:t xml:space="preserve">complexity </w:t>
      </w:r>
      <w:r w:rsidR="00FF613C">
        <w:rPr>
          <w:sz w:val="22"/>
          <w:szCs w:val="22"/>
        </w:rPr>
        <w:t>in both TRP and UE side. Based on the above reasons</w:t>
      </w:r>
      <w:r w:rsidR="006B3EB4" w:rsidRPr="00D55626">
        <w:rPr>
          <w:sz w:val="22"/>
          <w:szCs w:val="22"/>
        </w:rPr>
        <w:t xml:space="preserve">, we propose to adopt the </w:t>
      </w:r>
      <w:r w:rsidR="00A45321">
        <w:rPr>
          <w:sz w:val="22"/>
          <w:szCs w:val="22"/>
        </w:rPr>
        <w:t>following</w:t>
      </w:r>
      <w:r w:rsidR="00605A3C">
        <w:rPr>
          <w:sz w:val="22"/>
          <w:szCs w:val="22"/>
        </w:rPr>
        <w:t xml:space="preserve"> approach: </w:t>
      </w:r>
      <w:r w:rsidR="006B3EB4" w:rsidRPr="00D55626">
        <w:rPr>
          <w:sz w:val="22"/>
          <w:szCs w:val="22"/>
        </w:rPr>
        <w:t xml:space="preserve"> </w:t>
      </w:r>
    </w:p>
    <w:p w14:paraId="7E44B546" w14:textId="27FE15C6" w:rsidR="006B3EB4" w:rsidRDefault="006B3EB4" w:rsidP="009C7599">
      <w:pPr>
        <w:jc w:val="both"/>
        <w:rPr>
          <w:b/>
          <w:i/>
          <w:sz w:val="22"/>
          <w:szCs w:val="22"/>
        </w:rPr>
      </w:pPr>
      <w:r w:rsidRPr="00A00926">
        <w:rPr>
          <w:b/>
          <w:i/>
          <w:sz w:val="22"/>
          <w:szCs w:val="22"/>
        </w:rPr>
        <w:t xml:space="preserve">Proposal </w:t>
      </w:r>
      <w:r w:rsidR="00FB6E69">
        <w:rPr>
          <w:b/>
          <w:i/>
          <w:sz w:val="22"/>
          <w:szCs w:val="22"/>
        </w:rPr>
        <w:t>1</w:t>
      </w:r>
      <w:r w:rsidRPr="00A00926">
        <w:rPr>
          <w:b/>
          <w:i/>
          <w:sz w:val="22"/>
          <w:szCs w:val="22"/>
        </w:rPr>
        <w:t xml:space="preserve">: </w:t>
      </w:r>
      <w:r w:rsidR="00FB6E69">
        <w:rPr>
          <w:b/>
          <w:i/>
          <w:sz w:val="22"/>
          <w:szCs w:val="22"/>
        </w:rPr>
        <w:t xml:space="preserve">NR supports </w:t>
      </w:r>
      <w:r w:rsidR="00FB6E69" w:rsidRPr="00DD7CD0">
        <w:rPr>
          <w:b/>
          <w:i/>
          <w:sz w:val="22"/>
          <w:szCs w:val="22"/>
        </w:rPr>
        <w:t xml:space="preserve">FDM to multiplex </w:t>
      </w:r>
      <w:r w:rsidR="00DD7CD0" w:rsidRPr="00DD7CD0">
        <w:rPr>
          <w:rFonts w:cs="Batang"/>
          <w:i/>
          <w:sz w:val="22"/>
          <w:lang w:val="en-US" w:eastAsia="zh-CN"/>
        </w:rPr>
        <w:t>NR-</w:t>
      </w:r>
      <w:r w:rsidR="00FB6E69" w:rsidRPr="00DD7CD0">
        <w:rPr>
          <w:b/>
          <w:i/>
          <w:sz w:val="22"/>
          <w:szCs w:val="22"/>
        </w:rPr>
        <w:t xml:space="preserve">PSS, </w:t>
      </w:r>
      <w:r w:rsidR="00DD7CD0" w:rsidRPr="00DD7CD0">
        <w:rPr>
          <w:rFonts w:cs="Batang"/>
          <w:i/>
          <w:sz w:val="22"/>
          <w:lang w:val="en-US" w:eastAsia="zh-CN"/>
        </w:rPr>
        <w:t>NR-</w:t>
      </w:r>
      <w:r w:rsidR="00FB6E69" w:rsidRPr="00DD7CD0">
        <w:rPr>
          <w:b/>
          <w:i/>
          <w:sz w:val="22"/>
          <w:szCs w:val="22"/>
        </w:rPr>
        <w:t xml:space="preserve">SSS and </w:t>
      </w:r>
      <w:r w:rsidR="00DD7CD0" w:rsidRPr="00DD7CD0">
        <w:rPr>
          <w:rFonts w:cs="Batang"/>
          <w:i/>
          <w:sz w:val="22"/>
          <w:lang w:val="en-US" w:eastAsia="zh-CN"/>
        </w:rPr>
        <w:t>NR-</w:t>
      </w:r>
      <w:r w:rsidR="00FB6E69" w:rsidRPr="00DD7CD0">
        <w:rPr>
          <w:b/>
          <w:i/>
          <w:sz w:val="22"/>
          <w:szCs w:val="22"/>
        </w:rPr>
        <w:t>PBCH in</w:t>
      </w:r>
      <w:r w:rsidR="00FB6E69">
        <w:rPr>
          <w:b/>
          <w:i/>
          <w:sz w:val="22"/>
          <w:szCs w:val="22"/>
        </w:rPr>
        <w:t xml:space="preserve"> high frequency band (e.g., &gt; 6GHz).</w:t>
      </w:r>
      <w:r w:rsidRPr="00A00926">
        <w:rPr>
          <w:b/>
          <w:i/>
          <w:sz w:val="22"/>
          <w:szCs w:val="22"/>
        </w:rPr>
        <w:t xml:space="preserve"> </w:t>
      </w:r>
    </w:p>
    <w:p w14:paraId="704364AD" w14:textId="2FDEDA70" w:rsidR="00EC1DCC" w:rsidRDefault="00856AB7" w:rsidP="009C7599">
      <w:pPr>
        <w:pStyle w:val="Heading1"/>
        <w:tabs>
          <w:tab w:val="num" w:pos="0"/>
        </w:tabs>
        <w:ind w:left="799" w:hanging="799"/>
        <w:jc w:val="both"/>
      </w:pPr>
      <w:r>
        <w:t xml:space="preserve">Performance evaluation </w:t>
      </w:r>
    </w:p>
    <w:p w14:paraId="75FB20F9" w14:textId="6D947986" w:rsidR="003A1BBA" w:rsidRDefault="00160D3C" w:rsidP="009C7599">
      <w:pPr>
        <w:jc w:val="both"/>
        <w:rPr>
          <w:rFonts w:cs="Batang"/>
          <w:sz w:val="22"/>
        </w:rPr>
      </w:pPr>
      <w:r>
        <w:rPr>
          <w:rFonts w:cs="Batang"/>
          <w:sz w:val="22"/>
        </w:rPr>
        <w:t>Table 1</w:t>
      </w:r>
      <w:r w:rsidR="003A1BBA" w:rsidRPr="003A1BBA">
        <w:rPr>
          <w:rFonts w:cs="Batang"/>
          <w:sz w:val="22"/>
        </w:rPr>
        <w:t xml:space="preserve"> shows the main aspects of our design that is used to generate the simulation results.</w:t>
      </w:r>
      <w:r w:rsidR="00BA2FA9">
        <w:rPr>
          <w:rFonts w:cs="Batang"/>
          <w:sz w:val="22"/>
        </w:rPr>
        <w:t xml:space="preserve"> Other parameters follow the</w:t>
      </w:r>
      <w:r w:rsidR="00D268B7">
        <w:rPr>
          <w:rFonts w:cs="Batang"/>
          <w:sz w:val="22"/>
        </w:rPr>
        <w:t xml:space="preserve"> configuration in [</w:t>
      </w:r>
      <w:r w:rsidR="00D5048D">
        <w:rPr>
          <w:rFonts w:cs="Batang"/>
          <w:sz w:val="22"/>
        </w:rPr>
        <w:t>1</w:t>
      </w:r>
      <w:r w:rsidR="00D268B7">
        <w:rPr>
          <w:rFonts w:cs="Batang"/>
          <w:sz w:val="22"/>
        </w:rPr>
        <w:t xml:space="preserve">]. </w:t>
      </w:r>
    </w:p>
    <w:p w14:paraId="365A4F5C" w14:textId="77777777" w:rsidR="003A1BBA" w:rsidRPr="00475862" w:rsidRDefault="003A1BBA" w:rsidP="00703391">
      <w:pPr>
        <w:pStyle w:val="Caption"/>
        <w:keepNext/>
        <w:jc w:val="center"/>
        <w:rPr>
          <w:sz w:val="22"/>
          <w:szCs w:val="22"/>
        </w:rPr>
      </w:pPr>
      <w:bookmarkStart w:id="4" w:name="_Ref463014203"/>
      <w:r w:rsidRPr="00475862">
        <w:rPr>
          <w:sz w:val="22"/>
          <w:szCs w:val="22"/>
        </w:rPr>
        <w:t xml:space="preserve">Table </w:t>
      </w:r>
      <w:r w:rsidRPr="00475862">
        <w:rPr>
          <w:sz w:val="22"/>
          <w:szCs w:val="22"/>
        </w:rPr>
        <w:fldChar w:fldCharType="begin"/>
      </w:r>
      <w:r w:rsidRPr="00475862">
        <w:rPr>
          <w:sz w:val="22"/>
          <w:szCs w:val="22"/>
        </w:rPr>
        <w:instrText xml:space="preserve"> SEQ Table \* ARABIC </w:instrText>
      </w:r>
      <w:r w:rsidRPr="0047586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475862">
        <w:rPr>
          <w:sz w:val="22"/>
          <w:szCs w:val="22"/>
        </w:rPr>
        <w:fldChar w:fldCharType="end"/>
      </w:r>
      <w:bookmarkEnd w:id="4"/>
      <w:r w:rsidRPr="00475862">
        <w:rPr>
          <w:sz w:val="22"/>
          <w:szCs w:val="22"/>
        </w:rPr>
        <w:t xml:space="preserve"> -- Summary of sync design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54"/>
        <w:gridCol w:w="5715"/>
      </w:tblGrid>
      <w:tr w:rsidR="00D55626" w14:paraId="3E74F038" w14:textId="77777777" w:rsidTr="00C34F72">
        <w:trPr>
          <w:trHeight w:val="516"/>
          <w:jc w:val="center"/>
        </w:trPr>
        <w:tc>
          <w:tcPr>
            <w:tcW w:w="0" w:type="auto"/>
            <w:vAlign w:val="center"/>
          </w:tcPr>
          <w:p w14:paraId="41A34387" w14:textId="77777777" w:rsidR="00D55626" w:rsidRPr="00475862" w:rsidRDefault="00D55626" w:rsidP="009C7599">
            <w:pPr>
              <w:jc w:val="both"/>
              <w:rPr>
                <w:b/>
                <w:bCs/>
                <w:sz w:val="28"/>
                <w:szCs w:val="28"/>
              </w:rPr>
            </w:pPr>
            <w:r w:rsidRPr="00475862">
              <w:rPr>
                <w:b/>
                <w:bCs/>
                <w:sz w:val="28"/>
                <w:szCs w:val="28"/>
              </w:rPr>
              <w:t>Parameter</w:t>
            </w:r>
          </w:p>
        </w:tc>
        <w:tc>
          <w:tcPr>
            <w:tcW w:w="0" w:type="auto"/>
            <w:vAlign w:val="center"/>
          </w:tcPr>
          <w:p w14:paraId="2F627A58" w14:textId="77777777" w:rsidR="00D55626" w:rsidRPr="00475862" w:rsidRDefault="00D55626" w:rsidP="009C7599">
            <w:pPr>
              <w:jc w:val="both"/>
              <w:rPr>
                <w:b/>
                <w:bCs/>
                <w:sz w:val="28"/>
                <w:szCs w:val="28"/>
              </w:rPr>
            </w:pPr>
            <w:r w:rsidRPr="00475862">
              <w:rPr>
                <w:b/>
                <w:bCs/>
                <w:sz w:val="28"/>
                <w:szCs w:val="28"/>
              </w:rPr>
              <w:t>Value</w:t>
            </w:r>
          </w:p>
        </w:tc>
      </w:tr>
      <w:tr w:rsidR="00D55626" w14:paraId="39BEAF88" w14:textId="77777777" w:rsidTr="00C34F72">
        <w:trPr>
          <w:trHeight w:val="345"/>
          <w:jc w:val="center"/>
        </w:trPr>
        <w:tc>
          <w:tcPr>
            <w:tcW w:w="0" w:type="auto"/>
          </w:tcPr>
          <w:p w14:paraId="27305E4D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Sync periodicity</w:t>
            </w:r>
          </w:p>
        </w:tc>
        <w:tc>
          <w:tcPr>
            <w:tcW w:w="0" w:type="auto"/>
            <w:vAlign w:val="center"/>
          </w:tcPr>
          <w:p w14:paraId="059E6E2B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 xml:space="preserve">5 </w:t>
            </w:r>
            <w:proofErr w:type="spellStart"/>
            <w:r w:rsidRPr="00673BBE">
              <w:rPr>
                <w:sz w:val="22"/>
                <w:szCs w:val="22"/>
              </w:rPr>
              <w:t>msec</w:t>
            </w:r>
            <w:proofErr w:type="spellEnd"/>
          </w:p>
        </w:tc>
      </w:tr>
      <w:tr w:rsidR="00D55626" w14:paraId="786E848F" w14:textId="77777777" w:rsidTr="00532323">
        <w:trPr>
          <w:trHeight w:val="426"/>
          <w:jc w:val="center"/>
        </w:trPr>
        <w:tc>
          <w:tcPr>
            <w:tcW w:w="0" w:type="auto"/>
          </w:tcPr>
          <w:p w14:paraId="6360D1D7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 xml:space="preserve">Sync </w:t>
            </w:r>
            <w:proofErr w:type="spellStart"/>
            <w:r w:rsidRPr="00673BBE">
              <w:rPr>
                <w:sz w:val="22"/>
                <w:szCs w:val="22"/>
              </w:rPr>
              <w:t>tx</w:t>
            </w:r>
            <w:proofErr w:type="spellEnd"/>
            <w:r w:rsidRPr="00673BBE">
              <w:rPr>
                <w:sz w:val="22"/>
                <w:szCs w:val="22"/>
              </w:rPr>
              <w:t xml:space="preserve"> burst duration</w:t>
            </w:r>
          </w:p>
        </w:tc>
        <w:tc>
          <w:tcPr>
            <w:tcW w:w="0" w:type="auto"/>
            <w:vAlign w:val="center"/>
          </w:tcPr>
          <w:p w14:paraId="145F125B" w14:textId="28533D05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 xml:space="preserve">250 </w:t>
            </w:r>
            <w:proofErr w:type="spellStart"/>
            <w:r w:rsidR="0034123E">
              <w:rPr>
                <w:sz w:val="22"/>
                <w:szCs w:val="22"/>
              </w:rPr>
              <w:t>u</w:t>
            </w:r>
            <w:r w:rsidRPr="00673BBE">
              <w:rPr>
                <w:sz w:val="22"/>
                <w:szCs w:val="22"/>
              </w:rPr>
              <w:t>sec</w:t>
            </w:r>
            <w:proofErr w:type="spellEnd"/>
          </w:p>
        </w:tc>
      </w:tr>
      <w:tr w:rsidR="00532323" w14:paraId="76469DF8" w14:textId="77777777" w:rsidTr="00532323">
        <w:trPr>
          <w:trHeight w:val="426"/>
          <w:jc w:val="center"/>
        </w:trPr>
        <w:tc>
          <w:tcPr>
            <w:tcW w:w="0" w:type="auto"/>
          </w:tcPr>
          <w:p w14:paraId="2D9B5284" w14:textId="3BAAF5C2" w:rsidR="00532323" w:rsidRPr="00673BBE" w:rsidRDefault="00532323" w:rsidP="009C7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(ASA, ASD)</w:t>
            </w:r>
          </w:p>
        </w:tc>
        <w:tc>
          <w:tcPr>
            <w:tcW w:w="0" w:type="auto"/>
            <w:vAlign w:val="center"/>
          </w:tcPr>
          <w:p w14:paraId="3AB96AE5" w14:textId="15210F8D" w:rsidR="00532323" w:rsidRPr="00673BBE" w:rsidRDefault="00532323" w:rsidP="009C7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60D3C">
              <w:rPr>
                <w:sz w:val="22"/>
                <w:szCs w:val="22"/>
              </w:rPr>
              <w:t>30,5</w:t>
            </w:r>
            <w:r>
              <w:rPr>
                <w:sz w:val="22"/>
                <w:szCs w:val="22"/>
              </w:rPr>
              <w:t>)</w:t>
            </w:r>
          </w:p>
        </w:tc>
      </w:tr>
      <w:tr w:rsidR="00D55626" w14:paraId="183D5FC7" w14:textId="77777777" w:rsidTr="0033631A">
        <w:trPr>
          <w:trHeight w:val="399"/>
          <w:jc w:val="center"/>
        </w:trPr>
        <w:tc>
          <w:tcPr>
            <w:tcW w:w="0" w:type="auto"/>
          </w:tcPr>
          <w:p w14:paraId="42E06AD8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# nominal sync symbols in a burst</w:t>
            </w:r>
          </w:p>
        </w:tc>
        <w:tc>
          <w:tcPr>
            <w:tcW w:w="0" w:type="auto"/>
            <w:vAlign w:val="center"/>
          </w:tcPr>
          <w:p w14:paraId="366FB4EA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14</w:t>
            </w:r>
          </w:p>
        </w:tc>
      </w:tr>
      <w:tr w:rsidR="00D55626" w14:paraId="689DAF0B" w14:textId="77777777" w:rsidTr="0033631A">
        <w:trPr>
          <w:trHeight w:val="399"/>
          <w:jc w:val="center"/>
        </w:trPr>
        <w:tc>
          <w:tcPr>
            <w:tcW w:w="0" w:type="auto"/>
          </w:tcPr>
          <w:p w14:paraId="0590089F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 xml:space="preserve">Sync </w:t>
            </w:r>
            <w:proofErr w:type="spellStart"/>
            <w:r w:rsidRPr="00673BBE">
              <w:rPr>
                <w:sz w:val="22"/>
                <w:szCs w:val="22"/>
              </w:rPr>
              <w:t>tx</w:t>
            </w:r>
            <w:proofErr w:type="spellEnd"/>
            <w:r w:rsidRPr="00673BBE">
              <w:rPr>
                <w:sz w:val="22"/>
                <w:szCs w:val="22"/>
              </w:rPr>
              <w:t xml:space="preserve"> bandwidth </w:t>
            </w:r>
          </w:p>
        </w:tc>
        <w:tc>
          <w:tcPr>
            <w:tcW w:w="0" w:type="auto"/>
            <w:vAlign w:val="center"/>
          </w:tcPr>
          <w:p w14:paraId="01A77F80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34.56 MHz</w:t>
            </w:r>
          </w:p>
        </w:tc>
      </w:tr>
      <w:tr w:rsidR="00D55626" w14:paraId="0C3BA2CB" w14:textId="77777777" w:rsidTr="0033631A">
        <w:trPr>
          <w:trHeight w:val="498"/>
          <w:jc w:val="center"/>
        </w:trPr>
        <w:tc>
          <w:tcPr>
            <w:tcW w:w="0" w:type="auto"/>
          </w:tcPr>
          <w:p w14:paraId="0451174C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Sampling rate</w:t>
            </w:r>
          </w:p>
        </w:tc>
        <w:tc>
          <w:tcPr>
            <w:tcW w:w="0" w:type="auto"/>
            <w:vAlign w:val="center"/>
          </w:tcPr>
          <w:p w14:paraId="35F775C2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61.44MHz</w:t>
            </w:r>
          </w:p>
        </w:tc>
      </w:tr>
      <w:tr w:rsidR="00284E07" w14:paraId="6C1FE5DA" w14:textId="77777777" w:rsidTr="0033631A">
        <w:trPr>
          <w:trHeight w:val="498"/>
          <w:jc w:val="center"/>
        </w:trPr>
        <w:tc>
          <w:tcPr>
            <w:tcW w:w="0" w:type="auto"/>
          </w:tcPr>
          <w:p w14:paraId="144CF1F7" w14:textId="2BFD438D" w:rsidR="00284E07" w:rsidRPr="00673BBE" w:rsidRDefault="00284E07" w:rsidP="009C7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Subcarrier spacing </w:t>
            </w:r>
          </w:p>
        </w:tc>
        <w:tc>
          <w:tcPr>
            <w:tcW w:w="0" w:type="auto"/>
            <w:vAlign w:val="center"/>
          </w:tcPr>
          <w:p w14:paraId="66EB4E18" w14:textId="68546FC5" w:rsidR="00284E07" w:rsidRPr="00673BBE" w:rsidRDefault="00284E07" w:rsidP="009C75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TDM: 240KHz, FDM: 60KHz</w:t>
            </w:r>
          </w:p>
        </w:tc>
      </w:tr>
      <w:tr w:rsidR="00D55626" w14:paraId="3526962B" w14:textId="77777777" w:rsidTr="007F24B4">
        <w:trPr>
          <w:trHeight w:val="1257"/>
          <w:jc w:val="center"/>
        </w:trPr>
        <w:tc>
          <w:tcPr>
            <w:tcW w:w="0" w:type="auto"/>
          </w:tcPr>
          <w:p w14:paraId="66E1001D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BS beam sweep pattern</w:t>
            </w:r>
          </w:p>
        </w:tc>
        <w:tc>
          <w:tcPr>
            <w:tcW w:w="0" w:type="auto"/>
            <w:vAlign w:val="center"/>
          </w:tcPr>
          <w:p w14:paraId="60CE457B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Azimuth: sweeping 14 directions</w:t>
            </w:r>
          </w:p>
          <w:p w14:paraId="644C5D91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Elevation: directed towards 110 degree</w:t>
            </w:r>
          </w:p>
          <w:p w14:paraId="60AE745E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 xml:space="preserve">Periodicity: 5 </w:t>
            </w:r>
            <w:proofErr w:type="spellStart"/>
            <w:r w:rsidRPr="00673BBE">
              <w:rPr>
                <w:sz w:val="22"/>
                <w:szCs w:val="22"/>
              </w:rPr>
              <w:t>msec</w:t>
            </w:r>
            <w:proofErr w:type="spellEnd"/>
          </w:p>
        </w:tc>
      </w:tr>
      <w:tr w:rsidR="00D55626" w14:paraId="32225952" w14:textId="77777777" w:rsidTr="0033631A">
        <w:trPr>
          <w:trHeight w:val="480"/>
          <w:jc w:val="center"/>
        </w:trPr>
        <w:tc>
          <w:tcPr>
            <w:tcW w:w="0" w:type="auto"/>
          </w:tcPr>
          <w:p w14:paraId="245BBD06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UE beam pattern</w:t>
            </w:r>
          </w:p>
        </w:tc>
        <w:tc>
          <w:tcPr>
            <w:tcW w:w="0" w:type="auto"/>
            <w:vAlign w:val="center"/>
          </w:tcPr>
          <w:p w14:paraId="6E6F5B01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Reception using a pseudo-</w:t>
            </w:r>
            <w:proofErr w:type="spellStart"/>
            <w:r w:rsidRPr="00673BBE">
              <w:rPr>
                <w:sz w:val="22"/>
                <w:szCs w:val="22"/>
              </w:rPr>
              <w:t>omni</w:t>
            </w:r>
            <w:proofErr w:type="spellEnd"/>
            <w:r w:rsidRPr="00673BBE">
              <w:rPr>
                <w:sz w:val="22"/>
                <w:szCs w:val="22"/>
              </w:rPr>
              <w:t xml:space="preserve"> beam </w:t>
            </w:r>
          </w:p>
        </w:tc>
      </w:tr>
      <w:tr w:rsidR="00D55626" w14:paraId="241CB418" w14:textId="77777777" w:rsidTr="0033631A">
        <w:trPr>
          <w:trHeight w:val="444"/>
          <w:jc w:val="center"/>
        </w:trPr>
        <w:tc>
          <w:tcPr>
            <w:tcW w:w="0" w:type="auto"/>
          </w:tcPr>
          <w:p w14:paraId="6AC97AA6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Sync symbol multiplexing method</w:t>
            </w:r>
          </w:p>
        </w:tc>
        <w:tc>
          <w:tcPr>
            <w:tcW w:w="0" w:type="auto"/>
            <w:vAlign w:val="center"/>
          </w:tcPr>
          <w:p w14:paraId="4E7326AB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TDM and FDM</w:t>
            </w:r>
          </w:p>
        </w:tc>
      </w:tr>
      <w:tr w:rsidR="00D55626" w14:paraId="15440130" w14:textId="77777777" w:rsidTr="0033631A">
        <w:trPr>
          <w:trHeight w:val="435"/>
          <w:jc w:val="center"/>
        </w:trPr>
        <w:tc>
          <w:tcPr>
            <w:tcW w:w="0" w:type="auto"/>
          </w:tcPr>
          <w:p w14:paraId="7C35B1FD" w14:textId="5996166F" w:rsidR="00D55626" w:rsidRPr="00673BBE" w:rsidRDefault="00DD7CD0" w:rsidP="009C7599">
            <w:pPr>
              <w:jc w:val="both"/>
              <w:rPr>
                <w:sz w:val="22"/>
                <w:szCs w:val="22"/>
              </w:rPr>
            </w:pPr>
            <w:r>
              <w:rPr>
                <w:rFonts w:cs="Batang"/>
                <w:sz w:val="22"/>
                <w:lang w:val="en-US" w:eastAsia="zh-CN"/>
              </w:rPr>
              <w:t>NR-</w:t>
            </w:r>
            <w:r w:rsidR="00D55626" w:rsidRPr="00673BBE">
              <w:rPr>
                <w:sz w:val="22"/>
                <w:szCs w:val="22"/>
              </w:rPr>
              <w:t>PSS waveform</w:t>
            </w:r>
          </w:p>
        </w:tc>
        <w:tc>
          <w:tcPr>
            <w:tcW w:w="0" w:type="auto"/>
            <w:vAlign w:val="center"/>
          </w:tcPr>
          <w:p w14:paraId="32FA3CBC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127-length ZC with 3 roots (25,29,34)</w:t>
            </w:r>
          </w:p>
        </w:tc>
      </w:tr>
      <w:tr w:rsidR="00D55626" w14:paraId="50FBCB79" w14:textId="77777777" w:rsidTr="007F24B4">
        <w:trPr>
          <w:trHeight w:val="516"/>
          <w:jc w:val="center"/>
        </w:trPr>
        <w:tc>
          <w:tcPr>
            <w:tcW w:w="0" w:type="auto"/>
          </w:tcPr>
          <w:p w14:paraId="6CEE4A27" w14:textId="6DE7816E" w:rsidR="00D55626" w:rsidRPr="00673BBE" w:rsidRDefault="00DD7CD0" w:rsidP="009C7599">
            <w:pPr>
              <w:jc w:val="both"/>
              <w:rPr>
                <w:sz w:val="22"/>
                <w:szCs w:val="22"/>
              </w:rPr>
            </w:pPr>
            <w:r>
              <w:rPr>
                <w:rFonts w:cs="Batang"/>
                <w:sz w:val="22"/>
                <w:lang w:val="en-US" w:eastAsia="zh-CN"/>
              </w:rPr>
              <w:t>NR-</w:t>
            </w:r>
            <w:r w:rsidR="00D55626" w:rsidRPr="00673BBE">
              <w:rPr>
                <w:sz w:val="22"/>
                <w:szCs w:val="22"/>
              </w:rPr>
              <w:t>SSS waveform</w:t>
            </w:r>
          </w:p>
        </w:tc>
        <w:tc>
          <w:tcPr>
            <w:tcW w:w="0" w:type="auto"/>
            <w:vAlign w:val="center"/>
          </w:tcPr>
          <w:p w14:paraId="0C9FB175" w14:textId="77777777" w:rsidR="00D55626" w:rsidRPr="00673BBE" w:rsidRDefault="00D55626" w:rsidP="009C7599">
            <w:pPr>
              <w:jc w:val="both"/>
              <w:rPr>
                <w:sz w:val="22"/>
                <w:szCs w:val="22"/>
              </w:rPr>
            </w:pPr>
            <w:r w:rsidRPr="00673BBE">
              <w:rPr>
                <w:sz w:val="22"/>
                <w:szCs w:val="22"/>
              </w:rPr>
              <w:t>Based on 2 X 62-length LTE rel-8 SSS with 2-layer precoding</w:t>
            </w:r>
          </w:p>
        </w:tc>
      </w:tr>
    </w:tbl>
    <w:p w14:paraId="6BCF982E" w14:textId="20C65AFC" w:rsidR="0034123E" w:rsidRDefault="003A1BBA" w:rsidP="009C7599">
      <w:pPr>
        <w:jc w:val="both"/>
        <w:rPr>
          <w:rFonts w:cs="Batang"/>
          <w:sz w:val="22"/>
        </w:rPr>
      </w:pPr>
      <w:r w:rsidRPr="003A1BBA">
        <w:rPr>
          <w:rFonts w:cs="Batang"/>
          <w:sz w:val="22"/>
        </w:rPr>
        <w:t xml:space="preserve">  </w:t>
      </w:r>
    </w:p>
    <w:p w14:paraId="749D3289" w14:textId="4DA8AC6D" w:rsidR="00D268B7" w:rsidRDefault="00D268B7" w:rsidP="009C7599">
      <w:pPr>
        <w:jc w:val="both"/>
        <w:rPr>
          <w:rFonts w:cs="Batang"/>
          <w:sz w:val="22"/>
        </w:rPr>
      </w:pPr>
    </w:p>
    <w:p w14:paraId="5AEBB8C6" w14:textId="548AE44D" w:rsidR="00D268B7" w:rsidRDefault="00D268B7" w:rsidP="009C7599">
      <w:pPr>
        <w:jc w:val="both"/>
        <w:rPr>
          <w:rFonts w:cs="Batang"/>
          <w:sz w:val="22"/>
        </w:rPr>
      </w:pPr>
      <w:r>
        <w:rPr>
          <w:rFonts w:cs="Batang"/>
          <w:sz w:val="22"/>
        </w:rPr>
        <w:t>In the following, we compare the performance of FDM</w:t>
      </w:r>
      <w:r w:rsidR="00882EAE">
        <w:rPr>
          <w:rFonts w:cs="Batang"/>
          <w:sz w:val="22"/>
        </w:rPr>
        <w:t xml:space="preserve"> design</w:t>
      </w:r>
      <w:r>
        <w:rPr>
          <w:rFonts w:cs="Batang"/>
          <w:sz w:val="22"/>
        </w:rPr>
        <w:t xml:space="preserve"> and TDM</w:t>
      </w:r>
      <w:r w:rsidR="00882EAE">
        <w:rPr>
          <w:rFonts w:cs="Batang"/>
          <w:sz w:val="22"/>
        </w:rPr>
        <w:t xml:space="preserve"> design</w:t>
      </w:r>
      <w:r>
        <w:rPr>
          <w:rFonts w:cs="Batang"/>
          <w:sz w:val="22"/>
        </w:rPr>
        <w:t xml:space="preserve"> in terms of CFO estimation. </w:t>
      </w:r>
      <w:r w:rsidR="00C34F72">
        <w:rPr>
          <w:rFonts w:cs="Batang"/>
          <w:sz w:val="22"/>
        </w:rPr>
        <w:t xml:space="preserve">CFO is estimated using only PSS.  </w:t>
      </w:r>
    </w:p>
    <w:p w14:paraId="09B47681" w14:textId="279D4509" w:rsidR="00B96813" w:rsidRDefault="00BC4A60" w:rsidP="005729DA">
      <w:pPr>
        <w:jc w:val="center"/>
        <w:rPr>
          <w:rFonts w:cs="Batang"/>
          <w:b/>
          <w:i/>
          <w:sz w:val="22"/>
        </w:rPr>
      </w:pPr>
      <w:r w:rsidRPr="00BC4A60">
        <w:rPr>
          <w:rFonts w:cs="Batang"/>
          <w:b/>
          <w:i/>
          <w:noProof/>
          <w:sz w:val="22"/>
          <w:lang w:val="en-US"/>
        </w:rPr>
        <w:lastRenderedPageBreak/>
        <w:drawing>
          <wp:inline distT="0" distB="0" distL="0" distR="0" wp14:anchorId="1761D352" wp14:editId="30B6E48A">
            <wp:extent cx="2892066" cy="2053988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093" cy="2068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4A60">
        <w:rPr>
          <w:rFonts w:cs="Batang"/>
          <w:b/>
          <w:i/>
          <w:sz w:val="22"/>
        </w:rPr>
        <w:t xml:space="preserve"> </w:t>
      </w:r>
      <w:r w:rsidRPr="00BC4A60">
        <w:rPr>
          <w:rFonts w:cs="Batang"/>
          <w:b/>
          <w:i/>
          <w:noProof/>
          <w:sz w:val="22"/>
          <w:lang w:val="en-US"/>
        </w:rPr>
        <w:drawing>
          <wp:inline distT="0" distB="0" distL="0" distR="0" wp14:anchorId="1018A3A0" wp14:editId="24294966">
            <wp:extent cx="2852383" cy="20258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222" cy="2059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6E34E6" w14:textId="1CB5E366" w:rsidR="00D268B7" w:rsidRPr="00D268B7" w:rsidRDefault="00D268B7" w:rsidP="00D268B7">
      <w:pPr>
        <w:rPr>
          <w:rFonts w:cs="Batang"/>
          <w:sz w:val="22"/>
        </w:rPr>
      </w:pPr>
      <w:r>
        <w:rPr>
          <w:rFonts w:cs="Batang"/>
          <w:sz w:val="22"/>
        </w:rPr>
        <w:t xml:space="preserve">Fig. 4(a) frequency error at -18dB SNR               Fig. 4(b) frequency error at -6dB SNR </w:t>
      </w:r>
    </w:p>
    <w:p w14:paraId="1076A2FE" w14:textId="12E53BEC" w:rsidR="00C520E1" w:rsidRDefault="005E1EA5" w:rsidP="00C34F72">
      <w:pPr>
        <w:rPr>
          <w:rFonts w:cs="Batang"/>
          <w:sz w:val="22"/>
        </w:rPr>
      </w:pPr>
      <w:r>
        <w:rPr>
          <w:rFonts w:cs="Batang"/>
          <w:sz w:val="22"/>
        </w:rPr>
        <w:t xml:space="preserve">The result in </w:t>
      </w:r>
      <w:r w:rsidR="00C34F72">
        <w:rPr>
          <w:rFonts w:cs="Batang"/>
          <w:sz w:val="22"/>
        </w:rPr>
        <w:t>Fig. 4(a)</w:t>
      </w:r>
      <w:r w:rsidR="00B32AAC">
        <w:rPr>
          <w:rFonts w:cs="Batang"/>
          <w:sz w:val="22"/>
        </w:rPr>
        <w:t xml:space="preserve"> confirms that the accuracy of CFO estimation under FDM design is better than that in TDM. However, the estimation dynamic range of TDM</w:t>
      </w:r>
      <w:r w:rsidR="007F05CA">
        <w:rPr>
          <w:rFonts w:cs="Batang"/>
          <w:sz w:val="22"/>
        </w:rPr>
        <w:t xml:space="preserve"> design is</w:t>
      </w:r>
      <w:r w:rsidR="00B32AAC">
        <w:rPr>
          <w:rFonts w:cs="Batang"/>
          <w:sz w:val="22"/>
        </w:rPr>
        <w:t xml:space="preserve"> larger than FDM</w:t>
      </w:r>
      <w:r w:rsidR="007F05CA">
        <w:rPr>
          <w:rFonts w:cs="Batang"/>
          <w:sz w:val="22"/>
        </w:rPr>
        <w:t xml:space="preserve"> design</w:t>
      </w:r>
      <w:r w:rsidR="00B32AAC">
        <w:rPr>
          <w:rFonts w:cs="Batang"/>
          <w:sz w:val="22"/>
        </w:rPr>
        <w:t xml:space="preserve">. When the SNR is high, the CFO estimation </w:t>
      </w:r>
      <w:r w:rsidR="00862513">
        <w:rPr>
          <w:rFonts w:cs="Batang"/>
          <w:sz w:val="22"/>
        </w:rPr>
        <w:t xml:space="preserve">in FDM design is always better than that in TDM design. </w:t>
      </w:r>
    </w:p>
    <w:p w14:paraId="1042DF68" w14:textId="1490FBA1" w:rsidR="0033631A" w:rsidRPr="00C520E1" w:rsidRDefault="0075077E" w:rsidP="00C34F72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Observation 1: </w:t>
      </w:r>
      <w:r w:rsidR="00332203">
        <w:rPr>
          <w:b/>
          <w:i/>
          <w:sz w:val="22"/>
          <w:szCs w:val="22"/>
        </w:rPr>
        <w:t>FDM of</w:t>
      </w:r>
      <w:r w:rsidR="00C520E1">
        <w:rPr>
          <w:b/>
          <w:i/>
          <w:sz w:val="22"/>
          <w:szCs w:val="22"/>
        </w:rPr>
        <w:t xml:space="preserve"> the sync signals (NR-PSS/NR-SSS/NR-PBCH) </w:t>
      </w:r>
      <w:r w:rsidR="008F6AA2">
        <w:rPr>
          <w:b/>
          <w:i/>
          <w:sz w:val="22"/>
          <w:szCs w:val="22"/>
        </w:rPr>
        <w:t>with</w:t>
      </w:r>
      <w:r>
        <w:rPr>
          <w:b/>
          <w:i/>
          <w:sz w:val="22"/>
          <w:szCs w:val="22"/>
        </w:rPr>
        <w:t xml:space="preserve"> smaller subcarrier spacing </w:t>
      </w:r>
      <w:r w:rsidR="00C520E1">
        <w:rPr>
          <w:b/>
          <w:i/>
          <w:sz w:val="22"/>
          <w:szCs w:val="22"/>
        </w:rPr>
        <w:t>provides better</w:t>
      </w:r>
      <w:r w:rsidR="00C34F72" w:rsidRPr="00C520E1">
        <w:rPr>
          <w:b/>
          <w:i/>
          <w:sz w:val="22"/>
          <w:szCs w:val="22"/>
        </w:rPr>
        <w:t xml:space="preserve"> </w:t>
      </w:r>
      <w:r w:rsidR="00332203">
        <w:rPr>
          <w:b/>
          <w:i/>
          <w:sz w:val="22"/>
          <w:szCs w:val="22"/>
        </w:rPr>
        <w:t>CFO estimation than TDM of</w:t>
      </w:r>
      <w:r w:rsidR="00C520E1">
        <w:rPr>
          <w:b/>
          <w:i/>
          <w:sz w:val="22"/>
          <w:szCs w:val="22"/>
        </w:rPr>
        <w:t xml:space="preserve"> the sync signals</w:t>
      </w:r>
      <w:r>
        <w:rPr>
          <w:b/>
          <w:i/>
          <w:sz w:val="22"/>
          <w:szCs w:val="22"/>
        </w:rPr>
        <w:t xml:space="preserve"> </w:t>
      </w:r>
      <w:r w:rsidR="008F6AA2">
        <w:rPr>
          <w:b/>
          <w:i/>
          <w:sz w:val="22"/>
          <w:szCs w:val="22"/>
        </w:rPr>
        <w:t>with</w:t>
      </w:r>
      <w:r>
        <w:rPr>
          <w:b/>
          <w:i/>
          <w:sz w:val="22"/>
          <w:szCs w:val="22"/>
        </w:rPr>
        <w:t xml:space="preserve"> larger subcarrier spacing. </w:t>
      </w:r>
      <w:r w:rsidR="00C34F72" w:rsidRPr="00C520E1">
        <w:rPr>
          <w:b/>
          <w:i/>
          <w:sz w:val="22"/>
          <w:szCs w:val="22"/>
        </w:rPr>
        <w:t xml:space="preserve"> </w:t>
      </w:r>
    </w:p>
    <w:p w14:paraId="5BEB6709" w14:textId="1C58A4D6" w:rsidR="00CD24CD" w:rsidRDefault="00CD24CD" w:rsidP="009C7599">
      <w:pPr>
        <w:pStyle w:val="Heading1"/>
        <w:tabs>
          <w:tab w:val="num" w:pos="0"/>
        </w:tabs>
        <w:ind w:left="799" w:hanging="799"/>
        <w:jc w:val="both"/>
      </w:pPr>
      <w:r>
        <w:rPr>
          <w:rFonts w:hint="eastAsia"/>
        </w:rPr>
        <w:t>Conclusions</w:t>
      </w:r>
    </w:p>
    <w:p w14:paraId="6B090AD8" w14:textId="772CB123" w:rsidR="00A06E9F" w:rsidRDefault="00A06E9F" w:rsidP="009C7599">
      <w:pPr>
        <w:pStyle w:val="Style1"/>
      </w:pPr>
      <w:r w:rsidRPr="0040047E">
        <w:t xml:space="preserve">This contribution </w:t>
      </w:r>
      <w:r>
        <w:rPr>
          <w:rFonts w:hint="eastAsia"/>
        </w:rPr>
        <w:t xml:space="preserve">discusses </w:t>
      </w:r>
      <w:r w:rsidR="005300A2">
        <w:t xml:space="preserve">the </w:t>
      </w:r>
      <w:r w:rsidR="00D55626">
        <w:t xml:space="preserve">multiplexing schemes for </w:t>
      </w:r>
      <w:r w:rsidR="00DD7CD0">
        <w:rPr>
          <w:lang w:val="en-US" w:eastAsia="zh-CN"/>
        </w:rPr>
        <w:t>NR-</w:t>
      </w:r>
      <w:r w:rsidR="00D55626">
        <w:t>PSS/</w:t>
      </w:r>
      <w:r w:rsidR="00DD7CD0" w:rsidRPr="00DD7CD0">
        <w:rPr>
          <w:lang w:val="en-US" w:eastAsia="zh-CN"/>
        </w:rPr>
        <w:t xml:space="preserve"> </w:t>
      </w:r>
      <w:r w:rsidR="00DD7CD0">
        <w:rPr>
          <w:lang w:val="en-US" w:eastAsia="zh-CN"/>
        </w:rPr>
        <w:t>NR-</w:t>
      </w:r>
      <w:r w:rsidR="00D55626">
        <w:t>SSS/</w:t>
      </w:r>
      <w:r w:rsidR="00DD7CD0" w:rsidRPr="00DD7CD0">
        <w:rPr>
          <w:lang w:val="en-US" w:eastAsia="zh-CN"/>
        </w:rPr>
        <w:t xml:space="preserve"> </w:t>
      </w:r>
      <w:r w:rsidR="00DD7CD0">
        <w:rPr>
          <w:lang w:val="en-US" w:eastAsia="zh-CN"/>
        </w:rPr>
        <w:t>NR-</w:t>
      </w:r>
      <w:r w:rsidR="00D55626">
        <w:t>PBCH</w:t>
      </w:r>
      <w:r>
        <w:t>. I</w:t>
      </w:r>
      <w:r w:rsidR="00D55626">
        <w:t xml:space="preserve">n particular, the following </w:t>
      </w:r>
      <w:r w:rsidR="00280A66">
        <w:t xml:space="preserve">is </w:t>
      </w:r>
      <w:r>
        <w:t>proposed:</w:t>
      </w:r>
    </w:p>
    <w:p w14:paraId="547F5567" w14:textId="77777777" w:rsidR="00332203" w:rsidRPr="00C520E1" w:rsidRDefault="00332203" w:rsidP="00332203">
      <w:pPr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Observation 1: FDM of the sync signals (NR-PSS/NR-SSS/NR-PBCH) with smaller subcarrier spacing provides better</w:t>
      </w:r>
      <w:r w:rsidRPr="00C520E1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CFO estimation than TDM of the sync signals with larger subcarrier spacing. </w:t>
      </w:r>
      <w:r w:rsidRPr="00C520E1">
        <w:rPr>
          <w:b/>
          <w:i/>
          <w:sz w:val="22"/>
          <w:szCs w:val="22"/>
        </w:rPr>
        <w:t xml:space="preserve"> </w:t>
      </w:r>
    </w:p>
    <w:p w14:paraId="49679C67" w14:textId="3BAEB1F6" w:rsidR="002339AB" w:rsidRDefault="002339AB" w:rsidP="009C7599">
      <w:pPr>
        <w:jc w:val="both"/>
        <w:rPr>
          <w:b/>
          <w:i/>
          <w:sz w:val="22"/>
          <w:szCs w:val="22"/>
        </w:rPr>
      </w:pPr>
      <w:r w:rsidRPr="00A00926">
        <w:rPr>
          <w:b/>
          <w:i/>
          <w:sz w:val="22"/>
          <w:szCs w:val="22"/>
        </w:rPr>
        <w:t xml:space="preserve">Proposal </w:t>
      </w:r>
      <w:r>
        <w:rPr>
          <w:b/>
          <w:i/>
          <w:sz w:val="22"/>
          <w:szCs w:val="22"/>
        </w:rPr>
        <w:t>1</w:t>
      </w:r>
      <w:r w:rsidRPr="00A00926">
        <w:rPr>
          <w:b/>
          <w:i/>
          <w:sz w:val="22"/>
          <w:szCs w:val="22"/>
        </w:rPr>
        <w:t xml:space="preserve">: </w:t>
      </w:r>
      <w:r>
        <w:rPr>
          <w:b/>
          <w:i/>
          <w:sz w:val="22"/>
          <w:szCs w:val="22"/>
        </w:rPr>
        <w:t xml:space="preserve">NR </w:t>
      </w:r>
      <w:r w:rsidRPr="007114C2">
        <w:rPr>
          <w:b/>
          <w:i/>
          <w:sz w:val="22"/>
          <w:szCs w:val="22"/>
        </w:rPr>
        <w:t xml:space="preserve">supports FDM to multiplex </w:t>
      </w:r>
      <w:r w:rsidR="00DD7CD0" w:rsidRPr="007114C2">
        <w:rPr>
          <w:rFonts w:cs="Batang"/>
          <w:b/>
          <w:i/>
          <w:sz w:val="22"/>
          <w:lang w:val="en-US" w:eastAsia="zh-CN"/>
        </w:rPr>
        <w:t>NR-</w:t>
      </w:r>
      <w:r w:rsidRPr="007114C2">
        <w:rPr>
          <w:b/>
          <w:i/>
          <w:sz w:val="22"/>
          <w:szCs w:val="22"/>
        </w:rPr>
        <w:t xml:space="preserve">PSS, </w:t>
      </w:r>
      <w:r w:rsidR="00DD7CD0" w:rsidRPr="007114C2">
        <w:rPr>
          <w:rFonts w:cs="Batang"/>
          <w:b/>
          <w:i/>
          <w:sz w:val="22"/>
          <w:lang w:val="en-US" w:eastAsia="zh-CN"/>
        </w:rPr>
        <w:t>NR-</w:t>
      </w:r>
      <w:r w:rsidRPr="007114C2">
        <w:rPr>
          <w:b/>
          <w:i/>
          <w:sz w:val="22"/>
          <w:szCs w:val="22"/>
        </w:rPr>
        <w:t xml:space="preserve">SSS and </w:t>
      </w:r>
      <w:r w:rsidR="00DD7CD0" w:rsidRPr="007114C2">
        <w:rPr>
          <w:rFonts w:cs="Batang"/>
          <w:b/>
          <w:i/>
          <w:sz w:val="22"/>
          <w:lang w:val="en-US" w:eastAsia="zh-CN"/>
        </w:rPr>
        <w:t>NR-</w:t>
      </w:r>
      <w:r w:rsidRPr="007114C2">
        <w:rPr>
          <w:b/>
          <w:i/>
          <w:sz w:val="22"/>
          <w:szCs w:val="22"/>
        </w:rPr>
        <w:t>PBCH in</w:t>
      </w:r>
      <w:r>
        <w:rPr>
          <w:b/>
          <w:i/>
          <w:sz w:val="22"/>
          <w:szCs w:val="22"/>
        </w:rPr>
        <w:t xml:space="preserve"> high frequency band (e.g., &gt; 6GHz).</w:t>
      </w:r>
    </w:p>
    <w:p w14:paraId="0FE48EA9" w14:textId="77777777" w:rsidR="00FF613C" w:rsidRPr="003738AD" w:rsidRDefault="00FF613C" w:rsidP="009C7599">
      <w:pPr>
        <w:jc w:val="both"/>
        <w:rPr>
          <w:b/>
          <w:i/>
          <w:sz w:val="22"/>
          <w:szCs w:val="22"/>
        </w:rPr>
      </w:pPr>
    </w:p>
    <w:p w14:paraId="1F73BC62" w14:textId="77777777" w:rsidR="000F762B" w:rsidRPr="00D04E23" w:rsidRDefault="000F762B" w:rsidP="009C7599">
      <w:pPr>
        <w:pStyle w:val="Heading1"/>
        <w:tabs>
          <w:tab w:val="num" w:pos="0"/>
        </w:tabs>
        <w:ind w:left="799" w:hanging="799"/>
        <w:jc w:val="both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3CB82CC4" w14:textId="3893B3CE" w:rsidR="00D5048D" w:rsidRPr="00D5048D" w:rsidRDefault="00D5048D" w:rsidP="00D5048D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R1-1610987</w:t>
      </w:r>
      <w:r w:rsidRPr="001B5D33">
        <w:rPr>
          <w:rFonts w:eastAsia="MS Mincho"/>
          <w:lang w:eastAsia="ja-JP"/>
        </w:rPr>
        <w:t>, “</w:t>
      </w:r>
      <w:r>
        <w:rPr>
          <w:rFonts w:eastAsia="MS Mincho"/>
          <w:lang w:eastAsia="ja-JP"/>
        </w:rPr>
        <w:t>WF on Updated Link Level Evaluation Assumptions for Initial Access in NR</w:t>
      </w:r>
      <w:r w:rsidRPr="001B5D33">
        <w:rPr>
          <w:rFonts w:eastAsia="MS Mincho"/>
          <w:lang w:eastAsia="ja-JP"/>
        </w:rPr>
        <w:t xml:space="preserve">”, </w:t>
      </w:r>
      <w:r>
        <w:rPr>
          <w:lang w:eastAsia="ja-JP"/>
        </w:rPr>
        <w:t>Qualcomm</w:t>
      </w:r>
      <w:r>
        <w:rPr>
          <w:rFonts w:eastAsia="MS Mincho"/>
          <w:lang w:eastAsia="ja-JP"/>
        </w:rPr>
        <w:t xml:space="preserve">, NTT DoCoMo, Samsung, Intel. </w:t>
      </w:r>
      <w:bookmarkStart w:id="5" w:name="_GoBack"/>
      <w:bookmarkEnd w:id="5"/>
    </w:p>
    <w:p w14:paraId="3FA41793" w14:textId="7D303041" w:rsidR="00D268B7" w:rsidRPr="00D268B7" w:rsidRDefault="00D268B7" w:rsidP="00D268B7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1B5D33">
        <w:rPr>
          <w:rFonts w:eastAsia="MS Mincho"/>
          <w:lang w:eastAsia="ja-JP"/>
        </w:rPr>
        <w:t>RAN1 Chairman’s Note, 3GPP TSG RAN WG1 Meeting #86</w:t>
      </w:r>
      <w:r>
        <w:rPr>
          <w:rFonts w:eastAsia="MS Mincho"/>
          <w:lang w:eastAsia="ja-JP"/>
        </w:rPr>
        <w:t>bis, October</w:t>
      </w:r>
      <w:r w:rsidRPr="001B5D33">
        <w:rPr>
          <w:rFonts w:eastAsia="MS Mincho"/>
          <w:lang w:eastAsia="ja-JP"/>
        </w:rPr>
        <w:t xml:space="preserve"> 2016.</w:t>
      </w:r>
    </w:p>
    <w:p w14:paraId="39FA07BA" w14:textId="0BA43113" w:rsidR="00626338" w:rsidRPr="00626338" w:rsidRDefault="00626338" w:rsidP="009C7599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626338">
        <w:rPr>
          <w:rFonts w:eastAsia="MS Mincho"/>
          <w:lang w:eastAsia="ja-JP"/>
        </w:rPr>
        <w:t>R1-1610159, “</w:t>
      </w:r>
      <w:r w:rsidR="00AD7BB4">
        <w:rPr>
          <w:rFonts w:eastAsia="MS Mincho"/>
          <w:lang w:eastAsia="ja-JP"/>
        </w:rPr>
        <w:t>Multi-beam SYNC design</w:t>
      </w:r>
      <w:r w:rsidRPr="00626338">
        <w:rPr>
          <w:rFonts w:eastAsia="MS Mincho"/>
          <w:lang w:eastAsia="ja-JP"/>
        </w:rPr>
        <w:t>”</w:t>
      </w:r>
      <w:r w:rsidR="00821C60">
        <w:rPr>
          <w:rFonts w:eastAsia="MS Mincho"/>
          <w:lang w:eastAsia="ja-JP"/>
        </w:rPr>
        <w:t>, Qualcomm</w:t>
      </w:r>
    </w:p>
    <w:p w14:paraId="32D8BA5A" w14:textId="2BABDF31" w:rsidR="00626338" w:rsidRDefault="00626338" w:rsidP="009C7599">
      <w:pPr>
        <w:pStyle w:val="ListParagraph"/>
        <w:numPr>
          <w:ilvl w:val="0"/>
          <w:numId w:val="9"/>
        </w:numPr>
        <w:spacing w:after="0" w:line="360" w:lineRule="auto"/>
        <w:ind w:leftChars="0"/>
        <w:jc w:val="both"/>
        <w:rPr>
          <w:rFonts w:eastAsia="MS Mincho"/>
          <w:lang w:eastAsia="ja-JP"/>
        </w:rPr>
      </w:pPr>
      <w:r w:rsidRPr="00626338">
        <w:rPr>
          <w:rFonts w:eastAsia="MS Mincho"/>
          <w:lang w:eastAsia="ja-JP"/>
        </w:rPr>
        <w:t>R1-1610161, “</w:t>
      </w:r>
      <w:r w:rsidR="00AD7BB4">
        <w:rPr>
          <w:rFonts w:eastAsia="MS Mincho"/>
          <w:lang w:eastAsia="ja-JP"/>
        </w:rPr>
        <w:t>Multi-beam SYNC evaluation</w:t>
      </w:r>
      <w:r w:rsidRPr="00626338">
        <w:rPr>
          <w:rFonts w:eastAsia="MS Mincho"/>
          <w:lang w:eastAsia="ja-JP"/>
        </w:rPr>
        <w:t>”</w:t>
      </w:r>
      <w:r w:rsidR="00821C60">
        <w:rPr>
          <w:rFonts w:eastAsia="MS Mincho"/>
          <w:lang w:eastAsia="ja-JP"/>
        </w:rPr>
        <w:t>, Qualcomm</w:t>
      </w:r>
    </w:p>
    <w:p w14:paraId="1A90E001" w14:textId="4A5BDDF1" w:rsidR="00AC414E" w:rsidRPr="00AD6148" w:rsidRDefault="00AC414E" w:rsidP="009C7599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sectPr w:rsidR="00AC414E" w:rsidRPr="00AD6148" w:rsidSect="00FF4D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A9DF79" w14:textId="77777777" w:rsidR="00D2403B" w:rsidRDefault="00D2403B">
      <w:r>
        <w:separator/>
      </w:r>
    </w:p>
  </w:endnote>
  <w:endnote w:type="continuationSeparator" w:id="0">
    <w:p w14:paraId="67F9DD91" w14:textId="77777777" w:rsidR="00D2403B" w:rsidRDefault="00D240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9190F9" w14:textId="77777777" w:rsidR="00D2403B" w:rsidRDefault="00D2403B">
      <w:r>
        <w:separator/>
      </w:r>
    </w:p>
  </w:footnote>
  <w:footnote w:type="continuationSeparator" w:id="0">
    <w:p w14:paraId="054A313E" w14:textId="77777777" w:rsidR="00D2403B" w:rsidRDefault="00D240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 w15:restartNumberingAfterBreak="0">
    <w:nsid w:val="10BB7F20"/>
    <w:multiLevelType w:val="hybridMultilevel"/>
    <w:tmpl w:val="996083E2"/>
    <w:lvl w:ilvl="0" w:tplc="04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1D32244"/>
    <w:multiLevelType w:val="hybridMultilevel"/>
    <w:tmpl w:val="99C6D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AA201D"/>
    <w:multiLevelType w:val="hybridMultilevel"/>
    <w:tmpl w:val="385C7ABA"/>
    <w:lvl w:ilvl="0" w:tplc="F454F4A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B83F15"/>
    <w:multiLevelType w:val="hybridMultilevel"/>
    <w:tmpl w:val="B78AD4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3" w15:restartNumberingAfterBreak="0">
    <w:nsid w:val="466B33D4"/>
    <w:multiLevelType w:val="hybridMultilevel"/>
    <w:tmpl w:val="01F43B5A"/>
    <w:lvl w:ilvl="0" w:tplc="55F293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9A0062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4E74C">
      <w:start w:val="8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740">
      <w:start w:val="86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F24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E0A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BA20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0AA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822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18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5DE508A"/>
    <w:multiLevelType w:val="hybridMultilevel"/>
    <w:tmpl w:val="E7121F44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6F1F29"/>
    <w:multiLevelType w:val="hybridMultilevel"/>
    <w:tmpl w:val="51B621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FB25B81"/>
    <w:multiLevelType w:val="hybridMultilevel"/>
    <w:tmpl w:val="51EE8F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EA5CF2"/>
    <w:multiLevelType w:val="hybridMultilevel"/>
    <w:tmpl w:val="CF487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24"/>
  </w:num>
  <w:num w:numId="5">
    <w:abstractNumId w:val="1"/>
  </w:num>
  <w:num w:numId="6">
    <w:abstractNumId w:val="17"/>
  </w:num>
  <w:num w:numId="7">
    <w:abstractNumId w:val="12"/>
  </w:num>
  <w:num w:numId="8">
    <w:abstractNumId w:val="20"/>
  </w:num>
  <w:num w:numId="9">
    <w:abstractNumId w:val="19"/>
  </w:num>
  <w:num w:numId="10">
    <w:abstractNumId w:val="5"/>
  </w:num>
  <w:num w:numId="11">
    <w:abstractNumId w:val="11"/>
  </w:num>
  <w:num w:numId="12">
    <w:abstractNumId w:val="18"/>
  </w:num>
  <w:num w:numId="13">
    <w:abstractNumId w:val="4"/>
  </w:num>
  <w:num w:numId="14">
    <w:abstractNumId w:val="0"/>
  </w:num>
  <w:num w:numId="15">
    <w:abstractNumId w:val="16"/>
  </w:num>
  <w:num w:numId="16">
    <w:abstractNumId w:val="14"/>
  </w:num>
  <w:num w:numId="17">
    <w:abstractNumId w:val="13"/>
  </w:num>
  <w:num w:numId="18">
    <w:abstractNumId w:val="21"/>
  </w:num>
  <w:num w:numId="19">
    <w:abstractNumId w:val="9"/>
  </w:num>
  <w:num w:numId="20">
    <w:abstractNumId w:val="22"/>
  </w:num>
  <w:num w:numId="21">
    <w:abstractNumId w:val="23"/>
  </w:num>
  <w:num w:numId="22">
    <w:abstractNumId w:val="7"/>
  </w:num>
  <w:num w:numId="23">
    <w:abstractNumId w:val="8"/>
  </w:num>
  <w:num w:numId="24">
    <w:abstractNumId w:val="10"/>
  </w:num>
  <w:num w:numId="2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1D2C"/>
    <w:rsid w:val="000020C0"/>
    <w:rsid w:val="00002A92"/>
    <w:rsid w:val="00002ACA"/>
    <w:rsid w:val="000033A8"/>
    <w:rsid w:val="00004076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78E4"/>
    <w:rsid w:val="00030EA8"/>
    <w:rsid w:val="00031F02"/>
    <w:rsid w:val="00032854"/>
    <w:rsid w:val="00033FF4"/>
    <w:rsid w:val="0003419B"/>
    <w:rsid w:val="000375ED"/>
    <w:rsid w:val="0004152C"/>
    <w:rsid w:val="00044361"/>
    <w:rsid w:val="00045082"/>
    <w:rsid w:val="00046AB8"/>
    <w:rsid w:val="00046EDE"/>
    <w:rsid w:val="0005019A"/>
    <w:rsid w:val="00050B52"/>
    <w:rsid w:val="00050F55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0FDE"/>
    <w:rsid w:val="0006267E"/>
    <w:rsid w:val="000627C6"/>
    <w:rsid w:val="00063AC6"/>
    <w:rsid w:val="00064F28"/>
    <w:rsid w:val="00065630"/>
    <w:rsid w:val="000708F1"/>
    <w:rsid w:val="0007119C"/>
    <w:rsid w:val="00072453"/>
    <w:rsid w:val="00073C42"/>
    <w:rsid w:val="00075052"/>
    <w:rsid w:val="000755B5"/>
    <w:rsid w:val="00076FF5"/>
    <w:rsid w:val="000775AB"/>
    <w:rsid w:val="000808A2"/>
    <w:rsid w:val="00082C19"/>
    <w:rsid w:val="00083457"/>
    <w:rsid w:val="00083DE3"/>
    <w:rsid w:val="000862ED"/>
    <w:rsid w:val="00086364"/>
    <w:rsid w:val="00086A31"/>
    <w:rsid w:val="00087EEE"/>
    <w:rsid w:val="00087F06"/>
    <w:rsid w:val="000902E8"/>
    <w:rsid w:val="000907B7"/>
    <w:rsid w:val="00090A57"/>
    <w:rsid w:val="00091C52"/>
    <w:rsid w:val="00091CE0"/>
    <w:rsid w:val="00092123"/>
    <w:rsid w:val="00093AA5"/>
    <w:rsid w:val="00094B22"/>
    <w:rsid w:val="0009739B"/>
    <w:rsid w:val="000A027F"/>
    <w:rsid w:val="000A1D31"/>
    <w:rsid w:val="000A26F4"/>
    <w:rsid w:val="000A527C"/>
    <w:rsid w:val="000A5315"/>
    <w:rsid w:val="000A591F"/>
    <w:rsid w:val="000A6336"/>
    <w:rsid w:val="000A6970"/>
    <w:rsid w:val="000A77A6"/>
    <w:rsid w:val="000B0B99"/>
    <w:rsid w:val="000B25B1"/>
    <w:rsid w:val="000B2B68"/>
    <w:rsid w:val="000B4FD7"/>
    <w:rsid w:val="000C074E"/>
    <w:rsid w:val="000C14C1"/>
    <w:rsid w:val="000C2DAC"/>
    <w:rsid w:val="000C3A4B"/>
    <w:rsid w:val="000C3C17"/>
    <w:rsid w:val="000C650F"/>
    <w:rsid w:val="000D00DD"/>
    <w:rsid w:val="000D1026"/>
    <w:rsid w:val="000D19F4"/>
    <w:rsid w:val="000D25AC"/>
    <w:rsid w:val="000D2EB0"/>
    <w:rsid w:val="000D3192"/>
    <w:rsid w:val="000D3705"/>
    <w:rsid w:val="000D4806"/>
    <w:rsid w:val="000D5200"/>
    <w:rsid w:val="000D758A"/>
    <w:rsid w:val="000D77B5"/>
    <w:rsid w:val="000D7EA8"/>
    <w:rsid w:val="000E13E9"/>
    <w:rsid w:val="000E1B85"/>
    <w:rsid w:val="000E1BD4"/>
    <w:rsid w:val="000E2201"/>
    <w:rsid w:val="000E48A4"/>
    <w:rsid w:val="000E512F"/>
    <w:rsid w:val="000E7166"/>
    <w:rsid w:val="000F0D83"/>
    <w:rsid w:val="000F2916"/>
    <w:rsid w:val="000F3287"/>
    <w:rsid w:val="000F3AB3"/>
    <w:rsid w:val="000F433B"/>
    <w:rsid w:val="000F46C5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579FD"/>
    <w:rsid w:val="00160D3C"/>
    <w:rsid w:val="00162392"/>
    <w:rsid w:val="001639BD"/>
    <w:rsid w:val="00163ECE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6B67"/>
    <w:rsid w:val="001801D3"/>
    <w:rsid w:val="00180AD4"/>
    <w:rsid w:val="00181899"/>
    <w:rsid w:val="00182E06"/>
    <w:rsid w:val="00184848"/>
    <w:rsid w:val="001850D6"/>
    <w:rsid w:val="001911AC"/>
    <w:rsid w:val="0019161B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B010D"/>
    <w:rsid w:val="001B1FAD"/>
    <w:rsid w:val="001B3FD4"/>
    <w:rsid w:val="001B4387"/>
    <w:rsid w:val="001B5D33"/>
    <w:rsid w:val="001B620C"/>
    <w:rsid w:val="001B6CE6"/>
    <w:rsid w:val="001B7B86"/>
    <w:rsid w:val="001C06AA"/>
    <w:rsid w:val="001C1681"/>
    <w:rsid w:val="001C3694"/>
    <w:rsid w:val="001C46E4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4091"/>
    <w:rsid w:val="001D4F6C"/>
    <w:rsid w:val="001D524E"/>
    <w:rsid w:val="001D61B8"/>
    <w:rsid w:val="001E01A3"/>
    <w:rsid w:val="001E04F0"/>
    <w:rsid w:val="001E083E"/>
    <w:rsid w:val="001E2551"/>
    <w:rsid w:val="001E3927"/>
    <w:rsid w:val="001E52BF"/>
    <w:rsid w:val="001E5959"/>
    <w:rsid w:val="001E6796"/>
    <w:rsid w:val="001F1669"/>
    <w:rsid w:val="001F2638"/>
    <w:rsid w:val="001F3815"/>
    <w:rsid w:val="001F3BD8"/>
    <w:rsid w:val="001F4519"/>
    <w:rsid w:val="001F5199"/>
    <w:rsid w:val="001F6F91"/>
    <w:rsid w:val="001F7B02"/>
    <w:rsid w:val="001F7C2B"/>
    <w:rsid w:val="00201037"/>
    <w:rsid w:val="00202049"/>
    <w:rsid w:val="00202279"/>
    <w:rsid w:val="00202BE0"/>
    <w:rsid w:val="002044FD"/>
    <w:rsid w:val="00205DF1"/>
    <w:rsid w:val="0021177B"/>
    <w:rsid w:val="0021354A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4FF0"/>
    <w:rsid w:val="00225263"/>
    <w:rsid w:val="00225F6B"/>
    <w:rsid w:val="00227E85"/>
    <w:rsid w:val="002302CD"/>
    <w:rsid w:val="00233868"/>
    <w:rsid w:val="002339AB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4EF2"/>
    <w:rsid w:val="00245C3D"/>
    <w:rsid w:val="002469F1"/>
    <w:rsid w:val="0024758D"/>
    <w:rsid w:val="00251DAC"/>
    <w:rsid w:val="0025287D"/>
    <w:rsid w:val="0025697E"/>
    <w:rsid w:val="00257528"/>
    <w:rsid w:val="002576FF"/>
    <w:rsid w:val="00257F7E"/>
    <w:rsid w:val="00261808"/>
    <w:rsid w:val="002624DF"/>
    <w:rsid w:val="00262587"/>
    <w:rsid w:val="002638DC"/>
    <w:rsid w:val="0026470F"/>
    <w:rsid w:val="00264DBB"/>
    <w:rsid w:val="00266890"/>
    <w:rsid w:val="00266901"/>
    <w:rsid w:val="00266A3B"/>
    <w:rsid w:val="0026726C"/>
    <w:rsid w:val="002679C3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66"/>
    <w:rsid w:val="00280A79"/>
    <w:rsid w:val="00280D04"/>
    <w:rsid w:val="00280DEA"/>
    <w:rsid w:val="002823A4"/>
    <w:rsid w:val="00282DB7"/>
    <w:rsid w:val="00283135"/>
    <w:rsid w:val="002831F2"/>
    <w:rsid w:val="00284524"/>
    <w:rsid w:val="00284E07"/>
    <w:rsid w:val="002852BE"/>
    <w:rsid w:val="00286CC1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724"/>
    <w:rsid w:val="002958FD"/>
    <w:rsid w:val="00295B0A"/>
    <w:rsid w:val="00296433"/>
    <w:rsid w:val="00296E64"/>
    <w:rsid w:val="002A0D1E"/>
    <w:rsid w:val="002A1E47"/>
    <w:rsid w:val="002A3A3D"/>
    <w:rsid w:val="002A4DC5"/>
    <w:rsid w:val="002A5A76"/>
    <w:rsid w:val="002A74C0"/>
    <w:rsid w:val="002A74D6"/>
    <w:rsid w:val="002A7C33"/>
    <w:rsid w:val="002B3922"/>
    <w:rsid w:val="002B3B3B"/>
    <w:rsid w:val="002B4C6E"/>
    <w:rsid w:val="002B52C6"/>
    <w:rsid w:val="002B57DB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11B9"/>
    <w:rsid w:val="002E2CB4"/>
    <w:rsid w:val="002E2D8F"/>
    <w:rsid w:val="002E315D"/>
    <w:rsid w:val="002E333E"/>
    <w:rsid w:val="002E5EC2"/>
    <w:rsid w:val="002E60AB"/>
    <w:rsid w:val="002F00C5"/>
    <w:rsid w:val="002F28D8"/>
    <w:rsid w:val="002F47AD"/>
    <w:rsid w:val="002F5790"/>
    <w:rsid w:val="002F6FEC"/>
    <w:rsid w:val="003006CA"/>
    <w:rsid w:val="0030336D"/>
    <w:rsid w:val="00303FBB"/>
    <w:rsid w:val="00305018"/>
    <w:rsid w:val="003052A7"/>
    <w:rsid w:val="00305D56"/>
    <w:rsid w:val="003065FD"/>
    <w:rsid w:val="0031062D"/>
    <w:rsid w:val="00310B3E"/>
    <w:rsid w:val="003114E5"/>
    <w:rsid w:val="00313945"/>
    <w:rsid w:val="00313DC6"/>
    <w:rsid w:val="00314E63"/>
    <w:rsid w:val="003155DC"/>
    <w:rsid w:val="00316644"/>
    <w:rsid w:val="003167AF"/>
    <w:rsid w:val="00316AD7"/>
    <w:rsid w:val="00316B82"/>
    <w:rsid w:val="00317BEA"/>
    <w:rsid w:val="00317FB1"/>
    <w:rsid w:val="0032098B"/>
    <w:rsid w:val="003214AE"/>
    <w:rsid w:val="003217E5"/>
    <w:rsid w:val="00323455"/>
    <w:rsid w:val="003237AF"/>
    <w:rsid w:val="00324A38"/>
    <w:rsid w:val="00324A53"/>
    <w:rsid w:val="00324DCD"/>
    <w:rsid w:val="003250F2"/>
    <w:rsid w:val="003264AA"/>
    <w:rsid w:val="0032775A"/>
    <w:rsid w:val="00327B9E"/>
    <w:rsid w:val="0033129D"/>
    <w:rsid w:val="00332203"/>
    <w:rsid w:val="003324E2"/>
    <w:rsid w:val="003341BA"/>
    <w:rsid w:val="0033527C"/>
    <w:rsid w:val="0033544D"/>
    <w:rsid w:val="0033631A"/>
    <w:rsid w:val="00336575"/>
    <w:rsid w:val="00337211"/>
    <w:rsid w:val="00337623"/>
    <w:rsid w:val="0034011D"/>
    <w:rsid w:val="0034123E"/>
    <w:rsid w:val="0034437D"/>
    <w:rsid w:val="00345DEA"/>
    <w:rsid w:val="00346F54"/>
    <w:rsid w:val="003476A1"/>
    <w:rsid w:val="003514CD"/>
    <w:rsid w:val="00353783"/>
    <w:rsid w:val="00354C75"/>
    <w:rsid w:val="003552C8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A48"/>
    <w:rsid w:val="00364A9A"/>
    <w:rsid w:val="00367444"/>
    <w:rsid w:val="00367548"/>
    <w:rsid w:val="00367C76"/>
    <w:rsid w:val="00367F5B"/>
    <w:rsid w:val="0037122E"/>
    <w:rsid w:val="0037239C"/>
    <w:rsid w:val="003738AD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7B1"/>
    <w:rsid w:val="00394CB0"/>
    <w:rsid w:val="0039593B"/>
    <w:rsid w:val="00395E02"/>
    <w:rsid w:val="00396217"/>
    <w:rsid w:val="003A048E"/>
    <w:rsid w:val="003A1BBA"/>
    <w:rsid w:val="003A3D18"/>
    <w:rsid w:val="003A4806"/>
    <w:rsid w:val="003A5945"/>
    <w:rsid w:val="003A69C3"/>
    <w:rsid w:val="003A730C"/>
    <w:rsid w:val="003B0AC6"/>
    <w:rsid w:val="003B33FB"/>
    <w:rsid w:val="003B3E1F"/>
    <w:rsid w:val="003B784F"/>
    <w:rsid w:val="003C0308"/>
    <w:rsid w:val="003C0353"/>
    <w:rsid w:val="003C13C6"/>
    <w:rsid w:val="003C1E94"/>
    <w:rsid w:val="003C2C32"/>
    <w:rsid w:val="003C2C5D"/>
    <w:rsid w:val="003C32F0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30F"/>
    <w:rsid w:val="003E633B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0B11"/>
    <w:rsid w:val="00401F93"/>
    <w:rsid w:val="0040329D"/>
    <w:rsid w:val="00404B4A"/>
    <w:rsid w:val="0040633D"/>
    <w:rsid w:val="004107E6"/>
    <w:rsid w:val="00411DE9"/>
    <w:rsid w:val="00420853"/>
    <w:rsid w:val="00421148"/>
    <w:rsid w:val="00421E04"/>
    <w:rsid w:val="004239D8"/>
    <w:rsid w:val="004240D5"/>
    <w:rsid w:val="00424A72"/>
    <w:rsid w:val="00424A97"/>
    <w:rsid w:val="00424D6E"/>
    <w:rsid w:val="004254DF"/>
    <w:rsid w:val="00427387"/>
    <w:rsid w:val="004300DC"/>
    <w:rsid w:val="00430452"/>
    <w:rsid w:val="00432D00"/>
    <w:rsid w:val="00433489"/>
    <w:rsid w:val="00433F23"/>
    <w:rsid w:val="004351C1"/>
    <w:rsid w:val="00436AEE"/>
    <w:rsid w:val="00437386"/>
    <w:rsid w:val="00440A3C"/>
    <w:rsid w:val="00440E60"/>
    <w:rsid w:val="00441151"/>
    <w:rsid w:val="00442C0D"/>
    <w:rsid w:val="004430A5"/>
    <w:rsid w:val="00443538"/>
    <w:rsid w:val="004471CE"/>
    <w:rsid w:val="00447B3B"/>
    <w:rsid w:val="00450C48"/>
    <w:rsid w:val="00452E54"/>
    <w:rsid w:val="004530DE"/>
    <w:rsid w:val="0045322C"/>
    <w:rsid w:val="00454D22"/>
    <w:rsid w:val="00455A5C"/>
    <w:rsid w:val="00455E7A"/>
    <w:rsid w:val="0045694D"/>
    <w:rsid w:val="00461C28"/>
    <w:rsid w:val="004624A3"/>
    <w:rsid w:val="0046666D"/>
    <w:rsid w:val="00467A29"/>
    <w:rsid w:val="00470BA6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7090"/>
    <w:rsid w:val="004923DF"/>
    <w:rsid w:val="0049325B"/>
    <w:rsid w:val="00493A37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7FF"/>
    <w:rsid w:val="004B38E1"/>
    <w:rsid w:val="004B3FBF"/>
    <w:rsid w:val="004B461B"/>
    <w:rsid w:val="004B4C96"/>
    <w:rsid w:val="004B68CF"/>
    <w:rsid w:val="004C1AC1"/>
    <w:rsid w:val="004C2115"/>
    <w:rsid w:val="004C3B1D"/>
    <w:rsid w:val="004C4315"/>
    <w:rsid w:val="004C48A5"/>
    <w:rsid w:val="004C5D06"/>
    <w:rsid w:val="004C657C"/>
    <w:rsid w:val="004C74B8"/>
    <w:rsid w:val="004D026D"/>
    <w:rsid w:val="004D0A0D"/>
    <w:rsid w:val="004D108A"/>
    <w:rsid w:val="004D159C"/>
    <w:rsid w:val="004D1EEB"/>
    <w:rsid w:val="004D2D1D"/>
    <w:rsid w:val="004D444E"/>
    <w:rsid w:val="004D4638"/>
    <w:rsid w:val="004D54C6"/>
    <w:rsid w:val="004D5B92"/>
    <w:rsid w:val="004D6791"/>
    <w:rsid w:val="004D67FB"/>
    <w:rsid w:val="004D686D"/>
    <w:rsid w:val="004D7291"/>
    <w:rsid w:val="004D7CAE"/>
    <w:rsid w:val="004D7CE2"/>
    <w:rsid w:val="004E03B4"/>
    <w:rsid w:val="004E5728"/>
    <w:rsid w:val="004E577A"/>
    <w:rsid w:val="004E6011"/>
    <w:rsid w:val="004F040F"/>
    <w:rsid w:val="004F04D1"/>
    <w:rsid w:val="004F120F"/>
    <w:rsid w:val="004F17BB"/>
    <w:rsid w:val="004F2EC9"/>
    <w:rsid w:val="004F6FF5"/>
    <w:rsid w:val="00501E42"/>
    <w:rsid w:val="00503979"/>
    <w:rsid w:val="00503993"/>
    <w:rsid w:val="00503F9D"/>
    <w:rsid w:val="00507091"/>
    <w:rsid w:val="005074C4"/>
    <w:rsid w:val="005079CC"/>
    <w:rsid w:val="005109A0"/>
    <w:rsid w:val="0051192C"/>
    <w:rsid w:val="0051414A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0A2"/>
    <w:rsid w:val="0053211B"/>
    <w:rsid w:val="00532323"/>
    <w:rsid w:val="005328EE"/>
    <w:rsid w:val="00533D37"/>
    <w:rsid w:val="00534DF6"/>
    <w:rsid w:val="00535E8C"/>
    <w:rsid w:val="00535EE7"/>
    <w:rsid w:val="00537F42"/>
    <w:rsid w:val="00540BAC"/>
    <w:rsid w:val="00541207"/>
    <w:rsid w:val="005434F9"/>
    <w:rsid w:val="0054367D"/>
    <w:rsid w:val="005436CD"/>
    <w:rsid w:val="00544D62"/>
    <w:rsid w:val="00550528"/>
    <w:rsid w:val="0055167A"/>
    <w:rsid w:val="00553AF5"/>
    <w:rsid w:val="00554F8A"/>
    <w:rsid w:val="00555F2F"/>
    <w:rsid w:val="00567B39"/>
    <w:rsid w:val="005729DA"/>
    <w:rsid w:val="005742D7"/>
    <w:rsid w:val="005744E6"/>
    <w:rsid w:val="00574BBA"/>
    <w:rsid w:val="00574D57"/>
    <w:rsid w:val="00574E7C"/>
    <w:rsid w:val="005750FD"/>
    <w:rsid w:val="00575276"/>
    <w:rsid w:val="00576688"/>
    <w:rsid w:val="00576ADB"/>
    <w:rsid w:val="00576F91"/>
    <w:rsid w:val="005808CD"/>
    <w:rsid w:val="00581B33"/>
    <w:rsid w:val="00581EBB"/>
    <w:rsid w:val="00581F09"/>
    <w:rsid w:val="00582473"/>
    <w:rsid w:val="005841DE"/>
    <w:rsid w:val="0058443F"/>
    <w:rsid w:val="0058463D"/>
    <w:rsid w:val="005849C2"/>
    <w:rsid w:val="00585D63"/>
    <w:rsid w:val="00586467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54EA"/>
    <w:rsid w:val="005A6545"/>
    <w:rsid w:val="005A73AC"/>
    <w:rsid w:val="005B2ADD"/>
    <w:rsid w:val="005B2AE8"/>
    <w:rsid w:val="005B334E"/>
    <w:rsid w:val="005B33D7"/>
    <w:rsid w:val="005B378D"/>
    <w:rsid w:val="005B3F28"/>
    <w:rsid w:val="005B5832"/>
    <w:rsid w:val="005B5915"/>
    <w:rsid w:val="005B5C71"/>
    <w:rsid w:val="005C105E"/>
    <w:rsid w:val="005C1174"/>
    <w:rsid w:val="005C1FE0"/>
    <w:rsid w:val="005C3014"/>
    <w:rsid w:val="005C38FB"/>
    <w:rsid w:val="005C6024"/>
    <w:rsid w:val="005C70AD"/>
    <w:rsid w:val="005C7D83"/>
    <w:rsid w:val="005D0C6E"/>
    <w:rsid w:val="005D0EB6"/>
    <w:rsid w:val="005D1475"/>
    <w:rsid w:val="005D2F66"/>
    <w:rsid w:val="005D3C4F"/>
    <w:rsid w:val="005D46FD"/>
    <w:rsid w:val="005D545E"/>
    <w:rsid w:val="005D547F"/>
    <w:rsid w:val="005D7473"/>
    <w:rsid w:val="005D7BC7"/>
    <w:rsid w:val="005E1EA5"/>
    <w:rsid w:val="005E2034"/>
    <w:rsid w:val="005E52D7"/>
    <w:rsid w:val="005E53DC"/>
    <w:rsid w:val="005E586F"/>
    <w:rsid w:val="005E58B6"/>
    <w:rsid w:val="005F1FBE"/>
    <w:rsid w:val="005F39AE"/>
    <w:rsid w:val="005F4E6B"/>
    <w:rsid w:val="005F514C"/>
    <w:rsid w:val="005F5BAD"/>
    <w:rsid w:val="005F7771"/>
    <w:rsid w:val="005F7EE3"/>
    <w:rsid w:val="00600C24"/>
    <w:rsid w:val="00600CDE"/>
    <w:rsid w:val="0060297E"/>
    <w:rsid w:val="00603253"/>
    <w:rsid w:val="00604978"/>
    <w:rsid w:val="00605580"/>
    <w:rsid w:val="00605798"/>
    <w:rsid w:val="00605A3C"/>
    <w:rsid w:val="00607327"/>
    <w:rsid w:val="006078B5"/>
    <w:rsid w:val="006103C8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038"/>
    <w:rsid w:val="006255CB"/>
    <w:rsid w:val="00626338"/>
    <w:rsid w:val="00627509"/>
    <w:rsid w:val="00630E9A"/>
    <w:rsid w:val="006314F9"/>
    <w:rsid w:val="00631C9C"/>
    <w:rsid w:val="0063477E"/>
    <w:rsid w:val="00640F56"/>
    <w:rsid w:val="006410C5"/>
    <w:rsid w:val="00642A83"/>
    <w:rsid w:val="00643083"/>
    <w:rsid w:val="006458B7"/>
    <w:rsid w:val="00645E63"/>
    <w:rsid w:val="00647880"/>
    <w:rsid w:val="0065003C"/>
    <w:rsid w:val="00650595"/>
    <w:rsid w:val="006515BC"/>
    <w:rsid w:val="00651A61"/>
    <w:rsid w:val="00653A11"/>
    <w:rsid w:val="00657F0C"/>
    <w:rsid w:val="006608B5"/>
    <w:rsid w:val="00660D6C"/>
    <w:rsid w:val="00660ECE"/>
    <w:rsid w:val="006610EE"/>
    <w:rsid w:val="00662FB7"/>
    <w:rsid w:val="006634B8"/>
    <w:rsid w:val="006645DA"/>
    <w:rsid w:val="006663DD"/>
    <w:rsid w:val="006666D6"/>
    <w:rsid w:val="006676C8"/>
    <w:rsid w:val="006678AE"/>
    <w:rsid w:val="00670F1B"/>
    <w:rsid w:val="006710BE"/>
    <w:rsid w:val="0067365E"/>
    <w:rsid w:val="00673BBE"/>
    <w:rsid w:val="00675513"/>
    <w:rsid w:val="00675DBE"/>
    <w:rsid w:val="00680617"/>
    <w:rsid w:val="00680FE3"/>
    <w:rsid w:val="006811C4"/>
    <w:rsid w:val="0068173F"/>
    <w:rsid w:val="006826A1"/>
    <w:rsid w:val="006826B6"/>
    <w:rsid w:val="00683595"/>
    <w:rsid w:val="00684B10"/>
    <w:rsid w:val="00690293"/>
    <w:rsid w:val="00690437"/>
    <w:rsid w:val="006918CE"/>
    <w:rsid w:val="00691E94"/>
    <w:rsid w:val="0069233F"/>
    <w:rsid w:val="00694BC6"/>
    <w:rsid w:val="00696206"/>
    <w:rsid w:val="00696E55"/>
    <w:rsid w:val="00697A04"/>
    <w:rsid w:val="006A0925"/>
    <w:rsid w:val="006A1B67"/>
    <w:rsid w:val="006A25EB"/>
    <w:rsid w:val="006A2D38"/>
    <w:rsid w:val="006A6FAD"/>
    <w:rsid w:val="006B1826"/>
    <w:rsid w:val="006B2332"/>
    <w:rsid w:val="006B347E"/>
    <w:rsid w:val="006B3EB4"/>
    <w:rsid w:val="006B4275"/>
    <w:rsid w:val="006B43E1"/>
    <w:rsid w:val="006B5A69"/>
    <w:rsid w:val="006B6EFB"/>
    <w:rsid w:val="006B7556"/>
    <w:rsid w:val="006C0965"/>
    <w:rsid w:val="006C292A"/>
    <w:rsid w:val="006C2CEB"/>
    <w:rsid w:val="006C4640"/>
    <w:rsid w:val="006C67C2"/>
    <w:rsid w:val="006D0769"/>
    <w:rsid w:val="006D10AC"/>
    <w:rsid w:val="006D17F0"/>
    <w:rsid w:val="006D206D"/>
    <w:rsid w:val="006D2E11"/>
    <w:rsid w:val="006D2ED0"/>
    <w:rsid w:val="006D30CB"/>
    <w:rsid w:val="006D395E"/>
    <w:rsid w:val="006D3D85"/>
    <w:rsid w:val="006D60A8"/>
    <w:rsid w:val="006D6D52"/>
    <w:rsid w:val="006D6F16"/>
    <w:rsid w:val="006D716D"/>
    <w:rsid w:val="006D75D9"/>
    <w:rsid w:val="006D7619"/>
    <w:rsid w:val="006E0232"/>
    <w:rsid w:val="006E02D0"/>
    <w:rsid w:val="006E1671"/>
    <w:rsid w:val="006E1EC6"/>
    <w:rsid w:val="006E5428"/>
    <w:rsid w:val="006E6697"/>
    <w:rsid w:val="006E6A76"/>
    <w:rsid w:val="006F199F"/>
    <w:rsid w:val="006F204A"/>
    <w:rsid w:val="006F4BD2"/>
    <w:rsid w:val="006F4D44"/>
    <w:rsid w:val="006F4D8E"/>
    <w:rsid w:val="006F6EF9"/>
    <w:rsid w:val="006F79E1"/>
    <w:rsid w:val="006F7BCF"/>
    <w:rsid w:val="0070274F"/>
    <w:rsid w:val="00703391"/>
    <w:rsid w:val="00705B9C"/>
    <w:rsid w:val="00706011"/>
    <w:rsid w:val="00707D33"/>
    <w:rsid w:val="007101AC"/>
    <w:rsid w:val="00710308"/>
    <w:rsid w:val="0071081E"/>
    <w:rsid w:val="007110E6"/>
    <w:rsid w:val="007114C2"/>
    <w:rsid w:val="00711976"/>
    <w:rsid w:val="00711F57"/>
    <w:rsid w:val="007130BE"/>
    <w:rsid w:val="00714030"/>
    <w:rsid w:val="007155D3"/>
    <w:rsid w:val="0071612B"/>
    <w:rsid w:val="007177ED"/>
    <w:rsid w:val="00720A64"/>
    <w:rsid w:val="0072161A"/>
    <w:rsid w:val="0072162A"/>
    <w:rsid w:val="0072166D"/>
    <w:rsid w:val="007217AF"/>
    <w:rsid w:val="00721B2F"/>
    <w:rsid w:val="007238F8"/>
    <w:rsid w:val="00725197"/>
    <w:rsid w:val="00725549"/>
    <w:rsid w:val="00731C8D"/>
    <w:rsid w:val="00732EEB"/>
    <w:rsid w:val="00735463"/>
    <w:rsid w:val="00736981"/>
    <w:rsid w:val="00737F4D"/>
    <w:rsid w:val="00741392"/>
    <w:rsid w:val="00741B82"/>
    <w:rsid w:val="007439BD"/>
    <w:rsid w:val="00746D48"/>
    <w:rsid w:val="0075077E"/>
    <w:rsid w:val="00750E72"/>
    <w:rsid w:val="00753A41"/>
    <w:rsid w:val="00755AD7"/>
    <w:rsid w:val="00756864"/>
    <w:rsid w:val="00760CE8"/>
    <w:rsid w:val="00761697"/>
    <w:rsid w:val="0076246E"/>
    <w:rsid w:val="007625EC"/>
    <w:rsid w:val="00764A0A"/>
    <w:rsid w:val="007658A6"/>
    <w:rsid w:val="00766BA8"/>
    <w:rsid w:val="00771A1E"/>
    <w:rsid w:val="00771F90"/>
    <w:rsid w:val="007736B2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AE1"/>
    <w:rsid w:val="00781967"/>
    <w:rsid w:val="00782F72"/>
    <w:rsid w:val="0078358F"/>
    <w:rsid w:val="007843C4"/>
    <w:rsid w:val="007858E7"/>
    <w:rsid w:val="00785D68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3593"/>
    <w:rsid w:val="007A3DB5"/>
    <w:rsid w:val="007B05DF"/>
    <w:rsid w:val="007B1E46"/>
    <w:rsid w:val="007B299C"/>
    <w:rsid w:val="007B2A97"/>
    <w:rsid w:val="007B3ED7"/>
    <w:rsid w:val="007B49B4"/>
    <w:rsid w:val="007B6146"/>
    <w:rsid w:val="007C1FEB"/>
    <w:rsid w:val="007C25EB"/>
    <w:rsid w:val="007C5842"/>
    <w:rsid w:val="007C6231"/>
    <w:rsid w:val="007C7CD0"/>
    <w:rsid w:val="007D3572"/>
    <w:rsid w:val="007D3B92"/>
    <w:rsid w:val="007D7A62"/>
    <w:rsid w:val="007E151A"/>
    <w:rsid w:val="007E1D9C"/>
    <w:rsid w:val="007E42C7"/>
    <w:rsid w:val="007E57D0"/>
    <w:rsid w:val="007E63F4"/>
    <w:rsid w:val="007E721D"/>
    <w:rsid w:val="007E7FB0"/>
    <w:rsid w:val="007F05CA"/>
    <w:rsid w:val="007F24B4"/>
    <w:rsid w:val="007F400E"/>
    <w:rsid w:val="007F5016"/>
    <w:rsid w:val="007F75CB"/>
    <w:rsid w:val="007F76E5"/>
    <w:rsid w:val="00800F24"/>
    <w:rsid w:val="00802A3E"/>
    <w:rsid w:val="00802B57"/>
    <w:rsid w:val="0080308A"/>
    <w:rsid w:val="00803C4D"/>
    <w:rsid w:val="00804239"/>
    <w:rsid w:val="0080482F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1C60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3EE5"/>
    <w:rsid w:val="00833F5E"/>
    <w:rsid w:val="00835CD4"/>
    <w:rsid w:val="0083669C"/>
    <w:rsid w:val="008371F9"/>
    <w:rsid w:val="00837E33"/>
    <w:rsid w:val="00840022"/>
    <w:rsid w:val="00840F37"/>
    <w:rsid w:val="00842316"/>
    <w:rsid w:val="0084354B"/>
    <w:rsid w:val="00843705"/>
    <w:rsid w:val="008446DE"/>
    <w:rsid w:val="00845257"/>
    <w:rsid w:val="0085153B"/>
    <w:rsid w:val="00852FCA"/>
    <w:rsid w:val="008550B6"/>
    <w:rsid w:val="00856AB7"/>
    <w:rsid w:val="00860184"/>
    <w:rsid w:val="00860ECC"/>
    <w:rsid w:val="00861ED9"/>
    <w:rsid w:val="00862513"/>
    <w:rsid w:val="0086401C"/>
    <w:rsid w:val="008640F9"/>
    <w:rsid w:val="00864E80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6B4D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2EAE"/>
    <w:rsid w:val="008835D0"/>
    <w:rsid w:val="00884784"/>
    <w:rsid w:val="00884FE0"/>
    <w:rsid w:val="008876A1"/>
    <w:rsid w:val="008903AE"/>
    <w:rsid w:val="00891393"/>
    <w:rsid w:val="00892EF8"/>
    <w:rsid w:val="00893197"/>
    <w:rsid w:val="008954CB"/>
    <w:rsid w:val="00895684"/>
    <w:rsid w:val="00895A0D"/>
    <w:rsid w:val="00895E5D"/>
    <w:rsid w:val="008A026C"/>
    <w:rsid w:val="008A3312"/>
    <w:rsid w:val="008A4260"/>
    <w:rsid w:val="008A4B3A"/>
    <w:rsid w:val="008A4D2F"/>
    <w:rsid w:val="008A4E83"/>
    <w:rsid w:val="008A60FF"/>
    <w:rsid w:val="008A6641"/>
    <w:rsid w:val="008A7736"/>
    <w:rsid w:val="008B0571"/>
    <w:rsid w:val="008B2121"/>
    <w:rsid w:val="008B2920"/>
    <w:rsid w:val="008B494B"/>
    <w:rsid w:val="008B6030"/>
    <w:rsid w:val="008B74BF"/>
    <w:rsid w:val="008B7A5C"/>
    <w:rsid w:val="008C3FDD"/>
    <w:rsid w:val="008C5D63"/>
    <w:rsid w:val="008C7A40"/>
    <w:rsid w:val="008D324A"/>
    <w:rsid w:val="008D5A50"/>
    <w:rsid w:val="008D5BAB"/>
    <w:rsid w:val="008D6BF0"/>
    <w:rsid w:val="008E0543"/>
    <w:rsid w:val="008E1091"/>
    <w:rsid w:val="008E158C"/>
    <w:rsid w:val="008E1CBB"/>
    <w:rsid w:val="008E1EB9"/>
    <w:rsid w:val="008E3305"/>
    <w:rsid w:val="008E43B1"/>
    <w:rsid w:val="008E686B"/>
    <w:rsid w:val="008F0A05"/>
    <w:rsid w:val="008F2491"/>
    <w:rsid w:val="008F2B67"/>
    <w:rsid w:val="008F2C09"/>
    <w:rsid w:val="008F301F"/>
    <w:rsid w:val="008F3F16"/>
    <w:rsid w:val="008F55A4"/>
    <w:rsid w:val="008F6AA2"/>
    <w:rsid w:val="008F6B64"/>
    <w:rsid w:val="008F7B5C"/>
    <w:rsid w:val="0090039D"/>
    <w:rsid w:val="00900885"/>
    <w:rsid w:val="00901A1C"/>
    <w:rsid w:val="00902F8A"/>
    <w:rsid w:val="009038A9"/>
    <w:rsid w:val="00904908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31E59"/>
    <w:rsid w:val="009322F2"/>
    <w:rsid w:val="0093328E"/>
    <w:rsid w:val="00933BB5"/>
    <w:rsid w:val="0093725F"/>
    <w:rsid w:val="00937E33"/>
    <w:rsid w:val="009446EA"/>
    <w:rsid w:val="00945740"/>
    <w:rsid w:val="00947445"/>
    <w:rsid w:val="009502CE"/>
    <w:rsid w:val="0095220B"/>
    <w:rsid w:val="00952316"/>
    <w:rsid w:val="00952B7C"/>
    <w:rsid w:val="00954215"/>
    <w:rsid w:val="00954A84"/>
    <w:rsid w:val="009564A8"/>
    <w:rsid w:val="009576CC"/>
    <w:rsid w:val="0096225A"/>
    <w:rsid w:val="00967D6D"/>
    <w:rsid w:val="00970B2B"/>
    <w:rsid w:val="0097261C"/>
    <w:rsid w:val="00972D70"/>
    <w:rsid w:val="00975CC7"/>
    <w:rsid w:val="00976BAF"/>
    <w:rsid w:val="00976F41"/>
    <w:rsid w:val="00977476"/>
    <w:rsid w:val="00977E64"/>
    <w:rsid w:val="00980278"/>
    <w:rsid w:val="00980425"/>
    <w:rsid w:val="0098068D"/>
    <w:rsid w:val="009824CA"/>
    <w:rsid w:val="009836D0"/>
    <w:rsid w:val="00983B4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A067C"/>
    <w:rsid w:val="009A20C6"/>
    <w:rsid w:val="009A2B5A"/>
    <w:rsid w:val="009A4121"/>
    <w:rsid w:val="009A546A"/>
    <w:rsid w:val="009B085A"/>
    <w:rsid w:val="009B245D"/>
    <w:rsid w:val="009B4001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C7599"/>
    <w:rsid w:val="009C7F5A"/>
    <w:rsid w:val="009D0202"/>
    <w:rsid w:val="009D0769"/>
    <w:rsid w:val="009D0F6C"/>
    <w:rsid w:val="009D1438"/>
    <w:rsid w:val="009D15E4"/>
    <w:rsid w:val="009D17C2"/>
    <w:rsid w:val="009D26AB"/>
    <w:rsid w:val="009D33FB"/>
    <w:rsid w:val="009D45C5"/>
    <w:rsid w:val="009E2872"/>
    <w:rsid w:val="009E4A14"/>
    <w:rsid w:val="009E4A21"/>
    <w:rsid w:val="009E7505"/>
    <w:rsid w:val="009F0D5B"/>
    <w:rsid w:val="009F0F9B"/>
    <w:rsid w:val="009F1A2B"/>
    <w:rsid w:val="009F307D"/>
    <w:rsid w:val="009F34AE"/>
    <w:rsid w:val="009F451D"/>
    <w:rsid w:val="009F5B4F"/>
    <w:rsid w:val="00A00926"/>
    <w:rsid w:val="00A02D0F"/>
    <w:rsid w:val="00A0683A"/>
    <w:rsid w:val="00A06E9F"/>
    <w:rsid w:val="00A0774C"/>
    <w:rsid w:val="00A109F3"/>
    <w:rsid w:val="00A11BF8"/>
    <w:rsid w:val="00A12A90"/>
    <w:rsid w:val="00A16523"/>
    <w:rsid w:val="00A17773"/>
    <w:rsid w:val="00A207CA"/>
    <w:rsid w:val="00A21216"/>
    <w:rsid w:val="00A232AC"/>
    <w:rsid w:val="00A24568"/>
    <w:rsid w:val="00A252F2"/>
    <w:rsid w:val="00A26BD0"/>
    <w:rsid w:val="00A2781F"/>
    <w:rsid w:val="00A30EB8"/>
    <w:rsid w:val="00A31043"/>
    <w:rsid w:val="00A31E66"/>
    <w:rsid w:val="00A328DA"/>
    <w:rsid w:val="00A33E4A"/>
    <w:rsid w:val="00A35E24"/>
    <w:rsid w:val="00A368E9"/>
    <w:rsid w:val="00A371FA"/>
    <w:rsid w:val="00A37A66"/>
    <w:rsid w:val="00A40AD6"/>
    <w:rsid w:val="00A41899"/>
    <w:rsid w:val="00A45321"/>
    <w:rsid w:val="00A4626E"/>
    <w:rsid w:val="00A4697B"/>
    <w:rsid w:val="00A471C4"/>
    <w:rsid w:val="00A47A1D"/>
    <w:rsid w:val="00A47A54"/>
    <w:rsid w:val="00A518EB"/>
    <w:rsid w:val="00A51FC5"/>
    <w:rsid w:val="00A5697C"/>
    <w:rsid w:val="00A60EBA"/>
    <w:rsid w:val="00A61895"/>
    <w:rsid w:val="00A6241F"/>
    <w:rsid w:val="00A62AD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514"/>
    <w:rsid w:val="00A74895"/>
    <w:rsid w:val="00A769DE"/>
    <w:rsid w:val="00A812D4"/>
    <w:rsid w:val="00A81B80"/>
    <w:rsid w:val="00A81B88"/>
    <w:rsid w:val="00A82675"/>
    <w:rsid w:val="00A83127"/>
    <w:rsid w:val="00A846F3"/>
    <w:rsid w:val="00A84E99"/>
    <w:rsid w:val="00A86177"/>
    <w:rsid w:val="00A90775"/>
    <w:rsid w:val="00A90920"/>
    <w:rsid w:val="00A927CA"/>
    <w:rsid w:val="00A930E9"/>
    <w:rsid w:val="00A9571F"/>
    <w:rsid w:val="00A96360"/>
    <w:rsid w:val="00A9778A"/>
    <w:rsid w:val="00A97967"/>
    <w:rsid w:val="00AA10C3"/>
    <w:rsid w:val="00AA24AD"/>
    <w:rsid w:val="00AA26F6"/>
    <w:rsid w:val="00AA431D"/>
    <w:rsid w:val="00AA5935"/>
    <w:rsid w:val="00AA6847"/>
    <w:rsid w:val="00AA6D19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7214"/>
    <w:rsid w:val="00AD058B"/>
    <w:rsid w:val="00AD0FDB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D7BB4"/>
    <w:rsid w:val="00AE0192"/>
    <w:rsid w:val="00AE18B3"/>
    <w:rsid w:val="00AE2D81"/>
    <w:rsid w:val="00AE37BC"/>
    <w:rsid w:val="00AE3C62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F04"/>
    <w:rsid w:val="00AF337A"/>
    <w:rsid w:val="00AF3E30"/>
    <w:rsid w:val="00AF54D8"/>
    <w:rsid w:val="00AF5631"/>
    <w:rsid w:val="00AF744F"/>
    <w:rsid w:val="00AF75BE"/>
    <w:rsid w:val="00AF78AE"/>
    <w:rsid w:val="00B009C4"/>
    <w:rsid w:val="00B00C96"/>
    <w:rsid w:val="00B01DB5"/>
    <w:rsid w:val="00B058D3"/>
    <w:rsid w:val="00B10758"/>
    <w:rsid w:val="00B10EBC"/>
    <w:rsid w:val="00B12C3B"/>
    <w:rsid w:val="00B12CB3"/>
    <w:rsid w:val="00B12EF7"/>
    <w:rsid w:val="00B14D91"/>
    <w:rsid w:val="00B17653"/>
    <w:rsid w:val="00B202C2"/>
    <w:rsid w:val="00B202F1"/>
    <w:rsid w:val="00B205A5"/>
    <w:rsid w:val="00B2075D"/>
    <w:rsid w:val="00B222FE"/>
    <w:rsid w:val="00B2265E"/>
    <w:rsid w:val="00B26342"/>
    <w:rsid w:val="00B2681C"/>
    <w:rsid w:val="00B325F5"/>
    <w:rsid w:val="00B32AAC"/>
    <w:rsid w:val="00B32D75"/>
    <w:rsid w:val="00B3361F"/>
    <w:rsid w:val="00B339CD"/>
    <w:rsid w:val="00B342AC"/>
    <w:rsid w:val="00B410F3"/>
    <w:rsid w:val="00B42710"/>
    <w:rsid w:val="00B4397A"/>
    <w:rsid w:val="00B51895"/>
    <w:rsid w:val="00B520FC"/>
    <w:rsid w:val="00B52B53"/>
    <w:rsid w:val="00B53B8E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5CE3"/>
    <w:rsid w:val="00B66CC5"/>
    <w:rsid w:val="00B70650"/>
    <w:rsid w:val="00B7077E"/>
    <w:rsid w:val="00B712A8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3E09"/>
    <w:rsid w:val="00B93EE0"/>
    <w:rsid w:val="00B96813"/>
    <w:rsid w:val="00B96BFE"/>
    <w:rsid w:val="00B97D14"/>
    <w:rsid w:val="00BA0940"/>
    <w:rsid w:val="00BA267A"/>
    <w:rsid w:val="00BA2FA9"/>
    <w:rsid w:val="00BA3A0E"/>
    <w:rsid w:val="00BA3D0B"/>
    <w:rsid w:val="00BA46FD"/>
    <w:rsid w:val="00BA5A0C"/>
    <w:rsid w:val="00BB0244"/>
    <w:rsid w:val="00BB308A"/>
    <w:rsid w:val="00BB3744"/>
    <w:rsid w:val="00BB3C1A"/>
    <w:rsid w:val="00BB3C57"/>
    <w:rsid w:val="00BB4764"/>
    <w:rsid w:val="00BB4775"/>
    <w:rsid w:val="00BB5293"/>
    <w:rsid w:val="00BB53C4"/>
    <w:rsid w:val="00BB69E5"/>
    <w:rsid w:val="00BB6A0E"/>
    <w:rsid w:val="00BB6B48"/>
    <w:rsid w:val="00BC0C41"/>
    <w:rsid w:val="00BC0DC6"/>
    <w:rsid w:val="00BC0E07"/>
    <w:rsid w:val="00BC33C4"/>
    <w:rsid w:val="00BC4A60"/>
    <w:rsid w:val="00BC5ECA"/>
    <w:rsid w:val="00BC65C9"/>
    <w:rsid w:val="00BC6B61"/>
    <w:rsid w:val="00BD123B"/>
    <w:rsid w:val="00BD215F"/>
    <w:rsid w:val="00BD2E41"/>
    <w:rsid w:val="00BD30BD"/>
    <w:rsid w:val="00BD33B2"/>
    <w:rsid w:val="00BD433E"/>
    <w:rsid w:val="00BD4462"/>
    <w:rsid w:val="00BD7BB4"/>
    <w:rsid w:val="00BD7DAB"/>
    <w:rsid w:val="00BE1A0A"/>
    <w:rsid w:val="00BE25BC"/>
    <w:rsid w:val="00BE3492"/>
    <w:rsid w:val="00BE3569"/>
    <w:rsid w:val="00BE389E"/>
    <w:rsid w:val="00BE398D"/>
    <w:rsid w:val="00BE3D38"/>
    <w:rsid w:val="00BE447E"/>
    <w:rsid w:val="00BE5030"/>
    <w:rsid w:val="00BE5AE5"/>
    <w:rsid w:val="00BE66B6"/>
    <w:rsid w:val="00BE77AD"/>
    <w:rsid w:val="00BE7E89"/>
    <w:rsid w:val="00BF0BE6"/>
    <w:rsid w:val="00BF216C"/>
    <w:rsid w:val="00BF26A0"/>
    <w:rsid w:val="00BF2C7B"/>
    <w:rsid w:val="00BF76D9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3585"/>
    <w:rsid w:val="00C13880"/>
    <w:rsid w:val="00C16203"/>
    <w:rsid w:val="00C17342"/>
    <w:rsid w:val="00C17CC2"/>
    <w:rsid w:val="00C20C78"/>
    <w:rsid w:val="00C215D0"/>
    <w:rsid w:val="00C232F1"/>
    <w:rsid w:val="00C23C48"/>
    <w:rsid w:val="00C2617F"/>
    <w:rsid w:val="00C27490"/>
    <w:rsid w:val="00C311DA"/>
    <w:rsid w:val="00C32284"/>
    <w:rsid w:val="00C328DB"/>
    <w:rsid w:val="00C32AC2"/>
    <w:rsid w:val="00C33BE7"/>
    <w:rsid w:val="00C34682"/>
    <w:rsid w:val="00C34AE5"/>
    <w:rsid w:val="00C34F72"/>
    <w:rsid w:val="00C359D2"/>
    <w:rsid w:val="00C37ED2"/>
    <w:rsid w:val="00C42ED0"/>
    <w:rsid w:val="00C43D0A"/>
    <w:rsid w:val="00C44D97"/>
    <w:rsid w:val="00C44FE3"/>
    <w:rsid w:val="00C50936"/>
    <w:rsid w:val="00C511E0"/>
    <w:rsid w:val="00C516E6"/>
    <w:rsid w:val="00C52045"/>
    <w:rsid w:val="00C520E1"/>
    <w:rsid w:val="00C53148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1E9A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223F"/>
    <w:rsid w:val="00C93759"/>
    <w:rsid w:val="00C9424E"/>
    <w:rsid w:val="00C943D1"/>
    <w:rsid w:val="00C94D61"/>
    <w:rsid w:val="00C9621E"/>
    <w:rsid w:val="00CA18DB"/>
    <w:rsid w:val="00CA220D"/>
    <w:rsid w:val="00CA22E2"/>
    <w:rsid w:val="00CA37ED"/>
    <w:rsid w:val="00CA56C6"/>
    <w:rsid w:val="00CB0153"/>
    <w:rsid w:val="00CB0560"/>
    <w:rsid w:val="00CB1F70"/>
    <w:rsid w:val="00CB25C5"/>
    <w:rsid w:val="00CB2866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423C"/>
    <w:rsid w:val="00CC4359"/>
    <w:rsid w:val="00CC4D1A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6F3"/>
    <w:rsid w:val="00CD6D6B"/>
    <w:rsid w:val="00CE1480"/>
    <w:rsid w:val="00CE1D79"/>
    <w:rsid w:val="00CE29FE"/>
    <w:rsid w:val="00CE4166"/>
    <w:rsid w:val="00CE4F8B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D63"/>
    <w:rsid w:val="00CF4F42"/>
    <w:rsid w:val="00CF5450"/>
    <w:rsid w:val="00CF57C7"/>
    <w:rsid w:val="00CF6AD3"/>
    <w:rsid w:val="00CF6E14"/>
    <w:rsid w:val="00CF7537"/>
    <w:rsid w:val="00CF7C58"/>
    <w:rsid w:val="00D043BC"/>
    <w:rsid w:val="00D05563"/>
    <w:rsid w:val="00D07B94"/>
    <w:rsid w:val="00D07EC2"/>
    <w:rsid w:val="00D10778"/>
    <w:rsid w:val="00D10FA1"/>
    <w:rsid w:val="00D11A6D"/>
    <w:rsid w:val="00D147F5"/>
    <w:rsid w:val="00D14C5D"/>
    <w:rsid w:val="00D154BD"/>
    <w:rsid w:val="00D15929"/>
    <w:rsid w:val="00D15A2A"/>
    <w:rsid w:val="00D16868"/>
    <w:rsid w:val="00D21563"/>
    <w:rsid w:val="00D2403B"/>
    <w:rsid w:val="00D268B7"/>
    <w:rsid w:val="00D2719E"/>
    <w:rsid w:val="00D27B3D"/>
    <w:rsid w:val="00D3051E"/>
    <w:rsid w:val="00D32097"/>
    <w:rsid w:val="00D33009"/>
    <w:rsid w:val="00D33ACD"/>
    <w:rsid w:val="00D348E4"/>
    <w:rsid w:val="00D40DAB"/>
    <w:rsid w:val="00D4171F"/>
    <w:rsid w:val="00D45FF2"/>
    <w:rsid w:val="00D5048D"/>
    <w:rsid w:val="00D51146"/>
    <w:rsid w:val="00D5147E"/>
    <w:rsid w:val="00D51890"/>
    <w:rsid w:val="00D51B09"/>
    <w:rsid w:val="00D53155"/>
    <w:rsid w:val="00D53BD8"/>
    <w:rsid w:val="00D54DB1"/>
    <w:rsid w:val="00D55626"/>
    <w:rsid w:val="00D5568B"/>
    <w:rsid w:val="00D55C99"/>
    <w:rsid w:val="00D56839"/>
    <w:rsid w:val="00D56A09"/>
    <w:rsid w:val="00D611F3"/>
    <w:rsid w:val="00D61897"/>
    <w:rsid w:val="00D63046"/>
    <w:rsid w:val="00D63E21"/>
    <w:rsid w:val="00D65BEE"/>
    <w:rsid w:val="00D66AA4"/>
    <w:rsid w:val="00D675D0"/>
    <w:rsid w:val="00D701A1"/>
    <w:rsid w:val="00D71290"/>
    <w:rsid w:val="00D71842"/>
    <w:rsid w:val="00D72E1A"/>
    <w:rsid w:val="00D74EF6"/>
    <w:rsid w:val="00D750DB"/>
    <w:rsid w:val="00D8023F"/>
    <w:rsid w:val="00D83BEB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711A"/>
    <w:rsid w:val="00DB11AA"/>
    <w:rsid w:val="00DB14D9"/>
    <w:rsid w:val="00DB20BE"/>
    <w:rsid w:val="00DB3288"/>
    <w:rsid w:val="00DB33C8"/>
    <w:rsid w:val="00DB395F"/>
    <w:rsid w:val="00DB3B5E"/>
    <w:rsid w:val="00DB5770"/>
    <w:rsid w:val="00DC1896"/>
    <w:rsid w:val="00DC19D1"/>
    <w:rsid w:val="00DC1D4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D7CD0"/>
    <w:rsid w:val="00DE135B"/>
    <w:rsid w:val="00DE31AD"/>
    <w:rsid w:val="00DE714A"/>
    <w:rsid w:val="00DF1019"/>
    <w:rsid w:val="00DF27CE"/>
    <w:rsid w:val="00DF2CB8"/>
    <w:rsid w:val="00DF3A66"/>
    <w:rsid w:val="00DF3E32"/>
    <w:rsid w:val="00DF73AC"/>
    <w:rsid w:val="00DF7613"/>
    <w:rsid w:val="00E007C7"/>
    <w:rsid w:val="00E009AC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4B4"/>
    <w:rsid w:val="00E2520C"/>
    <w:rsid w:val="00E254F3"/>
    <w:rsid w:val="00E2793E"/>
    <w:rsid w:val="00E3384C"/>
    <w:rsid w:val="00E34E86"/>
    <w:rsid w:val="00E35101"/>
    <w:rsid w:val="00E35478"/>
    <w:rsid w:val="00E359CA"/>
    <w:rsid w:val="00E36074"/>
    <w:rsid w:val="00E3673D"/>
    <w:rsid w:val="00E37682"/>
    <w:rsid w:val="00E41835"/>
    <w:rsid w:val="00E42776"/>
    <w:rsid w:val="00E4454D"/>
    <w:rsid w:val="00E44835"/>
    <w:rsid w:val="00E45DD4"/>
    <w:rsid w:val="00E46774"/>
    <w:rsid w:val="00E469D9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5EE0"/>
    <w:rsid w:val="00E66160"/>
    <w:rsid w:val="00E67F31"/>
    <w:rsid w:val="00E70DE5"/>
    <w:rsid w:val="00E71E31"/>
    <w:rsid w:val="00E725B1"/>
    <w:rsid w:val="00E73012"/>
    <w:rsid w:val="00E754E4"/>
    <w:rsid w:val="00E76B97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A0256"/>
    <w:rsid w:val="00EA1043"/>
    <w:rsid w:val="00EA12E0"/>
    <w:rsid w:val="00EA15EC"/>
    <w:rsid w:val="00EA17C9"/>
    <w:rsid w:val="00EA1E56"/>
    <w:rsid w:val="00EA2847"/>
    <w:rsid w:val="00EA39E8"/>
    <w:rsid w:val="00EA4766"/>
    <w:rsid w:val="00EA4B34"/>
    <w:rsid w:val="00EA633E"/>
    <w:rsid w:val="00EA6792"/>
    <w:rsid w:val="00EA6C38"/>
    <w:rsid w:val="00EA76B8"/>
    <w:rsid w:val="00EA773E"/>
    <w:rsid w:val="00EA7A98"/>
    <w:rsid w:val="00EB0972"/>
    <w:rsid w:val="00EB0D08"/>
    <w:rsid w:val="00EB25B1"/>
    <w:rsid w:val="00EB3120"/>
    <w:rsid w:val="00EB43B7"/>
    <w:rsid w:val="00EB45BB"/>
    <w:rsid w:val="00EB5C30"/>
    <w:rsid w:val="00EB74EA"/>
    <w:rsid w:val="00EB7E2D"/>
    <w:rsid w:val="00EC03BE"/>
    <w:rsid w:val="00EC1B2D"/>
    <w:rsid w:val="00EC1D3E"/>
    <w:rsid w:val="00EC1DCC"/>
    <w:rsid w:val="00EC2EDE"/>
    <w:rsid w:val="00EC4AF7"/>
    <w:rsid w:val="00EC6877"/>
    <w:rsid w:val="00ED00DE"/>
    <w:rsid w:val="00ED048F"/>
    <w:rsid w:val="00ED0A8D"/>
    <w:rsid w:val="00ED66F9"/>
    <w:rsid w:val="00EE082D"/>
    <w:rsid w:val="00EE08C5"/>
    <w:rsid w:val="00EE442B"/>
    <w:rsid w:val="00EE4827"/>
    <w:rsid w:val="00EF0DBD"/>
    <w:rsid w:val="00EF12AC"/>
    <w:rsid w:val="00EF1705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F01548"/>
    <w:rsid w:val="00F01774"/>
    <w:rsid w:val="00F01D83"/>
    <w:rsid w:val="00F01FD0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73FD"/>
    <w:rsid w:val="00F2058B"/>
    <w:rsid w:val="00F20DB4"/>
    <w:rsid w:val="00F212BA"/>
    <w:rsid w:val="00F21A7F"/>
    <w:rsid w:val="00F229F9"/>
    <w:rsid w:val="00F2372B"/>
    <w:rsid w:val="00F2776C"/>
    <w:rsid w:val="00F27C7B"/>
    <w:rsid w:val="00F30825"/>
    <w:rsid w:val="00F30B86"/>
    <w:rsid w:val="00F3162C"/>
    <w:rsid w:val="00F32027"/>
    <w:rsid w:val="00F32A82"/>
    <w:rsid w:val="00F32FFD"/>
    <w:rsid w:val="00F337E5"/>
    <w:rsid w:val="00F34BD1"/>
    <w:rsid w:val="00F3545D"/>
    <w:rsid w:val="00F370D1"/>
    <w:rsid w:val="00F37941"/>
    <w:rsid w:val="00F40471"/>
    <w:rsid w:val="00F432E5"/>
    <w:rsid w:val="00F45E58"/>
    <w:rsid w:val="00F46173"/>
    <w:rsid w:val="00F47ABE"/>
    <w:rsid w:val="00F47B5B"/>
    <w:rsid w:val="00F50EF1"/>
    <w:rsid w:val="00F538FA"/>
    <w:rsid w:val="00F5546B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582D"/>
    <w:rsid w:val="00F66D2F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298A"/>
    <w:rsid w:val="00FA37F1"/>
    <w:rsid w:val="00FA7C6D"/>
    <w:rsid w:val="00FB03EA"/>
    <w:rsid w:val="00FB1962"/>
    <w:rsid w:val="00FB4F84"/>
    <w:rsid w:val="00FB52F3"/>
    <w:rsid w:val="00FB556B"/>
    <w:rsid w:val="00FB6B74"/>
    <w:rsid w:val="00FB6E69"/>
    <w:rsid w:val="00FB7598"/>
    <w:rsid w:val="00FB7645"/>
    <w:rsid w:val="00FB7C17"/>
    <w:rsid w:val="00FC0D33"/>
    <w:rsid w:val="00FC1D4F"/>
    <w:rsid w:val="00FC2BA3"/>
    <w:rsid w:val="00FC64A0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5C15"/>
    <w:rsid w:val="00FE5E3A"/>
    <w:rsid w:val="00FE7A74"/>
    <w:rsid w:val="00FF1FA5"/>
    <w:rsid w:val="00FF2B38"/>
    <w:rsid w:val="00FF4078"/>
    <w:rsid w:val="00FF4697"/>
    <w:rsid w:val="00FF4ADC"/>
    <w:rsid w:val="00FF4D8E"/>
    <w:rsid w:val="00FF563D"/>
    <w:rsid w:val="00FF56D7"/>
    <w:rsid w:val="00FF5B4C"/>
    <w:rsid w:val="00FF613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chartTrackingRefBased/>
  <w15:docId w15:val="{8BC0B10A-8FF5-4179-8C0C-81E4140F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8D6BF0"/>
    <w:pPr>
      <w:spacing w:before="0" w:after="120" w:line="312" w:lineRule="auto"/>
      <w:ind w:firstLineChars="0" w:firstLine="360"/>
    </w:pPr>
    <w:rPr>
      <w:sz w:val="22"/>
      <w:lang w:eastAsia="en-US"/>
    </w:rPr>
  </w:style>
  <w:style w:type="character" w:customStyle="1" w:styleId="Style1Char">
    <w:name w:val="Style1 Char"/>
    <w:basedOn w:val="maintextChar"/>
    <w:link w:val="Style1"/>
    <w:rsid w:val="008D6BF0"/>
    <w:rPr>
      <w:rFonts w:eastAsia="Malgun Gothic" w:cs="Batang"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37682"/>
    <w:rPr>
      <w:color w:val="808080"/>
    </w:rPr>
  </w:style>
  <w:style w:type="paragraph" w:styleId="NormalWeb">
    <w:name w:val="Normal (Web)"/>
    <w:basedOn w:val="Normal"/>
    <w:uiPriority w:val="99"/>
    <w:unhideWhenUsed/>
    <w:rsid w:val="000E1BD4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table" w:styleId="GridTable3">
    <w:name w:val="Grid Table 3"/>
    <w:basedOn w:val="TableNormal"/>
    <w:uiPriority w:val="48"/>
    <w:rsid w:val="006B3EB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9FD55-C13E-4A21-B6DF-EDFF224D6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1687</Words>
  <Characters>9619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Younsun Kim</dc:creator>
  <cp:keywords/>
  <dc:description/>
  <cp:lastModifiedBy>Hao Chen</cp:lastModifiedBy>
  <cp:revision>10</cp:revision>
  <cp:lastPrinted>2012-03-15T10:36:00Z</cp:lastPrinted>
  <dcterms:created xsi:type="dcterms:W3CDTF">2016-11-04T23:01:00Z</dcterms:created>
  <dcterms:modified xsi:type="dcterms:W3CDTF">2016-11-04T23:11:00Z</dcterms:modified>
</cp:coreProperties>
</file>