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8A" w:rsidRPr="0020138A" w:rsidRDefault="0020138A" w:rsidP="0020138A">
      <w:pPr>
        <w:pStyle w:val="a5"/>
        <w:tabs>
          <w:tab w:val="left" w:pos="1800"/>
        </w:tabs>
        <w:ind w:left="1800" w:hanging="1800"/>
        <w:rPr>
          <w:rFonts w:eastAsia="宋体"/>
          <w:sz w:val="24"/>
          <w:szCs w:val="24"/>
          <w:lang w:eastAsia="zh-CN"/>
        </w:rPr>
      </w:pPr>
      <w:r w:rsidRPr="0020138A">
        <w:rPr>
          <w:sz w:val="24"/>
          <w:szCs w:val="24"/>
        </w:rPr>
        <w:t>3GPP TSG RAN WG1 Meeting #</w:t>
      </w:r>
      <w:r w:rsidRPr="0020138A">
        <w:rPr>
          <w:rFonts w:hint="eastAsia"/>
          <w:sz w:val="24"/>
          <w:szCs w:val="24"/>
        </w:rPr>
        <w:t>8</w:t>
      </w:r>
      <w:r w:rsidRPr="0020138A">
        <w:rPr>
          <w:sz w:val="24"/>
          <w:szCs w:val="24"/>
        </w:rPr>
        <w:t>7</w:t>
      </w:r>
      <w:r w:rsidRPr="0020138A">
        <w:rPr>
          <w:sz w:val="24"/>
          <w:szCs w:val="24"/>
        </w:rPr>
        <w:tab/>
      </w:r>
      <w:r w:rsidRPr="0020138A">
        <w:rPr>
          <w:rFonts w:hint="eastAsia"/>
          <w:sz w:val="24"/>
          <w:szCs w:val="24"/>
        </w:rPr>
        <w:t xml:space="preserve">                                                                 </w:t>
      </w:r>
      <w:r w:rsidRPr="0020138A">
        <w:rPr>
          <w:sz w:val="24"/>
          <w:szCs w:val="24"/>
        </w:rPr>
        <w:t>R1-16</w:t>
      </w:r>
      <w:r w:rsidR="0054647B">
        <w:rPr>
          <w:rFonts w:eastAsia="宋体"/>
          <w:sz w:val="24"/>
          <w:szCs w:val="24"/>
          <w:lang w:eastAsia="zh-CN"/>
        </w:rPr>
        <w:t>11362</w:t>
      </w:r>
    </w:p>
    <w:p w:rsidR="0020138A" w:rsidRPr="0020138A" w:rsidRDefault="0020138A" w:rsidP="0020138A">
      <w:pPr>
        <w:pStyle w:val="a5"/>
        <w:tabs>
          <w:tab w:val="left" w:pos="1800"/>
        </w:tabs>
        <w:ind w:left="1800" w:hanging="1800"/>
        <w:rPr>
          <w:sz w:val="24"/>
          <w:szCs w:val="24"/>
        </w:rPr>
      </w:pPr>
      <w:r w:rsidRPr="0020138A">
        <w:rPr>
          <w:sz w:val="24"/>
          <w:szCs w:val="24"/>
        </w:rPr>
        <w:t>Reno, NV, USA, 14</w:t>
      </w:r>
      <w:r w:rsidRPr="0020138A">
        <w:rPr>
          <w:sz w:val="24"/>
          <w:szCs w:val="24"/>
          <w:vertAlign w:val="superscript"/>
        </w:rPr>
        <w:t>th</w:t>
      </w:r>
      <w:r w:rsidRPr="0020138A">
        <w:rPr>
          <w:sz w:val="24"/>
          <w:szCs w:val="24"/>
        </w:rPr>
        <w:t xml:space="preserve"> – 18</w:t>
      </w:r>
      <w:r w:rsidRPr="0020138A">
        <w:rPr>
          <w:sz w:val="24"/>
          <w:szCs w:val="24"/>
          <w:vertAlign w:val="superscript"/>
        </w:rPr>
        <w:t>th</w:t>
      </w:r>
      <w:r w:rsidRPr="0020138A">
        <w:rPr>
          <w:sz w:val="24"/>
          <w:szCs w:val="24"/>
        </w:rPr>
        <w:t xml:space="preserve"> November 2016</w:t>
      </w:r>
    </w:p>
    <w:p w:rsidR="0020138A" w:rsidRDefault="0020138A" w:rsidP="00DF1CB7">
      <w:pPr>
        <w:tabs>
          <w:tab w:val="right" w:pos="9630"/>
        </w:tabs>
        <w:spacing w:after="0"/>
        <w:rPr>
          <w:rFonts w:ascii="Arial" w:hAnsi="Arial" w:cs="Arial"/>
          <w:b/>
          <w:sz w:val="24"/>
        </w:rPr>
      </w:pP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54647B">
        <w:rPr>
          <w:rFonts w:ascii="Arial" w:hAnsi="Arial"/>
          <w:sz w:val="24"/>
        </w:rPr>
        <w:tab/>
        <w:t>7.1.</w:t>
      </w:r>
      <w:r w:rsidR="00B01BFC">
        <w:rPr>
          <w:rFonts w:ascii="Arial" w:hAnsi="Arial"/>
          <w:sz w:val="24"/>
        </w:rPr>
        <w:t>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 xml:space="preserve">NR </w:t>
      </w:r>
      <w:r w:rsidR="0054647B" w:rsidRPr="0054647B">
        <w:rPr>
          <w:rFonts w:ascii="Arial" w:hAnsi="Arial"/>
          <w:sz w:val="24"/>
          <w:szCs w:val="24"/>
        </w:rPr>
        <w:t>wider bandwidth operation up to 1GHz</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4761D5" w:rsidRPr="008E796E" w:rsidRDefault="005F46DA" w:rsidP="00044645">
      <w:pPr>
        <w:spacing w:beforeLines="50"/>
        <w:jc w:val="both"/>
      </w:pPr>
      <w:r>
        <w:rPr>
          <w:rFonts w:eastAsia="宋体"/>
          <w:lang w:eastAsia="zh-CN"/>
        </w:rPr>
        <w:t>In RAN1#86</w:t>
      </w:r>
      <w:r w:rsidR="004761D5">
        <w:rPr>
          <w:rFonts w:eastAsia="宋体"/>
          <w:lang w:eastAsia="zh-CN"/>
        </w:rPr>
        <w:t>bis</w:t>
      </w:r>
      <w:r>
        <w:rPr>
          <w:rFonts w:eastAsia="宋体"/>
          <w:lang w:eastAsia="zh-CN"/>
        </w:rPr>
        <w:t xml:space="preserve">, </w:t>
      </w:r>
      <w:r w:rsidR="00F62717">
        <w:t>t</w:t>
      </w:r>
      <w:r w:rsidR="004761D5" w:rsidRPr="00F90E88">
        <w:t xml:space="preserve">he maximum </w:t>
      </w:r>
      <w:r w:rsidR="004761D5">
        <w:t>carrier bandwidth with operation bandwidth of 1GHz was discussed with the agreements and LS sent to other WGs as follows,</w:t>
      </w:r>
    </w:p>
    <w:p w:rsidR="004761D5" w:rsidRPr="00DD212D" w:rsidRDefault="004761D5" w:rsidP="004761D5">
      <w:pPr>
        <w:rPr>
          <w:b/>
          <w:u w:val="single"/>
        </w:rPr>
      </w:pPr>
      <w:r w:rsidRPr="00DD212D">
        <w:rPr>
          <w:rFonts w:hint="eastAsia"/>
          <w:b/>
          <w:highlight w:val="green"/>
          <w:u w:val="single"/>
        </w:rPr>
        <w:t>Agreements:</w:t>
      </w:r>
    </w:p>
    <w:p w:rsidR="004761D5" w:rsidRPr="003060B2" w:rsidRDefault="004761D5" w:rsidP="004761D5">
      <w:pPr>
        <w:numPr>
          <w:ilvl w:val="0"/>
          <w:numId w:val="39"/>
        </w:numPr>
        <w:spacing w:after="0"/>
      </w:pPr>
      <w:r>
        <w:rPr>
          <w:rFonts w:hint="eastAsia"/>
        </w:rPr>
        <w:t>At least for Phase 1, s</w:t>
      </w:r>
      <w:r w:rsidRPr="00CA3C19">
        <w:t xml:space="preserve">tudy mechanisms to </w:t>
      </w:r>
      <w:r>
        <w:t xml:space="preserve">support </w:t>
      </w:r>
      <w:r>
        <w:rPr>
          <w:rFonts w:hint="eastAsia"/>
        </w:rPr>
        <w:t xml:space="preserve">operation over e.g. </w:t>
      </w:r>
      <w:r w:rsidRPr="00CA3C19">
        <w:t xml:space="preserve">around 1GHz </w:t>
      </w:r>
      <w:r>
        <w:rPr>
          <w:rFonts w:hint="eastAsia"/>
        </w:rPr>
        <w:t xml:space="preserve">contiguous spectrum </w:t>
      </w:r>
      <w:r w:rsidRPr="00CA3C19">
        <w:t>from both NW and UE perspectives</w:t>
      </w:r>
      <w:r>
        <w:rPr>
          <w:rFonts w:hint="eastAsia"/>
        </w:rPr>
        <w:t xml:space="preserve"> i</w:t>
      </w:r>
      <w:r w:rsidRPr="003060B2">
        <w:t>ncluding the maximum single carrier bandwidth of at least 80 MHz</w:t>
      </w:r>
    </w:p>
    <w:p w:rsidR="004761D5" w:rsidRPr="00CA3C19" w:rsidRDefault="004761D5" w:rsidP="004761D5">
      <w:pPr>
        <w:numPr>
          <w:ilvl w:val="1"/>
          <w:numId w:val="39"/>
        </w:numPr>
        <w:spacing w:after="0"/>
      </w:pPr>
      <w:r w:rsidRPr="00CA3C19">
        <w:t>Carrier Aggregation/Dual Connectivity (Multi-carrier approach)</w:t>
      </w:r>
      <w:r>
        <w:rPr>
          <w:rFonts w:hint="eastAsia"/>
        </w:rPr>
        <w:t xml:space="preserve"> </w:t>
      </w:r>
    </w:p>
    <w:p w:rsidR="004761D5" w:rsidRDefault="004761D5" w:rsidP="004761D5">
      <w:pPr>
        <w:numPr>
          <w:ilvl w:val="2"/>
          <w:numId w:val="39"/>
        </w:numPr>
        <w:spacing w:after="0"/>
      </w:pPr>
      <w:r w:rsidRPr="00CA3C19">
        <w:t>Details are FFS</w:t>
      </w:r>
    </w:p>
    <w:p w:rsidR="004761D5" w:rsidRPr="00CA3C19" w:rsidRDefault="004761D5" w:rsidP="004761D5">
      <w:pPr>
        <w:numPr>
          <w:ilvl w:val="2"/>
          <w:numId w:val="39"/>
        </w:numPr>
        <w:spacing w:after="0"/>
      </w:pPr>
      <w:r>
        <w:rPr>
          <w:rFonts w:hint="eastAsia"/>
        </w:rPr>
        <w:t>FFS: non-contiguous spectrum case</w:t>
      </w:r>
    </w:p>
    <w:p w:rsidR="004761D5" w:rsidRPr="00CA3C19" w:rsidRDefault="004761D5" w:rsidP="004761D5">
      <w:pPr>
        <w:numPr>
          <w:ilvl w:val="1"/>
          <w:numId w:val="39"/>
        </w:numPr>
        <w:spacing w:after="0"/>
      </w:pPr>
      <w:r w:rsidRPr="00CA3C19">
        <w:t>Single carrier operation</w:t>
      </w:r>
      <w:r>
        <w:rPr>
          <w:rFonts w:hint="eastAsia"/>
        </w:rPr>
        <w:t xml:space="preserve"> </w:t>
      </w:r>
    </w:p>
    <w:p w:rsidR="004761D5" w:rsidRPr="00E555A1" w:rsidRDefault="004761D5" w:rsidP="004761D5">
      <w:pPr>
        <w:numPr>
          <w:ilvl w:val="2"/>
          <w:numId w:val="39"/>
        </w:numPr>
        <w:spacing w:after="0"/>
      </w:pPr>
      <w:r w:rsidRPr="00CA3C19">
        <w:t xml:space="preserve">Details are FFS </w:t>
      </w:r>
    </w:p>
    <w:p w:rsidR="004761D5" w:rsidRDefault="004761D5" w:rsidP="004761D5">
      <w:pPr>
        <w:numPr>
          <w:ilvl w:val="2"/>
          <w:numId w:val="39"/>
        </w:numPr>
        <w:spacing w:after="0"/>
      </w:pPr>
      <w:r>
        <w:t xml:space="preserve">Maximum channel </w:t>
      </w:r>
      <w:r>
        <w:rPr>
          <w:rFonts w:hint="eastAsia"/>
        </w:rPr>
        <w:t>bandwidth</w:t>
      </w:r>
      <w:r w:rsidRPr="00CA3C19">
        <w:t xml:space="preserve"> continues to be studied in RAN1/4</w:t>
      </w:r>
    </w:p>
    <w:p w:rsidR="004761D5" w:rsidRDefault="004761D5" w:rsidP="004761D5">
      <w:pPr>
        <w:numPr>
          <w:ilvl w:val="3"/>
          <w:numId w:val="39"/>
        </w:numPr>
        <w:spacing w:after="0"/>
      </w:pPr>
      <w:r>
        <w:rPr>
          <w:rFonts w:hint="eastAsia"/>
        </w:rPr>
        <w:t>Maximum bandwidth supported by some UE capabilities/categories may be less than channel bandwidth of serving single carrier</w:t>
      </w:r>
    </w:p>
    <w:p w:rsidR="004761D5" w:rsidRPr="00CA3C19" w:rsidRDefault="004761D5" w:rsidP="004761D5">
      <w:pPr>
        <w:numPr>
          <w:ilvl w:val="4"/>
          <w:numId w:val="39"/>
        </w:numPr>
        <w:spacing w:after="0"/>
      </w:pPr>
      <w:r>
        <w:rPr>
          <w:rFonts w:hint="eastAsia"/>
        </w:rPr>
        <w:t>Note that some UE capabilities/categories may support channel bandwidth of serving single carrier</w:t>
      </w:r>
    </w:p>
    <w:p w:rsidR="004761D5" w:rsidRDefault="004761D5" w:rsidP="00D97B94">
      <w:pPr>
        <w:numPr>
          <w:ilvl w:val="0"/>
          <w:numId w:val="39"/>
        </w:numPr>
        <w:spacing w:after="0"/>
      </w:pPr>
      <w:r w:rsidRPr="00CA3C19">
        <w:t xml:space="preserve">Send an LS to ask RAN4 to </w:t>
      </w:r>
      <w:r>
        <w:rPr>
          <w:rFonts w:hint="eastAsia"/>
        </w:rPr>
        <w:t xml:space="preserve">study the </w:t>
      </w:r>
      <w:r w:rsidRPr="00CA3C19">
        <w:t>feasibilities</w:t>
      </w:r>
      <w:r>
        <w:rPr>
          <w:rFonts w:hint="eastAsia"/>
        </w:rPr>
        <w:t xml:space="preserve"> of mechanisms above </w:t>
      </w:r>
      <w:r w:rsidRPr="00CA3C19">
        <w:t>from both NW and UE perspectives</w:t>
      </w:r>
    </w:p>
    <w:p w:rsidR="00C95356" w:rsidRDefault="00C95356" w:rsidP="00C95356">
      <w:pPr>
        <w:spacing w:after="0"/>
      </w:pPr>
    </w:p>
    <w:p w:rsidR="00C95356" w:rsidRDefault="00C95356" w:rsidP="00C95356">
      <w:pPr>
        <w:spacing w:after="0"/>
      </w:pPr>
      <w:r>
        <w:t xml:space="preserve">It was also agreed in RAN1#86bis that </w:t>
      </w:r>
    </w:p>
    <w:p w:rsidR="00C95356" w:rsidRDefault="00C95356" w:rsidP="00C95356">
      <w:pPr>
        <w:spacing w:after="0"/>
      </w:pPr>
    </w:p>
    <w:p w:rsidR="00C95356" w:rsidRPr="00DD212D" w:rsidRDefault="00C95356" w:rsidP="00C95356">
      <w:pPr>
        <w:rPr>
          <w:b/>
          <w:highlight w:val="yellow"/>
          <w:u w:val="single"/>
        </w:rPr>
      </w:pPr>
      <w:r w:rsidRPr="00DD212D">
        <w:rPr>
          <w:rFonts w:hint="eastAsia"/>
          <w:b/>
          <w:highlight w:val="green"/>
          <w:u w:val="single"/>
        </w:rPr>
        <w:t>Agreements:</w:t>
      </w:r>
    </w:p>
    <w:p w:rsidR="00C95356" w:rsidRPr="00017AE4" w:rsidRDefault="00C95356" w:rsidP="00C95356">
      <w:pPr>
        <w:numPr>
          <w:ilvl w:val="0"/>
          <w:numId w:val="40"/>
        </w:numPr>
        <w:spacing w:after="0"/>
      </w:pPr>
      <w:r w:rsidRPr="00017AE4">
        <w:t>Study at least the following aspects for NR carrier aggregation / dual connectivity</w:t>
      </w:r>
    </w:p>
    <w:p w:rsidR="00C95356" w:rsidRPr="00017AE4" w:rsidRDefault="00C95356" w:rsidP="00C95356">
      <w:pPr>
        <w:widowControl w:val="0"/>
        <w:numPr>
          <w:ilvl w:val="1"/>
          <w:numId w:val="41"/>
        </w:numPr>
        <w:tabs>
          <w:tab w:val="clear" w:pos="1080"/>
          <w:tab w:val="num" w:pos="1440"/>
        </w:tabs>
        <w:spacing w:after="0"/>
        <w:jc w:val="both"/>
      </w:pPr>
      <w:r w:rsidRPr="00017AE4">
        <w:t>Intra-TRP and inter-TRP with ideal and non-ideal backhaul scenarios</w:t>
      </w:r>
    </w:p>
    <w:p w:rsidR="00C95356" w:rsidRPr="00017AE4" w:rsidRDefault="00C95356" w:rsidP="00C95356">
      <w:pPr>
        <w:widowControl w:val="0"/>
        <w:numPr>
          <w:ilvl w:val="1"/>
          <w:numId w:val="41"/>
        </w:numPr>
        <w:tabs>
          <w:tab w:val="clear" w:pos="1080"/>
          <w:tab w:val="num" w:pos="1440"/>
        </w:tabs>
        <w:spacing w:after="0"/>
        <w:jc w:val="both"/>
      </w:pPr>
      <w:r w:rsidRPr="00017AE4">
        <w:t>Number of carriers</w:t>
      </w:r>
    </w:p>
    <w:p w:rsidR="00C95356" w:rsidRPr="00017AE4" w:rsidRDefault="00C95356" w:rsidP="00C95356">
      <w:pPr>
        <w:widowControl w:val="0"/>
        <w:numPr>
          <w:ilvl w:val="1"/>
          <w:numId w:val="41"/>
        </w:numPr>
        <w:tabs>
          <w:tab w:val="clear" w:pos="1080"/>
          <w:tab w:val="num" w:pos="1440"/>
        </w:tabs>
        <w:spacing w:after="0"/>
        <w:jc w:val="both"/>
      </w:pPr>
      <w:r w:rsidRPr="00017AE4">
        <w:t>The need for certain channels, e.g. downlink control channel, uplink control channel or PBCH for some carriers</w:t>
      </w:r>
    </w:p>
    <w:p w:rsidR="00C95356" w:rsidRPr="00017AE4" w:rsidRDefault="00C95356" w:rsidP="00C95356">
      <w:pPr>
        <w:widowControl w:val="0"/>
        <w:numPr>
          <w:ilvl w:val="1"/>
          <w:numId w:val="41"/>
        </w:numPr>
        <w:tabs>
          <w:tab w:val="clear" w:pos="1080"/>
          <w:tab w:val="num" w:pos="1440"/>
        </w:tabs>
        <w:spacing w:after="0"/>
        <w:jc w:val="both"/>
      </w:pPr>
      <w:r w:rsidRPr="00017AE4">
        <w:t>Cross-carrier scheduling and joint UCI feedback, e.g. HARQ-ACK feedback</w:t>
      </w:r>
    </w:p>
    <w:p w:rsidR="00C95356" w:rsidRPr="00017AE4" w:rsidRDefault="00C95356" w:rsidP="00C95356">
      <w:pPr>
        <w:widowControl w:val="0"/>
        <w:numPr>
          <w:ilvl w:val="1"/>
          <w:numId w:val="41"/>
        </w:numPr>
        <w:tabs>
          <w:tab w:val="clear" w:pos="1080"/>
          <w:tab w:val="num" w:pos="1440"/>
        </w:tabs>
        <w:spacing w:after="0"/>
        <w:jc w:val="both"/>
      </w:pPr>
      <w:r w:rsidRPr="00017AE4">
        <w:t>TB mapping, i.e., per carrier or across carriers</w:t>
      </w:r>
    </w:p>
    <w:p w:rsidR="00C95356" w:rsidRPr="00017AE4" w:rsidRDefault="00C95356" w:rsidP="00C95356">
      <w:pPr>
        <w:widowControl w:val="0"/>
        <w:numPr>
          <w:ilvl w:val="1"/>
          <w:numId w:val="41"/>
        </w:numPr>
        <w:tabs>
          <w:tab w:val="clear" w:pos="1080"/>
          <w:tab w:val="num" w:pos="1440"/>
        </w:tabs>
        <w:spacing w:after="0"/>
        <w:jc w:val="both"/>
      </w:pPr>
      <w:r w:rsidRPr="00017AE4">
        <w:t>Carrier on/off switching mechanism</w:t>
      </w:r>
    </w:p>
    <w:p w:rsidR="00C95356" w:rsidRPr="00017AE4" w:rsidRDefault="00C95356" w:rsidP="00C95356">
      <w:pPr>
        <w:widowControl w:val="0"/>
        <w:numPr>
          <w:ilvl w:val="1"/>
          <w:numId w:val="41"/>
        </w:numPr>
        <w:tabs>
          <w:tab w:val="clear" w:pos="1080"/>
          <w:tab w:val="num" w:pos="1440"/>
        </w:tabs>
        <w:spacing w:after="0"/>
        <w:jc w:val="both"/>
      </w:pPr>
      <w:r w:rsidRPr="00017AE4">
        <w:t>Power control</w:t>
      </w:r>
    </w:p>
    <w:p w:rsidR="00C95356" w:rsidRPr="00017AE4" w:rsidRDefault="00C95356" w:rsidP="00C95356">
      <w:pPr>
        <w:widowControl w:val="0"/>
        <w:numPr>
          <w:ilvl w:val="1"/>
          <w:numId w:val="41"/>
        </w:numPr>
        <w:tabs>
          <w:tab w:val="clear" w:pos="1080"/>
          <w:tab w:val="num" w:pos="1440"/>
        </w:tabs>
        <w:spacing w:after="0"/>
        <w:jc w:val="both"/>
      </w:pPr>
      <w:r w:rsidRPr="00017AE4">
        <w:t>Different numerologies between different/same carrier(s) for a given UE</w:t>
      </w:r>
    </w:p>
    <w:p w:rsidR="00C95356" w:rsidRDefault="00C95356" w:rsidP="00C95356">
      <w:pPr>
        <w:widowControl w:val="0"/>
        <w:numPr>
          <w:ilvl w:val="2"/>
          <w:numId w:val="41"/>
        </w:numPr>
        <w:spacing w:after="0"/>
        <w:jc w:val="both"/>
      </w:pPr>
      <w:r w:rsidRPr="00017AE4">
        <w:t>FFS: whether/if different numerologies are multiplexed on one carrier for one UE is called carrier aggregation / dual connectivity</w:t>
      </w:r>
    </w:p>
    <w:p w:rsidR="00C95356" w:rsidRPr="00D97B94" w:rsidRDefault="00C95356" w:rsidP="00C95356">
      <w:pPr>
        <w:spacing w:after="0"/>
      </w:pPr>
    </w:p>
    <w:p w:rsidR="005F46DA" w:rsidRPr="00D97B94" w:rsidRDefault="005F46DA" w:rsidP="00044645">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w:t>
      </w:r>
      <w:r w:rsidR="00F62717">
        <w:rPr>
          <w:rFonts w:eastAsia="宋体" w:hint="eastAsia"/>
          <w:lang w:eastAsia="zh-CN"/>
        </w:rPr>
        <w:t xml:space="preserve">s the </w:t>
      </w:r>
      <w:r w:rsidR="00F62717">
        <w:rPr>
          <w:rFonts w:eastAsia="宋体"/>
          <w:lang w:eastAsia="zh-CN"/>
        </w:rPr>
        <w:t>consideration of operation over 1GHz spectrum in the NR</w:t>
      </w:r>
      <w:r w:rsidR="00C95356">
        <w:rPr>
          <w:rFonts w:eastAsia="宋体"/>
          <w:lang w:eastAsia="zh-CN"/>
        </w:rPr>
        <w:t xml:space="preserve"> </w:t>
      </w:r>
      <w:r w:rsidR="00F62717">
        <w:rPr>
          <w:rFonts w:eastAsia="宋体"/>
          <w:lang w:eastAsia="zh-CN"/>
        </w:rPr>
        <w:t>system</w:t>
      </w:r>
      <w:r w:rsidR="00F24E8A">
        <w:rPr>
          <w:rFonts w:eastAsia="宋体"/>
          <w:lang w:eastAsia="zh-CN"/>
        </w:rPr>
        <w:t xml:space="preserve"> design</w:t>
      </w:r>
      <w:r>
        <w:rPr>
          <w:rFonts w:eastAsia="宋体" w:hint="eastAsia"/>
          <w:lang w:eastAsia="zh-CN"/>
        </w:rPr>
        <w:t>.</w:t>
      </w:r>
    </w:p>
    <w:p w:rsidR="00693C74" w:rsidRDefault="00D97B94" w:rsidP="00BA7C9E">
      <w:pPr>
        <w:pStyle w:val="1"/>
        <w:rPr>
          <w:lang w:eastAsia="ja-JP"/>
        </w:rPr>
      </w:pPr>
      <w:r>
        <w:rPr>
          <w:lang w:eastAsia="ja-JP"/>
        </w:rPr>
        <w:t xml:space="preserve">Consideration of Maximum Single Carrier Bandwidth </w:t>
      </w:r>
    </w:p>
    <w:p w:rsidR="005224A2" w:rsidRDefault="005224A2" w:rsidP="000E5984">
      <w:pPr>
        <w:pStyle w:val="maintext"/>
        <w:spacing w:before="0" w:after="0" w:line="240" w:lineRule="auto"/>
        <w:ind w:firstLineChars="0" w:firstLine="0"/>
        <w:rPr>
          <w:lang w:val="en-US"/>
        </w:rPr>
      </w:pPr>
    </w:p>
    <w:p w:rsidR="005224A2" w:rsidRDefault="00BD7CBC" w:rsidP="00BD7CBC">
      <w:pPr>
        <w:pStyle w:val="maintext"/>
        <w:spacing w:before="0" w:after="0" w:line="240" w:lineRule="auto"/>
        <w:ind w:firstLineChars="0" w:firstLine="0"/>
        <w:rPr>
          <w:bCs/>
          <w:lang w:val="en-US"/>
        </w:rPr>
      </w:pPr>
      <w:r>
        <w:rPr>
          <w:lang w:val="en-US"/>
        </w:rPr>
        <w:lastRenderedPageBreak/>
        <w:t>NR system supports a large system bandwidth at least</w:t>
      </w:r>
      <w:r w:rsidR="008A1D0B">
        <w:rPr>
          <w:lang w:val="en-US"/>
        </w:rPr>
        <w:t xml:space="preserve"> 80 </w:t>
      </w:r>
      <w:proofErr w:type="spellStart"/>
      <w:r>
        <w:rPr>
          <w:lang w:val="en-US"/>
        </w:rPr>
        <w:t>MHz.</w:t>
      </w:r>
      <w:proofErr w:type="spellEnd"/>
      <w:r>
        <w:rPr>
          <w:lang w:val="en-US"/>
        </w:rPr>
        <w:t xml:space="preserve">   To support operation over 1GHz contiguous spectrum, it is necessary to define the maximum system bandwidth supported in a NR carrier.  </w:t>
      </w:r>
      <w:r>
        <w:rPr>
          <w:bCs/>
          <w:lang w:val="en-US"/>
        </w:rPr>
        <w:t xml:space="preserve">  The maximum system bandwidth is determined by the sampling interval.   In LTE, the maximum sampling rate is 3</w:t>
      </w:r>
      <w:r w:rsidR="009A2E98">
        <w:rPr>
          <w:bCs/>
          <w:lang w:val="en-US"/>
        </w:rPr>
        <w:t xml:space="preserve">0.72 </w:t>
      </w:r>
      <w:proofErr w:type="spellStart"/>
      <w:r w:rsidR="009A2E98">
        <w:rPr>
          <w:bCs/>
          <w:lang w:val="en-US"/>
        </w:rPr>
        <w:t>Msps</w:t>
      </w:r>
      <w:proofErr w:type="spellEnd"/>
      <w:r>
        <w:rPr>
          <w:bCs/>
          <w:lang w:val="en-US"/>
        </w:rPr>
        <w:t xml:space="preserve"> for 20 MHz maximum system bandwidth</w:t>
      </w:r>
      <w:r w:rsidR="009A2E98">
        <w:rPr>
          <w:bCs/>
          <w:lang w:val="en-US"/>
        </w:rPr>
        <w:t xml:space="preserve"> with 15 kHz subcarrier spacing</w:t>
      </w:r>
      <w:r>
        <w:rPr>
          <w:bCs/>
          <w:lang w:val="en-US"/>
        </w:rPr>
        <w:t>.   The sampling interval is 32.5 ns.  If the ma</w:t>
      </w:r>
      <w:r w:rsidR="009A2E98">
        <w:rPr>
          <w:bCs/>
          <w:lang w:val="en-US"/>
        </w:rPr>
        <w:t xml:space="preserve">ximum system bandwidth increases 4 times to 80 MHz, the sampling rate would increase to 242.82 </w:t>
      </w:r>
      <w:proofErr w:type="spellStart"/>
      <w:r w:rsidR="009A2E98">
        <w:rPr>
          <w:bCs/>
          <w:lang w:val="en-US"/>
        </w:rPr>
        <w:t>Msps</w:t>
      </w:r>
      <w:proofErr w:type="spellEnd"/>
      <w:r w:rsidR="009A2E98">
        <w:rPr>
          <w:bCs/>
          <w:lang w:val="en-US"/>
        </w:rPr>
        <w:t xml:space="preserve"> with 15 kHz subcarrier spacing.  The sampling interval for 80 MHz system bandwidth would be 8.1 ns.    If the maximum system bandwidth increases to 320 MHz, the sampling rate would increase to 971.28 </w:t>
      </w:r>
      <w:proofErr w:type="spellStart"/>
      <w:r w:rsidR="009A2E98">
        <w:rPr>
          <w:bCs/>
          <w:lang w:val="en-US"/>
        </w:rPr>
        <w:t>Msps</w:t>
      </w:r>
      <w:proofErr w:type="spellEnd"/>
      <w:r w:rsidR="009A2E98">
        <w:rPr>
          <w:bCs/>
          <w:lang w:val="en-US"/>
        </w:rPr>
        <w:t xml:space="preserve"> and the sampling interval is 2 ns.   This requires very fast clock speed for the processing and up to today’s hardware limit.   To further increase the system bandwidth to large than 320 MHz, it would increase the cost of signal processing dramatically.</w:t>
      </w:r>
    </w:p>
    <w:p w:rsidR="009A2E98" w:rsidRDefault="009A2E98" w:rsidP="00BD7CBC">
      <w:pPr>
        <w:pStyle w:val="maintext"/>
        <w:spacing w:before="0" w:after="0" w:line="240" w:lineRule="auto"/>
        <w:ind w:firstLineChars="0" w:firstLine="0"/>
        <w:rPr>
          <w:bCs/>
          <w:lang w:val="en-US"/>
        </w:rPr>
      </w:pPr>
    </w:p>
    <w:p w:rsidR="009A2E98" w:rsidRDefault="009A2E98" w:rsidP="00BD7CBC">
      <w:pPr>
        <w:pStyle w:val="maintext"/>
        <w:spacing w:before="0" w:after="0" w:line="240" w:lineRule="auto"/>
        <w:ind w:firstLineChars="0" w:firstLine="0"/>
        <w:rPr>
          <w:bCs/>
          <w:lang w:val="en-US"/>
        </w:rPr>
      </w:pPr>
      <w:r>
        <w:rPr>
          <w:bCs/>
          <w:lang w:val="en-US"/>
        </w:rPr>
        <w:t xml:space="preserve">One possible solution for the large system bandwidth is to under-sampling the signals with multiple parallel processors.  This parallelism would reduce the processing speed and hardware clock rate.   However, the </w:t>
      </w:r>
      <w:r w:rsidR="001C1622">
        <w:rPr>
          <w:bCs/>
          <w:lang w:val="en-US"/>
        </w:rPr>
        <w:t>under-sampling of A/D converter has the results of aliasing.  The aliasing effect would have effect of cross-symbol interference.   Additional signal processing would be required to reduce the cross-symbol interference.  Thus, under-sampling with parallel signal processors is not a preferred solution.</w:t>
      </w:r>
    </w:p>
    <w:p w:rsidR="001C1622" w:rsidRDefault="001C1622" w:rsidP="00BD7CBC">
      <w:pPr>
        <w:pStyle w:val="maintext"/>
        <w:spacing w:before="0" w:after="0" w:line="240" w:lineRule="auto"/>
        <w:ind w:firstLineChars="0" w:firstLine="0"/>
        <w:rPr>
          <w:bCs/>
          <w:lang w:val="en-US"/>
        </w:rPr>
      </w:pPr>
    </w:p>
    <w:p w:rsidR="001C1622" w:rsidRDefault="001C1622" w:rsidP="00BD7CBC">
      <w:pPr>
        <w:pStyle w:val="maintext"/>
        <w:spacing w:before="0" w:after="0" w:line="240" w:lineRule="auto"/>
        <w:ind w:firstLineChars="0" w:firstLine="0"/>
        <w:rPr>
          <w:b/>
          <w:bCs/>
          <w:lang w:val="en-US"/>
        </w:rPr>
      </w:pPr>
      <w:r>
        <w:rPr>
          <w:b/>
          <w:bCs/>
          <w:lang w:val="en-US"/>
        </w:rPr>
        <w:t xml:space="preserve">Proposal 1: The maximum system bandwidth should be determined with the consideration of the cost-effective hardware design in signal processing and performance.  </w:t>
      </w:r>
    </w:p>
    <w:p w:rsidR="001C1622" w:rsidRDefault="001C1622" w:rsidP="00BD7CBC">
      <w:pPr>
        <w:pStyle w:val="maintext"/>
        <w:spacing w:before="0" w:after="0" w:line="240" w:lineRule="auto"/>
        <w:ind w:firstLineChars="0" w:firstLine="0"/>
        <w:rPr>
          <w:b/>
          <w:bCs/>
          <w:lang w:val="en-US"/>
        </w:rPr>
      </w:pPr>
    </w:p>
    <w:p w:rsidR="001C1622" w:rsidRDefault="001C1622" w:rsidP="00BD7CBC">
      <w:pPr>
        <w:pStyle w:val="maintext"/>
        <w:spacing w:before="0" w:after="0" w:line="240" w:lineRule="auto"/>
        <w:ind w:firstLineChars="0" w:firstLine="0"/>
        <w:rPr>
          <w:b/>
          <w:bCs/>
          <w:lang w:val="en-US"/>
        </w:rPr>
      </w:pPr>
      <w:r>
        <w:rPr>
          <w:b/>
          <w:bCs/>
          <w:lang w:val="en-US"/>
        </w:rPr>
        <w:t xml:space="preserve">Proposal 2: The maximum system bandwidth for NR proposes to be 320 </w:t>
      </w:r>
      <w:proofErr w:type="spellStart"/>
      <w:r>
        <w:rPr>
          <w:b/>
          <w:bCs/>
          <w:lang w:val="en-US"/>
        </w:rPr>
        <w:t>MHz.</w:t>
      </w:r>
      <w:proofErr w:type="spellEnd"/>
      <w:r>
        <w:rPr>
          <w:b/>
          <w:bCs/>
          <w:lang w:val="en-US"/>
        </w:rPr>
        <w:t xml:space="preserve">  </w:t>
      </w:r>
    </w:p>
    <w:p w:rsidR="001C1622" w:rsidRDefault="001C1622" w:rsidP="00BD7CBC">
      <w:pPr>
        <w:pStyle w:val="maintext"/>
        <w:spacing w:before="0" w:after="0" w:line="240" w:lineRule="auto"/>
        <w:ind w:firstLineChars="0" w:firstLine="0"/>
        <w:rPr>
          <w:b/>
          <w:bCs/>
          <w:lang w:val="en-US"/>
        </w:rPr>
      </w:pPr>
    </w:p>
    <w:p w:rsidR="001C1622" w:rsidRPr="001C1622" w:rsidRDefault="001C1622" w:rsidP="00BD7CBC">
      <w:pPr>
        <w:pStyle w:val="maintext"/>
        <w:spacing w:before="0" w:after="0" w:line="240" w:lineRule="auto"/>
        <w:ind w:firstLineChars="0" w:firstLine="0"/>
        <w:rPr>
          <w:bCs/>
          <w:lang w:val="en-US"/>
        </w:rPr>
      </w:pPr>
      <w:r>
        <w:rPr>
          <w:bCs/>
          <w:lang w:val="en-US"/>
        </w:rPr>
        <w:t xml:space="preserve">To support operation of 1 GHz contiguous spectrum with 320 MHz maximum system bandwidth in NR, multiple carrier aggregations need to be supported similar to CA in LTE.   The aggregated carriers could be co-located or non-co-located.  The </w:t>
      </w:r>
      <w:r w:rsidR="00926143">
        <w:rPr>
          <w:bCs/>
          <w:lang w:val="en-US"/>
        </w:rPr>
        <w:t xml:space="preserve">multi-carrier operation could also be independent among nodes similar to LTE dual connectivity.   The configuration of a NR cell could consist of multiple TRPs with TRP configured with multi-beams as shown in </w:t>
      </w:r>
      <w:r w:rsidR="00926143">
        <w:rPr>
          <w:bCs/>
          <w:lang w:val="en-US"/>
        </w:rPr>
        <w:fldChar w:fldCharType="begin"/>
      </w:r>
      <w:r w:rsidR="00926143">
        <w:rPr>
          <w:bCs/>
          <w:lang w:val="en-US"/>
        </w:rPr>
        <w:instrText xml:space="preserve"> REF _Ref466068131 \h </w:instrText>
      </w:r>
      <w:r w:rsidR="00926143">
        <w:rPr>
          <w:bCs/>
          <w:lang w:val="en-US"/>
        </w:rPr>
      </w:r>
      <w:r w:rsidR="00926143">
        <w:rPr>
          <w:bCs/>
          <w:lang w:val="en-US"/>
        </w:rPr>
        <w:fldChar w:fldCharType="separate"/>
      </w:r>
      <w:r w:rsidR="00926143">
        <w:t xml:space="preserve">Figure </w:t>
      </w:r>
      <w:r w:rsidR="00926143">
        <w:rPr>
          <w:noProof/>
        </w:rPr>
        <w:t>1</w:t>
      </w:r>
      <w:r w:rsidR="00926143">
        <w:rPr>
          <w:bCs/>
          <w:lang w:val="en-US"/>
        </w:rPr>
        <w:fldChar w:fldCharType="end"/>
      </w:r>
      <w:r w:rsidR="00926143">
        <w:rPr>
          <w:bCs/>
          <w:lang w:val="en-US"/>
        </w:rPr>
        <w:t>.  Multi-carrier operation could be aggregated in a TRP, which all carriers could be configured and reused at each beam or distributed among beams in multi-beam configuration.    Multiple carriers could also be aggregated among TRPs within a cell with per carrier scheduling or cross-carrier scheduling.   Multiple carrier</w:t>
      </w:r>
      <w:r w:rsidR="00F5121A">
        <w:rPr>
          <w:bCs/>
          <w:lang w:val="en-US"/>
        </w:rPr>
        <w:t>s</w:t>
      </w:r>
      <w:r w:rsidR="00926143">
        <w:rPr>
          <w:bCs/>
          <w:lang w:val="en-US"/>
        </w:rPr>
        <w:t xml:space="preserve"> could be independent operated with dual connectivity.     Thus, </w:t>
      </w:r>
      <w:r w:rsidR="00F5121A">
        <w:rPr>
          <w:bCs/>
          <w:lang w:val="en-US"/>
        </w:rPr>
        <w:t>flexible</w:t>
      </w:r>
      <w:r w:rsidR="00E47430">
        <w:rPr>
          <w:bCs/>
          <w:lang w:val="en-US"/>
        </w:rPr>
        <w:t xml:space="preserve"> </w:t>
      </w:r>
      <w:r w:rsidR="00F5121A">
        <w:rPr>
          <w:bCs/>
          <w:lang w:val="en-US"/>
        </w:rPr>
        <w:t>aggregation</w:t>
      </w:r>
      <w:r w:rsidR="00E47430">
        <w:rPr>
          <w:bCs/>
          <w:lang w:val="en-US"/>
        </w:rPr>
        <w:t xml:space="preserve"> and configuration</w:t>
      </w:r>
      <w:r w:rsidR="00F5121A">
        <w:rPr>
          <w:bCs/>
          <w:lang w:val="en-US"/>
        </w:rPr>
        <w:t xml:space="preserve"> of multiple </w:t>
      </w:r>
      <w:r w:rsidR="00E47430">
        <w:rPr>
          <w:bCs/>
          <w:lang w:val="en-US"/>
        </w:rPr>
        <w:t xml:space="preserve">NR </w:t>
      </w:r>
      <w:r w:rsidR="00F5121A">
        <w:rPr>
          <w:bCs/>
          <w:lang w:val="en-US"/>
        </w:rPr>
        <w:t>carriers</w:t>
      </w:r>
      <w:r w:rsidR="00E47430">
        <w:rPr>
          <w:bCs/>
          <w:lang w:val="en-US"/>
        </w:rPr>
        <w:t xml:space="preserve"> </w:t>
      </w:r>
      <w:r w:rsidR="00F5121A">
        <w:rPr>
          <w:bCs/>
          <w:lang w:val="en-US"/>
        </w:rPr>
        <w:t xml:space="preserve">are required to support the operation of 1 GHz contiguous </w:t>
      </w:r>
      <w:r w:rsidR="00E47430">
        <w:rPr>
          <w:bCs/>
          <w:lang w:val="en-US"/>
        </w:rPr>
        <w:t xml:space="preserve">spectrum in different deployment scenarios.  </w:t>
      </w:r>
    </w:p>
    <w:p w:rsidR="001C1622" w:rsidRDefault="001C1622"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F5121A" w:rsidRDefault="00E47430" w:rsidP="00BD7CBC">
      <w:pPr>
        <w:pStyle w:val="maintext"/>
        <w:spacing w:before="0" w:after="0" w:line="240" w:lineRule="auto"/>
        <w:ind w:firstLineChars="0" w:firstLine="0"/>
        <w:rPr>
          <w:b/>
          <w:bCs/>
          <w:lang w:val="en-US"/>
        </w:rPr>
      </w:pPr>
      <w:r>
        <w:rPr>
          <w:b/>
          <w:bCs/>
          <w:lang w:val="en-US"/>
        </w:rPr>
        <w:t xml:space="preserve">Proposal 3: Flexible aggregation and configuration of multiplex NR carriers are required to support operation of 1GHz contiguous spectrum in different deployment scenarios.   </w:t>
      </w:r>
    </w:p>
    <w:p w:rsidR="00E47430" w:rsidRDefault="00E47430" w:rsidP="00BD7CBC">
      <w:pPr>
        <w:pStyle w:val="maintext"/>
        <w:spacing w:before="0" w:after="0" w:line="240" w:lineRule="auto"/>
        <w:ind w:firstLineChars="0" w:firstLine="0"/>
        <w:rPr>
          <w:b/>
          <w:bCs/>
          <w:lang w:val="en-US"/>
        </w:rPr>
      </w:pPr>
    </w:p>
    <w:p w:rsidR="00E47430" w:rsidRDefault="00E47430"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926143" w:rsidRDefault="00926143" w:rsidP="00926143">
      <w:pPr>
        <w:pStyle w:val="maintext"/>
        <w:keepNext/>
        <w:spacing w:before="0" w:after="0" w:line="240" w:lineRule="auto"/>
        <w:ind w:firstLineChars="0" w:firstLine="0"/>
        <w:jc w:val="center"/>
      </w:pPr>
      <w:r w:rsidRPr="00926143">
        <w:rPr>
          <w:b/>
          <w:bCs/>
          <w:lang w:val="en-US"/>
        </w:rPr>
        <w:drawing>
          <wp:inline distT="0" distB="0" distL="0" distR="0">
            <wp:extent cx="4783541" cy="145756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84208" cy="1457770"/>
                    </a:xfrm>
                    <a:prstGeom prst="rect">
                      <a:avLst/>
                    </a:prstGeom>
                    <a:noFill/>
                    <a:ln w="9525">
                      <a:noFill/>
                      <a:miter lim="800000"/>
                      <a:headEnd/>
                      <a:tailEnd/>
                    </a:ln>
                  </pic:spPr>
                </pic:pic>
              </a:graphicData>
            </a:graphic>
          </wp:inline>
        </w:drawing>
      </w:r>
    </w:p>
    <w:p w:rsidR="00926143" w:rsidRDefault="00926143" w:rsidP="00926143">
      <w:pPr>
        <w:pStyle w:val="af9"/>
        <w:rPr>
          <w:b w:val="0"/>
          <w:bCs w:val="0"/>
          <w:lang w:val="en-US"/>
        </w:rPr>
      </w:pPr>
      <w:bookmarkStart w:id="0" w:name="_Ref466068131"/>
      <w:r>
        <w:t xml:space="preserve">Figure </w:t>
      </w:r>
      <w:fldSimple w:instr=" SEQ Figure \* ARABIC ">
        <w:r>
          <w:t>1</w:t>
        </w:r>
      </w:fldSimple>
      <w:bookmarkEnd w:id="0"/>
      <w:r>
        <w:t>: NR cell with multiple TRPs and multi-beam configuraitons.</w:t>
      </w:r>
    </w:p>
    <w:p w:rsidR="00926143" w:rsidRDefault="00926143"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0859B2" w:rsidRPr="001D1EC3" w:rsidRDefault="000859B2" w:rsidP="00200DCD">
      <w:pPr>
        <w:pStyle w:val="1"/>
      </w:pPr>
      <w:r>
        <w:t>Conclusion</w:t>
      </w:r>
    </w:p>
    <w:p w:rsidR="00E42762" w:rsidRDefault="00380740" w:rsidP="00E42762">
      <w:r>
        <w:t>Thi</w:t>
      </w:r>
      <w:r w:rsidR="00E42762">
        <w:t>s paper discusse</w:t>
      </w:r>
      <w:r w:rsidR="00E47430">
        <w:t>s the consideration of maximum system b</w:t>
      </w:r>
      <w:r w:rsidR="005746F8">
        <w:t>andwidth</w:t>
      </w:r>
      <w:r w:rsidR="00E47430">
        <w:t xml:space="preserve"> supported by NR and the operation of 1GHz contiguous spectrum in different deployment scenarios.   We propose the following, </w:t>
      </w:r>
      <w:r w:rsidR="00E42762">
        <w:t xml:space="preserve"> </w:t>
      </w:r>
      <w:r w:rsidR="00D42529">
        <w:t xml:space="preserve"> </w:t>
      </w:r>
    </w:p>
    <w:p w:rsidR="00E47430" w:rsidRDefault="00E42762" w:rsidP="005746F8">
      <w:pPr>
        <w:pStyle w:val="maintext"/>
        <w:numPr>
          <w:ilvl w:val="0"/>
          <w:numId w:val="38"/>
        </w:numPr>
        <w:spacing w:before="0" w:after="0" w:line="240" w:lineRule="auto"/>
        <w:ind w:firstLineChars="0"/>
      </w:pPr>
      <w:r w:rsidRPr="00E42762">
        <w:t>Proposal 1:</w:t>
      </w:r>
      <w:r w:rsidR="00E47430" w:rsidRPr="00E47430">
        <w:t xml:space="preserve"> The maximum system bandwidth should be determined with the consideration of the cost-effective hardware design in signal processing and performance</w:t>
      </w:r>
      <w:r w:rsidRPr="00E42762">
        <w:t xml:space="preserve"> </w:t>
      </w:r>
    </w:p>
    <w:p w:rsidR="00E47430" w:rsidRDefault="00E47430" w:rsidP="005746F8">
      <w:pPr>
        <w:pStyle w:val="maintext"/>
        <w:numPr>
          <w:ilvl w:val="0"/>
          <w:numId w:val="38"/>
        </w:numPr>
        <w:spacing w:before="0" w:after="0" w:line="240" w:lineRule="auto"/>
        <w:ind w:firstLineChars="0"/>
      </w:pPr>
      <w:r>
        <w:t xml:space="preserve">Proposal 2: </w:t>
      </w:r>
      <w:r w:rsidRPr="00E47430">
        <w:t xml:space="preserve">The maximum system bandwidth for NR proposes to be 320 </w:t>
      </w:r>
      <w:proofErr w:type="spellStart"/>
      <w:r w:rsidRPr="00E47430">
        <w:t>MHz.</w:t>
      </w:r>
      <w:proofErr w:type="spellEnd"/>
      <w:r w:rsidRPr="00E47430">
        <w:t xml:space="preserve">  </w:t>
      </w:r>
    </w:p>
    <w:p w:rsidR="00F42B0B" w:rsidRPr="005B2B85" w:rsidRDefault="00E47430" w:rsidP="00086ACB">
      <w:pPr>
        <w:pStyle w:val="maintext"/>
        <w:numPr>
          <w:ilvl w:val="0"/>
          <w:numId w:val="38"/>
        </w:numPr>
        <w:spacing w:before="0" w:after="0" w:line="240" w:lineRule="auto"/>
        <w:ind w:firstLineChars="0"/>
      </w:pPr>
      <w:r>
        <w:lastRenderedPageBreak/>
        <w:t xml:space="preserve">Proposal 3: </w:t>
      </w:r>
      <w:r w:rsidRPr="00E47430">
        <w:t xml:space="preserve">Flexible aggregation and configuration of multiplex NR carriers are required to support operation of 1GHz contiguous spectrum in different deployment scenarios.   </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C95356" w:rsidRPr="00C95356" w:rsidRDefault="00C95356" w:rsidP="00C95356">
      <w:pPr>
        <w:pStyle w:val="afa"/>
        <w:numPr>
          <w:ilvl w:val="0"/>
          <w:numId w:val="6"/>
        </w:numPr>
        <w:rPr>
          <w:rFonts w:eastAsia="MS Mincho"/>
          <w:sz w:val="20"/>
          <w:szCs w:val="20"/>
        </w:rPr>
      </w:pPr>
      <w:r w:rsidRPr="00C95356">
        <w:rPr>
          <w:rFonts w:eastAsia="MS Mincho"/>
          <w:sz w:val="20"/>
          <w:szCs w:val="20"/>
        </w:rPr>
        <w:t>R1-1610488</w:t>
      </w:r>
      <w:r>
        <w:rPr>
          <w:rFonts w:eastAsia="MS Mincho"/>
          <w:sz w:val="20"/>
          <w:szCs w:val="20"/>
        </w:rPr>
        <w:t>, “</w:t>
      </w:r>
      <w:r w:rsidRPr="00C95356">
        <w:rPr>
          <w:rFonts w:eastAsia="MS Mincho"/>
          <w:sz w:val="20"/>
          <w:szCs w:val="20"/>
          <w:lang w:val="nn-NO"/>
        </w:rPr>
        <w:t>WF on Wider BW Operation for NR</w:t>
      </w:r>
      <w:r>
        <w:rPr>
          <w:rFonts w:eastAsia="MS Mincho"/>
          <w:sz w:val="20"/>
          <w:szCs w:val="20"/>
          <w:lang w:val="nn-NO"/>
        </w:rPr>
        <w:t xml:space="preserve">”, </w:t>
      </w:r>
      <w:r w:rsidRPr="00C95356">
        <w:rPr>
          <w:rFonts w:eastAsia="MS Mincho" w:hint="eastAsia"/>
          <w:sz w:val="20"/>
          <w:szCs w:val="20"/>
          <w:lang w:val="nn-NO"/>
        </w:rPr>
        <w:t>NTT DOCOMO, AT&amp;T</w:t>
      </w:r>
    </w:p>
    <w:p w:rsidR="00C95356" w:rsidRPr="00C95356" w:rsidRDefault="00C95356" w:rsidP="00C95356">
      <w:pPr>
        <w:pStyle w:val="afa"/>
        <w:numPr>
          <w:ilvl w:val="0"/>
          <w:numId w:val="6"/>
        </w:numPr>
        <w:rPr>
          <w:rFonts w:eastAsia="MS Mincho"/>
          <w:sz w:val="20"/>
          <w:szCs w:val="20"/>
        </w:rPr>
      </w:pPr>
      <w:r w:rsidRPr="00C95356">
        <w:rPr>
          <w:rFonts w:eastAsia="MS Mincho"/>
          <w:sz w:val="20"/>
          <w:szCs w:val="20"/>
        </w:rPr>
        <w:t>R1-1610953</w:t>
      </w:r>
      <w:r>
        <w:rPr>
          <w:rFonts w:eastAsia="MS Mincho"/>
          <w:sz w:val="20"/>
          <w:szCs w:val="20"/>
        </w:rPr>
        <w:t>, “</w:t>
      </w:r>
      <w:r w:rsidRPr="00C95356">
        <w:rPr>
          <w:rFonts w:eastAsia="MS Mincho"/>
          <w:sz w:val="20"/>
          <w:szCs w:val="20"/>
        </w:rPr>
        <w:t>WF on carrier aggregation</w:t>
      </w:r>
      <w:r>
        <w:rPr>
          <w:rFonts w:eastAsia="MS Mincho"/>
          <w:sz w:val="20"/>
          <w:szCs w:val="20"/>
        </w:rPr>
        <w:t xml:space="preserve">”, </w:t>
      </w:r>
      <w:r w:rsidRPr="00C95356">
        <w:rPr>
          <w:rFonts w:eastAsia="MS Mincho"/>
          <w:sz w:val="20"/>
          <w:szCs w:val="20"/>
        </w:rPr>
        <w:t xml:space="preserve"> </w:t>
      </w:r>
      <w:proofErr w:type="spellStart"/>
      <w:r w:rsidRPr="00C95356">
        <w:rPr>
          <w:rFonts w:eastAsia="MS Mincho"/>
          <w:sz w:val="20"/>
          <w:szCs w:val="20"/>
        </w:rPr>
        <w:t>Huawei</w:t>
      </w:r>
      <w:proofErr w:type="spellEnd"/>
      <w:r w:rsidRPr="00C95356">
        <w:rPr>
          <w:rFonts w:eastAsia="MS Mincho"/>
          <w:sz w:val="20"/>
          <w:szCs w:val="20"/>
        </w:rPr>
        <w:t xml:space="preserve">, </w:t>
      </w:r>
      <w:proofErr w:type="spellStart"/>
      <w:r w:rsidRPr="00C95356">
        <w:rPr>
          <w:rFonts w:eastAsia="MS Mincho"/>
          <w:sz w:val="20"/>
          <w:szCs w:val="20"/>
        </w:rPr>
        <w:t>HiSilicon</w:t>
      </w:r>
      <w:proofErr w:type="spellEnd"/>
      <w:r w:rsidRPr="00C95356">
        <w:rPr>
          <w:rFonts w:eastAsia="MS Mincho"/>
          <w:sz w:val="20"/>
          <w:szCs w:val="20"/>
        </w:rPr>
        <w:t>, Nokia, Alcatel-Lucent Shanghai Bell, NTT DOCOMO, Qualcomm, ZTE</w:t>
      </w: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656" w:rsidRDefault="00C87656" w:rsidP="00086ACB">
      <w:r>
        <w:separator/>
      </w:r>
    </w:p>
  </w:endnote>
  <w:endnote w:type="continuationSeparator" w:id="0">
    <w:p w:rsidR="00C87656" w:rsidRDefault="00C87656"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E5C3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E5C3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E47430">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656" w:rsidRDefault="00C87656" w:rsidP="00086ACB">
      <w:r>
        <w:separator/>
      </w:r>
    </w:p>
  </w:footnote>
  <w:footnote w:type="continuationSeparator" w:id="0">
    <w:p w:rsidR="00C87656" w:rsidRDefault="00C8765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8">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9">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EE491C"/>
    <w:multiLevelType w:val="hybridMultilevel"/>
    <w:tmpl w:val="6402219E"/>
    <w:lvl w:ilvl="0" w:tplc="1612F654">
      <w:start w:val="1"/>
      <w:numFmt w:val="decimal"/>
      <w:pStyle w:val="1"/>
      <w:lvlText w:val="%1."/>
      <w:lvlJc w:val="left"/>
      <w:pPr>
        <w:ind w:left="720" w:hanging="360"/>
      </w:pPr>
      <w:rPr>
        <w:rFonts w:ascii="Times New Roman" w:hAnsi="Times New Roman" w:hint="default"/>
        <w:b/>
        <w:i w:val="0"/>
        <w:color w:val="auto"/>
        <w:sz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0"/>
  </w:num>
  <w:num w:numId="2">
    <w:abstractNumId w:val="32"/>
  </w:num>
  <w:num w:numId="3">
    <w:abstractNumId w:val="30"/>
  </w:num>
  <w:num w:numId="4">
    <w:abstractNumId w:val="12"/>
  </w:num>
  <w:num w:numId="5">
    <w:abstractNumId w:val="21"/>
  </w:num>
  <w:num w:numId="6">
    <w:abstractNumId w:val="14"/>
  </w:num>
  <w:num w:numId="7">
    <w:abstractNumId w:val="34"/>
  </w:num>
  <w:num w:numId="8">
    <w:abstractNumId w:val="35"/>
  </w:num>
  <w:num w:numId="9">
    <w:abstractNumId w:val="16"/>
  </w:num>
  <w:num w:numId="10">
    <w:abstractNumId w:val="20"/>
  </w:num>
  <w:num w:numId="11">
    <w:abstractNumId w:val="18"/>
  </w:num>
  <w:num w:numId="12">
    <w:abstractNumId w:val="9"/>
  </w:num>
  <w:num w:numId="13">
    <w:abstractNumId w:val="24"/>
  </w:num>
  <w:num w:numId="14">
    <w:abstractNumId w:val="15"/>
  </w:num>
  <w:num w:numId="15">
    <w:abstractNumId w:val="39"/>
  </w:num>
  <w:num w:numId="16">
    <w:abstractNumId w:val="7"/>
  </w:num>
  <w:num w:numId="17">
    <w:abstractNumId w:val="25"/>
  </w:num>
  <w:num w:numId="18">
    <w:abstractNumId w:val="8"/>
  </w:num>
  <w:num w:numId="19">
    <w:abstractNumId w:val="0"/>
  </w:num>
  <w:num w:numId="20">
    <w:abstractNumId w:val="2"/>
  </w:num>
  <w:num w:numId="21">
    <w:abstractNumId w:val="26"/>
  </w:num>
  <w:num w:numId="22">
    <w:abstractNumId w:val="29"/>
  </w:num>
  <w:num w:numId="23">
    <w:abstractNumId w:val="10"/>
  </w:num>
  <w:num w:numId="24">
    <w:abstractNumId w:val="6"/>
  </w:num>
  <w:num w:numId="25">
    <w:abstractNumId w:val="17"/>
  </w:num>
  <w:num w:numId="26">
    <w:abstractNumId w:val="28"/>
  </w:num>
  <w:num w:numId="27">
    <w:abstractNumId w:val="13"/>
  </w:num>
  <w:num w:numId="28">
    <w:abstractNumId w:val="5"/>
  </w:num>
  <w:num w:numId="29">
    <w:abstractNumId w:val="11"/>
  </w:num>
  <w:num w:numId="30">
    <w:abstractNumId w:val="36"/>
  </w:num>
  <w:num w:numId="31">
    <w:abstractNumId w:val="4"/>
  </w:num>
  <w:num w:numId="32">
    <w:abstractNumId w:val="38"/>
  </w:num>
  <w:num w:numId="33">
    <w:abstractNumId w:val="27"/>
  </w:num>
  <w:num w:numId="34">
    <w:abstractNumId w:val="19"/>
  </w:num>
  <w:num w:numId="35">
    <w:abstractNumId w:val="1"/>
  </w:num>
  <w:num w:numId="36">
    <w:abstractNumId w:val="31"/>
  </w:num>
  <w:num w:numId="37">
    <w:abstractNumId w:val="3"/>
  </w:num>
  <w:num w:numId="38">
    <w:abstractNumId w:val="37"/>
  </w:num>
  <w:num w:numId="39">
    <w:abstractNumId w:val="22"/>
  </w:num>
  <w:num w:numId="40">
    <w:abstractNumId w:val="33"/>
  </w:num>
  <w:num w:numId="41">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113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4645"/>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2EE8"/>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622"/>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4DE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1D5"/>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7B"/>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57745"/>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743"/>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5C35"/>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6E"/>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143"/>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2E98"/>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CBC"/>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656"/>
    <w:rsid w:val="00C87E97"/>
    <w:rsid w:val="00C87EC8"/>
    <w:rsid w:val="00C91CB1"/>
    <w:rsid w:val="00C92854"/>
    <w:rsid w:val="00C93FA1"/>
    <w:rsid w:val="00C94363"/>
    <w:rsid w:val="00C94470"/>
    <w:rsid w:val="00C95356"/>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97B94"/>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47430"/>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36B7"/>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21A"/>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717"/>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6C81"/>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113B90A-37E2-4108-AA02-2CFEC5CCB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1778</TotalTime>
  <Pages>3</Pages>
  <Words>910</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52</cp:revision>
  <cp:lastPrinted>2006-02-09T13:55:00Z</cp:lastPrinted>
  <dcterms:created xsi:type="dcterms:W3CDTF">2016-04-01T07:08:00Z</dcterms:created>
  <dcterms:modified xsi:type="dcterms:W3CDTF">2016-11-05T04:26:00Z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