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321" w:rsidRPr="00C27D00" w:rsidRDefault="005A2321" w:rsidP="005A2321">
      <w:pPr>
        <w:tabs>
          <w:tab w:val="right" w:pos="9360"/>
        </w:tabs>
        <w:spacing w:after="60"/>
        <w:jc w:val="both"/>
        <w:rPr>
          <w:rFonts w:ascii="Arial" w:hAnsi="Arial" w:cs="Arial"/>
          <w:b/>
          <w:i/>
          <w:sz w:val="24"/>
          <w:lang w:eastAsia="zh-CN"/>
        </w:rPr>
      </w:pPr>
      <w:bookmarkStart w:id="0" w:name="OLE_LINK6"/>
      <w:bookmarkStart w:id="1" w:name="OLE_LINK7"/>
      <w:r>
        <w:rPr>
          <w:rFonts w:ascii="Arial" w:hAnsi="Arial" w:cs="Arial"/>
          <w:b/>
          <w:sz w:val="24"/>
        </w:rPr>
        <w:t xml:space="preserve">3GPP TSG RAN WG1 Meeting #86bis                                                              </w:t>
      </w:r>
      <w:r w:rsidRPr="00932A88">
        <w:rPr>
          <w:rFonts w:ascii="Arial" w:hAnsi="Arial" w:cs="Arial"/>
          <w:b/>
          <w:sz w:val="24"/>
        </w:rPr>
        <w:tab/>
      </w:r>
      <w:r>
        <w:rPr>
          <w:rFonts w:ascii="Arial" w:hAnsi="Arial" w:cs="Arial"/>
          <w:b/>
          <w:sz w:val="24"/>
        </w:rPr>
        <w:t xml:space="preserve">    </w:t>
      </w:r>
      <w:r w:rsidRPr="000C7C01">
        <w:rPr>
          <w:rFonts w:ascii="Arial" w:hAnsi="Arial" w:cs="Arial"/>
          <w:b/>
          <w:sz w:val="24"/>
        </w:rPr>
        <w:t>R1-</w:t>
      </w:r>
      <w:r>
        <w:rPr>
          <w:rFonts w:ascii="Arial" w:hAnsi="Arial" w:cs="Arial"/>
          <w:b/>
          <w:sz w:val="24"/>
          <w:lang w:eastAsia="zh-CN"/>
        </w:rPr>
        <w:t>1609511</w:t>
      </w:r>
    </w:p>
    <w:p w:rsidR="005A2321" w:rsidRPr="00FC27AE" w:rsidRDefault="005A2321" w:rsidP="005A2321">
      <w:pPr>
        <w:rPr>
          <w:rFonts w:ascii="Arial" w:hAnsi="Arial" w:cs="Arial"/>
          <w:b/>
          <w:sz w:val="24"/>
        </w:rPr>
      </w:pPr>
      <w:r>
        <w:rPr>
          <w:rFonts w:ascii="Arial" w:hAnsi="Arial" w:cs="Arial"/>
          <w:b/>
          <w:sz w:val="24"/>
        </w:rPr>
        <w:t>Lisbon Portugal 10-14 October 2016</w:t>
      </w:r>
      <w:r w:rsidRPr="001A5D6F">
        <w:rPr>
          <w:rFonts w:ascii="Arial" w:hAnsi="Arial" w:cs="Arial"/>
          <w:b/>
          <w:sz w:val="24"/>
        </w:rPr>
        <w:t> </w:t>
      </w:r>
      <w:r>
        <w:rPr>
          <w:rFonts w:ascii="Arial" w:hAnsi="Arial" w:cs="Arial"/>
          <w:b/>
          <w:sz w:val="24"/>
        </w:rPr>
        <w:t xml:space="preserve"> </w:t>
      </w:r>
    </w:p>
    <w:p w:rsidR="005A2321" w:rsidRPr="00071477" w:rsidRDefault="005A2321" w:rsidP="005A2321">
      <w:pPr>
        <w:tabs>
          <w:tab w:val="left" w:pos="1985"/>
        </w:tabs>
        <w:spacing w:before="360" w:after="8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Pr>
          <w:rFonts w:ascii="Arial" w:hAnsi="Arial"/>
          <w:b/>
          <w:sz w:val="24"/>
        </w:rPr>
        <w:t>8.1.3.1</w:t>
      </w:r>
    </w:p>
    <w:p w:rsidR="005A2321" w:rsidRPr="00071477" w:rsidRDefault="005A2321" w:rsidP="005A2321">
      <w:pPr>
        <w:tabs>
          <w:tab w:val="left" w:pos="1985"/>
        </w:tabs>
        <w:spacing w:after="8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5A2321" w:rsidRPr="00221B21" w:rsidRDefault="005A2321" w:rsidP="005A2321">
      <w:pPr>
        <w:spacing w:after="80"/>
        <w:ind w:left="1988" w:hanging="1988"/>
        <w:rPr>
          <w:rFonts w:ascii="Arial" w:hAnsi="Arial"/>
          <w:b/>
          <w:sz w:val="24"/>
          <w:lang w:val="en-US"/>
        </w:rPr>
      </w:pPr>
      <w:r w:rsidRPr="007726F2">
        <w:rPr>
          <w:rFonts w:ascii="Arial" w:hAnsi="Arial"/>
          <w:b/>
          <w:sz w:val="24"/>
        </w:rPr>
        <w:t xml:space="preserve">Title: </w:t>
      </w:r>
      <w:r w:rsidRPr="007726F2">
        <w:rPr>
          <w:rFonts w:ascii="Arial" w:hAnsi="Arial"/>
          <w:b/>
          <w:sz w:val="24"/>
        </w:rPr>
        <w:tab/>
      </w:r>
      <w:r>
        <w:rPr>
          <w:rFonts w:ascii="Arial" w:hAnsi="Arial"/>
          <w:b/>
          <w:sz w:val="24"/>
        </w:rPr>
        <w:t>Discussion on Data channel coding scheme for NR</w:t>
      </w:r>
    </w:p>
    <w:p w:rsidR="005A2321" w:rsidRPr="001A5D6F" w:rsidRDefault="005A2321" w:rsidP="005A2321">
      <w:pPr>
        <w:pBdr>
          <w:bottom w:val="single" w:sz="12" w:space="1" w:color="auto"/>
        </w:pBdr>
        <w:spacing w:after="240" w:line="360" w:lineRule="auto"/>
        <w:ind w:left="711" w:hangingChars="295" w:hanging="711"/>
        <w:rPr>
          <w:rFonts w:ascii="Arial" w:hAnsi="Arial" w:cs="Arial"/>
          <w:snapToGrid w:val="0"/>
          <w:sz w:val="14"/>
        </w:rPr>
      </w:pPr>
      <w:r w:rsidRPr="001A5D6F">
        <w:rPr>
          <w:rFonts w:ascii="Arial" w:hAnsi="Arial"/>
          <w:b/>
          <w:sz w:val="24"/>
        </w:rPr>
        <w:t>Document for:</w:t>
      </w:r>
      <w:r w:rsidRPr="00071477">
        <w:rPr>
          <w:rFonts w:ascii="Arial" w:hAnsi="Arial"/>
          <w:b/>
          <w:sz w:val="24"/>
        </w:rPr>
        <w:tab/>
      </w:r>
      <w:bookmarkStart w:id="3" w:name="DocumentFor"/>
      <w:bookmarkEnd w:id="3"/>
      <w:r>
        <w:rPr>
          <w:rFonts w:ascii="Arial" w:hAnsi="Arial"/>
          <w:b/>
          <w:sz w:val="24"/>
        </w:rPr>
        <w:t>Discussion</w:t>
      </w:r>
    </w:p>
    <w:p w:rsidR="005A2321" w:rsidRPr="005E72BE" w:rsidRDefault="005A2321" w:rsidP="005A2321">
      <w:pPr>
        <w:pStyle w:val="LGTdoc1"/>
        <w:numPr>
          <w:ilvl w:val="0"/>
          <w:numId w:val="1"/>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5A2321" w:rsidRDefault="005A2321" w:rsidP="005A2321">
      <w:pPr>
        <w:tabs>
          <w:tab w:val="left" w:pos="-900"/>
          <w:tab w:val="left" w:pos="-300"/>
          <w:tab w:val="left" w:pos="720"/>
        </w:tabs>
        <w:spacing w:after="60"/>
        <w:jc w:val="both"/>
        <w:rPr>
          <w:spacing w:val="6"/>
        </w:rPr>
      </w:pPr>
      <w:r>
        <w:rPr>
          <w:spacing w:val="6"/>
        </w:rPr>
        <w:t xml:space="preserve">In last meeting, we provide our view of the several channel coding candidates for EMBB data channel (including Turbo/LDPC/Polar). We address the remaining aspects raised for LDPC from last meeting which were mainly flexibility and related implementation aspects. </w:t>
      </w:r>
    </w:p>
    <w:p w:rsidR="005A2321" w:rsidRPr="005E72BE" w:rsidRDefault="005A2321" w:rsidP="005A2321">
      <w:pPr>
        <w:pStyle w:val="LGTdoc1"/>
        <w:numPr>
          <w:ilvl w:val="0"/>
          <w:numId w:val="1"/>
        </w:numPr>
        <w:spacing w:beforeLines="0" w:before="240" w:after="120" w:afterAutospacing="0"/>
        <w:ind w:left="432" w:hanging="432"/>
        <w:rPr>
          <w:rFonts w:ascii="Arial" w:hAnsi="Arial" w:cs="Arial"/>
          <w:lang w:val="en-US"/>
        </w:rPr>
      </w:pPr>
      <w:r>
        <w:rPr>
          <w:rFonts w:ascii="Arial" w:hAnsi="Arial" w:cs="Arial"/>
          <w:lang w:val="en-US"/>
        </w:rPr>
        <w:t>LDPC coding scheme overview</w:t>
      </w:r>
    </w:p>
    <w:p w:rsidR="005A2321" w:rsidRDefault="005A2321" w:rsidP="005A2321">
      <w:pPr>
        <w:tabs>
          <w:tab w:val="left" w:pos="-900"/>
          <w:tab w:val="left" w:pos="-300"/>
        </w:tabs>
        <w:spacing w:after="60"/>
        <w:jc w:val="both"/>
        <w:rPr>
          <w:lang w:val="en-US"/>
        </w:rPr>
      </w:pPr>
      <w:r>
        <w:rPr>
          <w:lang w:val="en-US"/>
        </w:rPr>
        <w:t xml:space="preserve">In past RAN1 meetings, one observation that was agreed was that for AWGN channels and large block sizes, the three coding schemes (turbo/LDPC/Polar) have comparable link performance. In our past contribution (in [1]), we compared the three coding schemes (Turbo, Polar and LDPC) based on the available implementation references, and it demonstrated that LDPC can offer the best throughput/area tradeoff amongst the three candidates. </w:t>
      </w:r>
    </w:p>
    <w:p w:rsidR="005A2321" w:rsidRDefault="005A2321" w:rsidP="005A2321">
      <w:pPr>
        <w:pStyle w:val="LGTdoc1"/>
        <w:spacing w:beforeLines="0" w:before="120" w:after="120" w:afterAutospacing="0"/>
        <w:rPr>
          <w:b w:val="0"/>
          <w:sz w:val="20"/>
          <w:lang w:val="en-US"/>
        </w:rPr>
      </w:pPr>
      <w:r>
        <w:rPr>
          <w:b w:val="0"/>
          <w:sz w:val="20"/>
          <w:lang w:val="en-US"/>
        </w:rPr>
        <w:t xml:space="preserve">For LDPC, the published literature is mainly based on 802.11n/802.16e/10G-T standards, where a limited set of block sizes/code rates is supported. Nonetheless, the principles of LDPC code design including IR-extensions and decoder implementations have also matured as has structured LDPC code design, Layered belief propagation with simplified Check Node Update algorithms, and optimizations for flexible block sizes support [2]. </w:t>
      </w:r>
    </w:p>
    <w:p w:rsidR="005A2321" w:rsidRDefault="005A2321" w:rsidP="005A2321">
      <w:pPr>
        <w:pStyle w:val="LGTdoc1"/>
        <w:spacing w:beforeLines="0" w:before="120" w:after="120" w:afterAutospacing="0"/>
        <w:rPr>
          <w:b w:val="0"/>
          <w:sz w:val="20"/>
          <w:lang w:val="en-US"/>
        </w:rPr>
      </w:pPr>
      <w:r>
        <w:rPr>
          <w:b w:val="0"/>
          <w:sz w:val="20"/>
          <w:lang w:val="en-US"/>
        </w:rPr>
        <w:t xml:space="preserve">For the 802.11n LDPC code, the throughput to area ratio is ~3.7 Gbps/sq.mm [4] and it does not support HARQ-IR but does support a coarser set of block sizes and code rates. </w:t>
      </w:r>
    </w:p>
    <w:p w:rsidR="005A2321" w:rsidRDefault="005A2321" w:rsidP="005A2321">
      <w:pPr>
        <w:pStyle w:val="LGTdoc1"/>
        <w:spacing w:beforeLines="0" w:before="120" w:after="120" w:afterAutospacing="0"/>
        <w:rPr>
          <w:b w:val="0"/>
          <w:sz w:val="20"/>
          <w:lang w:val="en-US"/>
        </w:rPr>
      </w:pPr>
      <w:r>
        <w:rPr>
          <w:b w:val="0"/>
          <w:sz w:val="20"/>
          <w:lang w:val="en-US"/>
        </w:rPr>
        <w:t xml:space="preserve">For illustrating the potential of LDPC, we also note the 10G-T standard decoder implementation which deliver a throughput of ~ 47.7 Gbps for one block size/code rate (~ 2048 coded bits,1700 info bits). While the 10G-T is not really a fair comparison with LTE, it shows the feasibility of LDPC achieving and exceeding data rates of tens of Gbps[5]. </w:t>
      </w:r>
    </w:p>
    <w:p w:rsidR="005A2321" w:rsidRDefault="005A2321" w:rsidP="005A2321">
      <w:pPr>
        <w:pStyle w:val="LGTdoc1"/>
        <w:spacing w:beforeLines="0" w:before="120" w:after="120" w:afterAutospacing="0"/>
        <w:rPr>
          <w:b w:val="0"/>
          <w:sz w:val="20"/>
          <w:lang w:val="en-US"/>
        </w:rPr>
      </w:pPr>
      <w:r>
        <w:rPr>
          <w:b w:val="0"/>
          <w:sz w:val="20"/>
          <w:lang w:val="en-US"/>
        </w:rPr>
        <w:t xml:space="preserve">For Polar codes, a wider variety of algorithms are being studied for practical implementations and feasibility. We list one most recent PC implementation from literature in Table 1. The turbo code reference is also included for comparison[3]. </w:t>
      </w:r>
    </w:p>
    <w:p w:rsidR="005A2321" w:rsidRDefault="005A2321" w:rsidP="005A232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w:t>
      </w:r>
      <w:r>
        <w:rPr>
          <w:b w:val="0"/>
        </w:rPr>
        <w:t xml:space="preserve">  </w:t>
      </w:r>
      <w:r>
        <w:t>Summary of Turbo/LDPC/PC implementations from literature.</w:t>
      </w:r>
    </w:p>
    <w:tbl>
      <w:tblPr>
        <w:tblW w:w="9720" w:type="dxa"/>
        <w:tblInd w:w="175" w:type="dxa"/>
        <w:tblLayout w:type="fixed"/>
        <w:tblLook w:val="04A0" w:firstRow="1" w:lastRow="0" w:firstColumn="1" w:lastColumn="0" w:noHBand="0" w:noVBand="1"/>
      </w:tblPr>
      <w:tblGrid>
        <w:gridCol w:w="750"/>
        <w:gridCol w:w="1390"/>
        <w:gridCol w:w="498"/>
        <w:gridCol w:w="730"/>
        <w:gridCol w:w="1379"/>
        <w:gridCol w:w="816"/>
        <w:gridCol w:w="1061"/>
        <w:gridCol w:w="906"/>
        <w:gridCol w:w="806"/>
        <w:gridCol w:w="744"/>
        <w:gridCol w:w="640"/>
      </w:tblGrid>
      <w:tr w:rsidR="005A2321" w:rsidRPr="005A6D57" w:rsidTr="008450DD">
        <w:trPr>
          <w:trHeight w:val="407"/>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 xml:space="preserve">Code </w:t>
            </w:r>
          </w:p>
        </w:tc>
        <w:tc>
          <w:tcPr>
            <w:tcW w:w="1390"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Reference</w:t>
            </w:r>
          </w:p>
        </w:tc>
        <w:tc>
          <w:tcPr>
            <w:tcW w:w="498"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List</w:t>
            </w:r>
          </w:p>
        </w:tc>
        <w:tc>
          <w:tcPr>
            <w:tcW w:w="730"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CW Len</w:t>
            </w:r>
          </w:p>
        </w:tc>
        <w:tc>
          <w:tcPr>
            <w:tcW w:w="1379"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Rate</w:t>
            </w:r>
          </w:p>
        </w:tc>
        <w:tc>
          <w:tcPr>
            <w:tcW w:w="816"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Proc(nm)</w:t>
            </w:r>
          </w:p>
        </w:tc>
        <w:tc>
          <w:tcPr>
            <w:tcW w:w="1061"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Area(sq.mm)</w:t>
            </w:r>
          </w:p>
        </w:tc>
        <w:tc>
          <w:tcPr>
            <w:tcW w:w="906"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Freq(MHz)</w:t>
            </w:r>
          </w:p>
        </w:tc>
        <w:tc>
          <w:tcPr>
            <w:tcW w:w="806"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TP(Gbps)</w:t>
            </w:r>
          </w:p>
        </w:tc>
        <w:tc>
          <w:tcPr>
            <w:tcW w:w="744"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TP/Area</w:t>
            </w:r>
          </w:p>
        </w:tc>
        <w:tc>
          <w:tcPr>
            <w:tcW w:w="640" w:type="dxa"/>
            <w:tcBorders>
              <w:top w:val="single" w:sz="4" w:space="0" w:color="auto"/>
              <w:left w:val="nil"/>
              <w:bottom w:val="single" w:sz="4" w:space="0" w:color="auto"/>
              <w:right w:val="single" w:sz="4" w:space="0" w:color="auto"/>
            </w:tcBorders>
            <w:shd w:val="clear" w:color="000000" w:fill="9CC2E5"/>
            <w:vAlign w:val="center"/>
            <w:hideMark/>
          </w:tcPr>
          <w:p w:rsidR="005A2321" w:rsidRPr="005A6D57" w:rsidRDefault="005A2321" w:rsidP="008450DD">
            <w:pPr>
              <w:overflowPunct/>
              <w:autoSpaceDE/>
              <w:autoSpaceDN/>
              <w:adjustRightInd/>
              <w:spacing w:after="0"/>
              <w:textAlignment w:val="auto"/>
              <w:rPr>
                <w:rFonts w:ascii="Calibri" w:eastAsia="Times New Roman" w:hAnsi="Calibri"/>
                <w:color w:val="000000"/>
                <w:sz w:val="16"/>
                <w:szCs w:val="16"/>
                <w:lang w:val="en-US"/>
              </w:rPr>
            </w:pPr>
            <w:r w:rsidRPr="005A6D57">
              <w:rPr>
                <w:rFonts w:ascii="Calibri" w:eastAsia="Times New Roman" w:hAnsi="Calibri"/>
                <w:color w:val="000000"/>
                <w:sz w:val="16"/>
                <w:szCs w:val="16"/>
                <w:lang w:val="en-US"/>
              </w:rPr>
              <w:t>Energy(pJ/bit)</w:t>
            </w:r>
          </w:p>
        </w:tc>
      </w:tr>
      <w:tr w:rsidR="005A2321" w:rsidRPr="005A6D57" w:rsidTr="008450DD">
        <w:trPr>
          <w:trHeight w:val="271"/>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Turbo</w:t>
            </w:r>
          </w:p>
        </w:tc>
        <w:tc>
          <w:tcPr>
            <w:tcW w:w="1390"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w:t>
            </w:r>
            <w:r>
              <w:rPr>
                <w:rFonts w:ascii="Calibri" w:eastAsia="Times New Roman" w:hAnsi="Calibri"/>
                <w:bCs/>
                <w:sz w:val="16"/>
                <w:szCs w:val="16"/>
                <w:lang w:val="en-US"/>
              </w:rPr>
              <w:t>3</w:t>
            </w:r>
            <w:r w:rsidRPr="0037367F">
              <w:rPr>
                <w:rFonts w:ascii="Calibri" w:eastAsia="Times New Roman" w:hAnsi="Calibri"/>
                <w:bCs/>
                <w:sz w:val="16"/>
                <w:szCs w:val="16"/>
                <w:lang w:val="en-US"/>
              </w:rPr>
              <w:t>]</w:t>
            </w:r>
          </w:p>
        </w:tc>
        <w:tc>
          <w:tcPr>
            <w:tcW w:w="498"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n/a</w:t>
            </w:r>
          </w:p>
        </w:tc>
        <w:tc>
          <w:tcPr>
            <w:tcW w:w="730"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3*6144</w:t>
            </w:r>
          </w:p>
        </w:tc>
        <w:tc>
          <w:tcPr>
            <w:tcW w:w="1379"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LTE</w:t>
            </w:r>
          </w:p>
        </w:tc>
        <w:tc>
          <w:tcPr>
            <w:tcW w:w="81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45</w:t>
            </w:r>
          </w:p>
        </w:tc>
        <w:tc>
          <w:tcPr>
            <w:tcW w:w="1061"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2.00</w:t>
            </w:r>
          </w:p>
        </w:tc>
        <w:tc>
          <w:tcPr>
            <w:tcW w:w="90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600</w:t>
            </w:r>
          </w:p>
        </w:tc>
        <w:tc>
          <w:tcPr>
            <w:tcW w:w="80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1.67</w:t>
            </w:r>
          </w:p>
        </w:tc>
        <w:tc>
          <w:tcPr>
            <w:tcW w:w="744"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right"/>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0.83</w:t>
            </w:r>
          </w:p>
        </w:tc>
        <w:tc>
          <w:tcPr>
            <w:tcW w:w="640"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1500</w:t>
            </w:r>
          </w:p>
        </w:tc>
      </w:tr>
      <w:tr w:rsidR="005A2321" w:rsidRPr="005A6D57" w:rsidTr="008450DD">
        <w:trPr>
          <w:trHeight w:val="271"/>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sz w:val="16"/>
                <w:szCs w:val="16"/>
                <w:lang w:val="en-US"/>
              </w:rPr>
            </w:pPr>
            <w:r w:rsidRPr="0037367F">
              <w:rPr>
                <w:rFonts w:ascii="Calibri" w:eastAsia="Times New Roman" w:hAnsi="Calibri"/>
                <w:sz w:val="16"/>
                <w:szCs w:val="16"/>
                <w:lang w:val="en-US"/>
              </w:rPr>
              <w:t>LDPC</w:t>
            </w:r>
          </w:p>
        </w:tc>
        <w:tc>
          <w:tcPr>
            <w:tcW w:w="1390"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sz w:val="16"/>
                <w:szCs w:val="16"/>
                <w:lang w:val="en-US"/>
              </w:rPr>
            </w:pPr>
            <w:r w:rsidRPr="0037367F">
              <w:rPr>
                <w:rFonts w:ascii="Calibri" w:eastAsia="Times New Roman" w:hAnsi="Calibri"/>
                <w:sz w:val="16"/>
                <w:szCs w:val="16"/>
                <w:lang w:val="en-US"/>
              </w:rPr>
              <w:t>[</w:t>
            </w:r>
            <w:r>
              <w:rPr>
                <w:rFonts w:ascii="Calibri" w:eastAsia="Times New Roman" w:hAnsi="Calibri"/>
                <w:sz w:val="16"/>
                <w:szCs w:val="16"/>
                <w:lang w:val="en-US"/>
              </w:rPr>
              <w:t>4</w:t>
            </w:r>
            <w:r w:rsidRPr="0037367F">
              <w:rPr>
                <w:rFonts w:ascii="Calibri" w:eastAsia="Times New Roman" w:hAnsi="Calibri"/>
                <w:sz w:val="16"/>
                <w:szCs w:val="16"/>
                <w:lang w:val="en-US"/>
              </w:rPr>
              <w:t>]</w:t>
            </w:r>
          </w:p>
        </w:tc>
        <w:tc>
          <w:tcPr>
            <w:tcW w:w="498"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sz w:val="16"/>
                <w:szCs w:val="16"/>
                <w:lang w:val="en-US"/>
              </w:rPr>
            </w:pPr>
            <w:r w:rsidRPr="0037367F">
              <w:rPr>
                <w:rFonts w:ascii="Calibri" w:eastAsia="Times New Roman" w:hAnsi="Calibri"/>
                <w:sz w:val="16"/>
                <w:szCs w:val="16"/>
                <w:lang w:val="en-US"/>
              </w:rPr>
              <w:t>n/a</w:t>
            </w:r>
          </w:p>
        </w:tc>
        <w:tc>
          <w:tcPr>
            <w:tcW w:w="730"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right"/>
              <w:textAlignment w:val="auto"/>
              <w:rPr>
                <w:rFonts w:ascii="Calibri" w:eastAsia="Times New Roman" w:hAnsi="Calibri"/>
                <w:sz w:val="16"/>
                <w:szCs w:val="16"/>
                <w:lang w:val="en-US"/>
              </w:rPr>
            </w:pPr>
            <w:r w:rsidRPr="0037367F">
              <w:rPr>
                <w:rFonts w:ascii="Calibri" w:eastAsia="Times New Roman" w:hAnsi="Calibri"/>
                <w:sz w:val="16"/>
                <w:szCs w:val="16"/>
                <w:lang w:val="en-US"/>
              </w:rPr>
              <w:t>1944</w:t>
            </w:r>
          </w:p>
        </w:tc>
        <w:tc>
          <w:tcPr>
            <w:tcW w:w="1379"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sz w:val="16"/>
                <w:szCs w:val="16"/>
                <w:lang w:val="en-US"/>
              </w:rPr>
            </w:pPr>
            <w:r w:rsidRPr="0037367F">
              <w:rPr>
                <w:rFonts w:ascii="Calibri" w:eastAsia="Times New Roman" w:hAnsi="Calibri"/>
                <w:sz w:val="16"/>
                <w:szCs w:val="16"/>
                <w:lang w:val="en-US"/>
              </w:rPr>
              <w:t>802.11n WiFI (1/2,2/3,3/4,5/6)</w:t>
            </w:r>
          </w:p>
        </w:tc>
        <w:tc>
          <w:tcPr>
            <w:tcW w:w="816"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sz w:val="16"/>
                <w:szCs w:val="16"/>
                <w:lang w:val="en-US"/>
              </w:rPr>
            </w:pPr>
            <w:r w:rsidRPr="0037367F">
              <w:rPr>
                <w:rFonts w:ascii="Calibri" w:eastAsia="Times New Roman" w:hAnsi="Calibri"/>
                <w:sz w:val="16"/>
                <w:szCs w:val="16"/>
                <w:lang w:val="en-US"/>
              </w:rPr>
              <w:t>45nm</w:t>
            </w:r>
          </w:p>
        </w:tc>
        <w:tc>
          <w:tcPr>
            <w:tcW w:w="1061"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sz w:val="16"/>
                <w:szCs w:val="16"/>
                <w:lang w:val="en-US"/>
              </w:rPr>
            </w:pPr>
            <w:r w:rsidRPr="0037367F">
              <w:rPr>
                <w:rFonts w:ascii="Calibri" w:eastAsia="Times New Roman" w:hAnsi="Calibri"/>
                <w:sz w:val="16"/>
                <w:szCs w:val="16"/>
                <w:lang w:val="en-US"/>
              </w:rPr>
              <w:t>0.81</w:t>
            </w:r>
          </w:p>
        </w:tc>
        <w:tc>
          <w:tcPr>
            <w:tcW w:w="90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sz w:val="16"/>
                <w:szCs w:val="16"/>
                <w:lang w:val="en-US"/>
              </w:rPr>
            </w:pPr>
            <w:r w:rsidRPr="0037367F">
              <w:rPr>
                <w:rFonts w:ascii="Calibri" w:eastAsia="Times New Roman" w:hAnsi="Calibri"/>
                <w:sz w:val="16"/>
                <w:szCs w:val="16"/>
                <w:lang w:val="en-US"/>
              </w:rPr>
              <w:t>815</w:t>
            </w:r>
          </w:p>
        </w:tc>
        <w:tc>
          <w:tcPr>
            <w:tcW w:w="80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sz w:val="16"/>
                <w:szCs w:val="16"/>
                <w:lang w:val="en-US"/>
              </w:rPr>
            </w:pPr>
            <w:r w:rsidRPr="0037367F">
              <w:rPr>
                <w:rFonts w:ascii="Calibri" w:eastAsia="Times New Roman" w:hAnsi="Calibri"/>
                <w:sz w:val="16"/>
                <w:szCs w:val="16"/>
                <w:lang w:val="en-US"/>
              </w:rPr>
              <w:t>3.00</w:t>
            </w:r>
          </w:p>
        </w:tc>
        <w:tc>
          <w:tcPr>
            <w:tcW w:w="744"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right"/>
              <w:textAlignment w:val="auto"/>
              <w:rPr>
                <w:rFonts w:ascii="Calibri" w:eastAsia="Times New Roman" w:hAnsi="Calibri"/>
                <w:sz w:val="16"/>
                <w:szCs w:val="16"/>
                <w:lang w:val="en-US"/>
              </w:rPr>
            </w:pPr>
            <w:r w:rsidRPr="0037367F">
              <w:rPr>
                <w:rFonts w:ascii="Calibri" w:eastAsia="Times New Roman" w:hAnsi="Calibri"/>
                <w:sz w:val="16"/>
                <w:szCs w:val="16"/>
                <w:lang w:val="en-US"/>
              </w:rPr>
              <w:t>3.70</w:t>
            </w:r>
          </w:p>
        </w:tc>
        <w:tc>
          <w:tcPr>
            <w:tcW w:w="640"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center"/>
              <w:textAlignment w:val="auto"/>
              <w:rPr>
                <w:rFonts w:ascii="Calibri" w:eastAsia="Times New Roman" w:hAnsi="Calibri"/>
                <w:sz w:val="16"/>
                <w:szCs w:val="16"/>
                <w:lang w:val="en-US"/>
              </w:rPr>
            </w:pPr>
            <w:r w:rsidRPr="0037367F">
              <w:rPr>
                <w:rFonts w:ascii="Calibri" w:eastAsia="Times New Roman" w:hAnsi="Calibri"/>
                <w:sz w:val="16"/>
                <w:szCs w:val="16"/>
                <w:lang w:val="en-US"/>
              </w:rPr>
              <w:t> </w:t>
            </w:r>
          </w:p>
        </w:tc>
      </w:tr>
      <w:tr w:rsidR="005A2321" w:rsidRPr="005A6D57" w:rsidTr="008450DD">
        <w:trPr>
          <w:trHeight w:val="271"/>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LDPC</w:t>
            </w:r>
          </w:p>
        </w:tc>
        <w:tc>
          <w:tcPr>
            <w:tcW w:w="1390"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w:t>
            </w:r>
            <w:r>
              <w:rPr>
                <w:rFonts w:ascii="Calibri" w:eastAsia="Times New Roman" w:hAnsi="Calibri"/>
                <w:bCs/>
                <w:sz w:val="16"/>
                <w:szCs w:val="16"/>
                <w:lang w:val="en-US"/>
              </w:rPr>
              <w:t>5</w:t>
            </w:r>
            <w:r w:rsidRPr="0037367F">
              <w:rPr>
                <w:rFonts w:ascii="Calibri" w:eastAsia="Times New Roman" w:hAnsi="Calibri"/>
                <w:bCs/>
                <w:sz w:val="16"/>
                <w:szCs w:val="16"/>
                <w:lang w:val="en-US"/>
              </w:rPr>
              <w:t>]</w:t>
            </w:r>
          </w:p>
        </w:tc>
        <w:tc>
          <w:tcPr>
            <w:tcW w:w="498"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n/a</w:t>
            </w:r>
          </w:p>
        </w:tc>
        <w:tc>
          <w:tcPr>
            <w:tcW w:w="730"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right"/>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2,048</w:t>
            </w:r>
          </w:p>
        </w:tc>
        <w:tc>
          <w:tcPr>
            <w:tcW w:w="1379"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10G-T (one rate)</w:t>
            </w:r>
          </w:p>
        </w:tc>
        <w:tc>
          <w:tcPr>
            <w:tcW w:w="816"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65nm</w:t>
            </w:r>
          </w:p>
        </w:tc>
        <w:tc>
          <w:tcPr>
            <w:tcW w:w="1061"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5.35</w:t>
            </w:r>
          </w:p>
        </w:tc>
        <w:tc>
          <w:tcPr>
            <w:tcW w:w="90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700</w:t>
            </w:r>
          </w:p>
        </w:tc>
        <w:tc>
          <w:tcPr>
            <w:tcW w:w="80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47.70</w:t>
            </w:r>
          </w:p>
        </w:tc>
        <w:tc>
          <w:tcPr>
            <w:tcW w:w="744"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right"/>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8.91</w:t>
            </w:r>
          </w:p>
        </w:tc>
        <w:tc>
          <w:tcPr>
            <w:tcW w:w="640"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58.7 pJ/bit</w:t>
            </w:r>
          </w:p>
        </w:tc>
      </w:tr>
      <w:tr w:rsidR="005A2321" w:rsidRPr="005A6D57" w:rsidTr="008450DD">
        <w:trPr>
          <w:trHeight w:val="271"/>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Polar</w:t>
            </w:r>
          </w:p>
          <w:p w:rsidR="005A2321" w:rsidRPr="0037367F" w:rsidRDefault="005A2321" w:rsidP="008450DD">
            <w:pPr>
              <w:overflowPunct/>
              <w:autoSpaceDE/>
              <w:autoSpaceDN/>
              <w:adjustRightInd/>
              <w:spacing w:after="0"/>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 xml:space="preserve">(List) </w:t>
            </w:r>
          </w:p>
        </w:tc>
        <w:tc>
          <w:tcPr>
            <w:tcW w:w="1390"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w:t>
            </w:r>
            <w:r>
              <w:rPr>
                <w:rFonts w:ascii="Calibri" w:eastAsia="Times New Roman" w:hAnsi="Calibri"/>
                <w:bCs/>
                <w:sz w:val="16"/>
                <w:szCs w:val="16"/>
                <w:lang w:val="en-US"/>
              </w:rPr>
              <w:t>6</w:t>
            </w:r>
            <w:r w:rsidRPr="0037367F">
              <w:rPr>
                <w:rFonts w:ascii="Calibri" w:eastAsia="Times New Roman" w:hAnsi="Calibri"/>
                <w:bCs/>
                <w:sz w:val="16"/>
                <w:szCs w:val="16"/>
                <w:lang w:val="en-US"/>
              </w:rPr>
              <w:t>]</w:t>
            </w:r>
          </w:p>
        </w:tc>
        <w:tc>
          <w:tcPr>
            <w:tcW w:w="498"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16</w:t>
            </w:r>
          </w:p>
        </w:tc>
        <w:tc>
          <w:tcPr>
            <w:tcW w:w="730"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1,024</w:t>
            </w:r>
          </w:p>
        </w:tc>
        <w:tc>
          <w:tcPr>
            <w:tcW w:w="1379"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0.5</w:t>
            </w:r>
          </w:p>
        </w:tc>
        <w:tc>
          <w:tcPr>
            <w:tcW w:w="81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90</w:t>
            </w:r>
          </w:p>
        </w:tc>
        <w:tc>
          <w:tcPr>
            <w:tcW w:w="1061"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7.47</w:t>
            </w:r>
          </w:p>
        </w:tc>
        <w:tc>
          <w:tcPr>
            <w:tcW w:w="90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658</w:t>
            </w:r>
          </w:p>
        </w:tc>
        <w:tc>
          <w:tcPr>
            <w:tcW w:w="806" w:type="dxa"/>
            <w:tcBorders>
              <w:top w:val="nil"/>
              <w:left w:val="nil"/>
              <w:bottom w:val="single" w:sz="4" w:space="0" w:color="auto"/>
              <w:right w:val="single" w:sz="4" w:space="0" w:color="auto"/>
            </w:tcBorders>
            <w:shd w:val="clear" w:color="auto" w:fill="auto"/>
            <w:vAlign w:val="center"/>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0.46</w:t>
            </w:r>
          </w:p>
        </w:tc>
        <w:tc>
          <w:tcPr>
            <w:tcW w:w="744"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right"/>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0.06</w:t>
            </w:r>
          </w:p>
        </w:tc>
        <w:tc>
          <w:tcPr>
            <w:tcW w:w="640" w:type="dxa"/>
            <w:tcBorders>
              <w:top w:val="nil"/>
              <w:left w:val="nil"/>
              <w:bottom w:val="single" w:sz="4" w:space="0" w:color="auto"/>
              <w:right w:val="single" w:sz="4" w:space="0" w:color="auto"/>
            </w:tcBorders>
            <w:shd w:val="clear" w:color="auto" w:fill="auto"/>
            <w:noWrap/>
            <w:vAlign w:val="bottom"/>
            <w:hideMark/>
          </w:tcPr>
          <w:p w:rsidR="005A2321" w:rsidRPr="0037367F" w:rsidRDefault="005A2321" w:rsidP="008450DD">
            <w:pPr>
              <w:overflowPunct/>
              <w:autoSpaceDE/>
              <w:autoSpaceDN/>
              <w:adjustRightInd/>
              <w:spacing w:after="0"/>
              <w:jc w:val="center"/>
              <w:textAlignment w:val="auto"/>
              <w:rPr>
                <w:rFonts w:ascii="Calibri" w:eastAsia="Times New Roman" w:hAnsi="Calibri"/>
                <w:bCs/>
                <w:sz w:val="16"/>
                <w:szCs w:val="16"/>
                <w:lang w:val="en-US"/>
              </w:rPr>
            </w:pPr>
            <w:r w:rsidRPr="0037367F">
              <w:rPr>
                <w:rFonts w:ascii="Calibri" w:eastAsia="Times New Roman" w:hAnsi="Calibri"/>
                <w:bCs/>
                <w:sz w:val="16"/>
                <w:szCs w:val="16"/>
                <w:lang w:val="en-US"/>
              </w:rPr>
              <w:t> </w:t>
            </w:r>
          </w:p>
        </w:tc>
      </w:tr>
    </w:tbl>
    <w:p w:rsidR="005A2321" w:rsidRDefault="005A2321" w:rsidP="005A2321">
      <w:pPr>
        <w:pStyle w:val="LGTdoc1"/>
        <w:spacing w:beforeLines="0" w:before="120" w:after="120" w:afterAutospacing="0"/>
        <w:rPr>
          <w:b w:val="0"/>
          <w:sz w:val="20"/>
          <w:lang w:val="en-US"/>
        </w:rPr>
      </w:pPr>
    </w:p>
    <w:p w:rsidR="005A2321" w:rsidRDefault="005A2321" w:rsidP="005A2321">
      <w:pPr>
        <w:pStyle w:val="LGTdoc1"/>
        <w:spacing w:beforeLines="0" w:before="120" w:after="120" w:afterAutospacing="0"/>
        <w:rPr>
          <w:b w:val="0"/>
          <w:sz w:val="20"/>
          <w:lang w:val="en-US"/>
        </w:rPr>
      </w:pPr>
      <w:r w:rsidRPr="0037367F">
        <w:rPr>
          <w:b w:val="0"/>
          <w:sz w:val="20"/>
          <w:lang w:val="en-US"/>
        </w:rPr>
        <w:t xml:space="preserve">The table shows that for the NR EMBB data channel LDPC </w:t>
      </w:r>
      <w:r>
        <w:rPr>
          <w:b w:val="0"/>
          <w:sz w:val="20"/>
          <w:lang w:val="en-US"/>
        </w:rPr>
        <w:t xml:space="preserve">can be the best choice. One remaining aspect for LDPC seems to be the support of flexbile block sizes and associated impact on hardware implementations. </w:t>
      </w:r>
    </w:p>
    <w:p w:rsidR="005A2321" w:rsidRDefault="005A2321" w:rsidP="005A2321">
      <w:pPr>
        <w:pStyle w:val="LGTdoc1"/>
        <w:spacing w:beforeLines="0" w:before="120" w:after="120" w:afterAutospacing="0"/>
        <w:rPr>
          <w:b w:val="0"/>
          <w:sz w:val="20"/>
          <w:lang w:val="en-US"/>
        </w:rPr>
      </w:pPr>
      <w:r>
        <w:rPr>
          <w:b w:val="0"/>
          <w:sz w:val="20"/>
          <w:lang w:val="en-US"/>
        </w:rPr>
        <w:t xml:space="preserve">The flexibility of LDPC design is addressed in a companion contribution ([7]). That document shows that block size flexibility required for LDPC can be addressed through a combination of parity-check matrix scaling, and zero-padding operations. The results, therein, confirm that LDPC indeed can provide the desired flexibility in block sizes. </w:t>
      </w:r>
    </w:p>
    <w:p w:rsidR="005A2321" w:rsidRDefault="005A2321" w:rsidP="005A2321">
      <w:pPr>
        <w:pStyle w:val="LGTdoc1"/>
        <w:spacing w:beforeLines="0" w:before="120" w:after="120" w:afterAutospacing="0"/>
        <w:rPr>
          <w:b w:val="0"/>
          <w:sz w:val="20"/>
          <w:lang w:val="en-US"/>
        </w:rPr>
      </w:pPr>
      <w:r>
        <w:rPr>
          <w:b w:val="0"/>
          <w:sz w:val="20"/>
          <w:lang w:val="en-US"/>
        </w:rPr>
        <w:lastRenderedPageBreak/>
        <w:t xml:space="preserve">For flexibility in codeword size, the IR-based parity-check matrix extension for LDPC can support any arbitrary rate (e.g. between 8/9 and mother code rate of 1/3) in a rate-compatible manner. This means that all HARQ schemes such as Chase combining, Partial Chase combining, IR HARQ combining, etc can be supported similar to the LTE turbo code HARQ scheme. </w:t>
      </w:r>
    </w:p>
    <w:p w:rsidR="005A2321" w:rsidRDefault="005A2321" w:rsidP="005A2321">
      <w:pPr>
        <w:pStyle w:val="LGTdoc1"/>
        <w:spacing w:beforeLines="0" w:before="120" w:after="120" w:afterAutospacing="0"/>
        <w:rPr>
          <w:b w:val="0"/>
          <w:sz w:val="20"/>
          <w:lang w:val="en-US"/>
        </w:rPr>
      </w:pPr>
      <w:r>
        <w:rPr>
          <w:b w:val="0"/>
          <w:sz w:val="20"/>
          <w:lang w:val="en-US"/>
        </w:rPr>
        <w:t xml:space="preserve">It is our understanding that Polar code design in [8] generates a separate (and independent) codeword for each block size/rate pair, implying that that Partial Chase combining (e.g. codes for k/n, and k/n+1 may be independent) may not be feasible – i.e. for the two code k/n and k/n+1, the mapping of data bits to the input of Polar encoder may be different, requiring the two codes to be separately decoded. Moreover, for IR-type HARQ, the polar code Incremental freezing technique ([9]) requires multiple levels of Polar coding, and so far there is not sufficient detail on how the quantity of incremental frozen bits is set (across different transmissions and different MCS levels, etc) and decoded efficiently. </w:t>
      </w:r>
    </w:p>
    <w:p w:rsidR="005A2321" w:rsidRDefault="005A2321" w:rsidP="005A2321">
      <w:pPr>
        <w:pStyle w:val="LGTdoc1"/>
        <w:spacing w:beforeLines="0" w:before="120" w:after="120" w:afterAutospacing="0"/>
        <w:rPr>
          <w:b w:val="0"/>
          <w:sz w:val="20"/>
          <w:lang w:val="en-US"/>
        </w:rPr>
      </w:pPr>
      <w:r>
        <w:rPr>
          <w:b w:val="0"/>
          <w:sz w:val="20"/>
          <w:lang w:val="en-US"/>
        </w:rPr>
        <w:t xml:space="preserve">We now discuss the impact of flexibility of LDPC on hardware implementation. As described in detail in past contribution [1], the primary contributors to the LDPC decoder implementation are the edge memory and check node update – both of which scale proportionally with throughput (e.g. taking WiFi maximum shift size of 81, and increase it to 320, both the memory/check node update logic as well as data rate quadruples), hence maintaining the throughput area benefit. For the shift size implementations, we also gave an example in the contribution where additional shift size support was considered in the design – in particular the set of shift sizes was 320:20:20, and factors of 320, which provides ~30 shift sizes between z=320 and z=1 (assuming EMBB parity-check matrix with 24z information bits, so 24, 48,…. 7680). The overall throughput/area impact of supporting the additional shift sizes was noted to be not very large. If further finer granularity of shift sizes is to be supported, it is noted that this will still not significantly alter the LDPC – see for example, references in [10] where Benes network configured to support flexible shift sizes is demonstrated. </w:t>
      </w:r>
    </w:p>
    <w:p w:rsidR="005A2321" w:rsidRDefault="005A2321" w:rsidP="005A2321">
      <w:pPr>
        <w:pStyle w:val="LGTdoc1"/>
        <w:spacing w:beforeLines="0" w:after="120" w:afterAutospacing="0"/>
        <w:rPr>
          <w:b w:val="0"/>
          <w:sz w:val="20"/>
        </w:rPr>
      </w:pPr>
      <w:r>
        <w:rPr>
          <w:b w:val="0"/>
          <w:sz w:val="20"/>
        </w:rPr>
        <w:t xml:space="preserve">In summary, it is observed that with suitable selection of LDPC code parameters (Shift sizes, etc), LDPC codes can provide good performance, as well as benefits in implementations with a reasonable granularity of natively supported block lengths and finer information block size granularity supported with zero-padding, etc. </w:t>
      </w:r>
    </w:p>
    <w:p w:rsidR="005A2321" w:rsidRPr="00B54AC1" w:rsidRDefault="005A2321" w:rsidP="005A2321">
      <w:pPr>
        <w:pStyle w:val="LGTdoc1"/>
        <w:spacing w:beforeLines="0" w:after="120" w:afterAutospacing="0"/>
        <w:rPr>
          <w:sz w:val="20"/>
        </w:rPr>
      </w:pPr>
      <w:r w:rsidRPr="00B54AC1">
        <w:rPr>
          <w:sz w:val="20"/>
        </w:rPr>
        <w:t xml:space="preserve">Observation </w:t>
      </w:r>
      <w:r>
        <w:rPr>
          <w:sz w:val="20"/>
        </w:rPr>
        <w:t>1</w:t>
      </w:r>
      <w:r w:rsidRPr="00B54AC1">
        <w:rPr>
          <w:sz w:val="20"/>
        </w:rPr>
        <w:t xml:space="preserve">: LDPC code </w:t>
      </w:r>
      <w:r>
        <w:rPr>
          <w:sz w:val="20"/>
        </w:rPr>
        <w:t>offers excellent</w:t>
      </w:r>
      <w:r w:rsidRPr="00B54AC1">
        <w:rPr>
          <w:sz w:val="20"/>
        </w:rPr>
        <w:t xml:space="preserve"> throughput/area efficiency.</w:t>
      </w:r>
    </w:p>
    <w:p w:rsidR="005A2321" w:rsidRDefault="005A2321" w:rsidP="005A2321">
      <w:pPr>
        <w:pStyle w:val="LGTdoc1"/>
        <w:spacing w:beforeLines="0" w:after="120" w:afterAutospacing="0"/>
        <w:rPr>
          <w:sz w:val="20"/>
        </w:rPr>
      </w:pPr>
      <w:r>
        <w:rPr>
          <w:sz w:val="20"/>
        </w:rPr>
        <w:t>Observation 2: O</w:t>
      </w:r>
      <w:r w:rsidRPr="00026AD4">
        <w:rPr>
          <w:sz w:val="20"/>
        </w:rPr>
        <w:t>verall throughput/area benefit of LDPC can be maintained with suitable choice of supported shift sizes</w:t>
      </w:r>
      <w:r>
        <w:rPr>
          <w:sz w:val="20"/>
        </w:rPr>
        <w:t>, base matrix dimension, and total number of edges</w:t>
      </w:r>
      <w:r w:rsidRPr="00026AD4">
        <w:rPr>
          <w:sz w:val="20"/>
        </w:rPr>
        <w:t>.</w:t>
      </w:r>
    </w:p>
    <w:p w:rsidR="005A2321" w:rsidRPr="00FE57B2" w:rsidRDefault="005A2321" w:rsidP="005A2321">
      <w:pPr>
        <w:pStyle w:val="LGTdoc1"/>
        <w:spacing w:beforeLines="0" w:before="120" w:after="120" w:afterAutospacing="0"/>
        <w:rPr>
          <w:b w:val="0"/>
          <w:sz w:val="20"/>
          <w:lang w:val="en-US"/>
        </w:rPr>
      </w:pPr>
      <w:r>
        <w:rPr>
          <w:b w:val="0"/>
          <w:sz w:val="20"/>
          <w:lang w:val="en-US"/>
        </w:rPr>
        <w:t xml:space="preserve">Considering all factors (including performance, flexble block size/code rate/ HARQ support, hardware implementations, maturity, etc), we propose the following: </w:t>
      </w:r>
    </w:p>
    <w:p w:rsidR="005A2321" w:rsidRPr="0001684B" w:rsidRDefault="005A2321" w:rsidP="005A2321">
      <w:pPr>
        <w:pStyle w:val="LGTdoc1"/>
        <w:spacing w:beforeLines="0" w:after="120" w:afterAutospacing="0"/>
        <w:rPr>
          <w:sz w:val="20"/>
        </w:rPr>
      </w:pPr>
      <w:r>
        <w:rPr>
          <w:sz w:val="20"/>
        </w:rPr>
        <w:t xml:space="preserve">Proposal: </w:t>
      </w:r>
      <w:r w:rsidRPr="0001684B">
        <w:rPr>
          <w:sz w:val="20"/>
        </w:rPr>
        <w:t xml:space="preserve">LDPC is adopted </w:t>
      </w:r>
      <w:r>
        <w:rPr>
          <w:sz w:val="20"/>
        </w:rPr>
        <w:t xml:space="preserve">as data channel coding scheme </w:t>
      </w:r>
      <w:r w:rsidRPr="0001684B">
        <w:rPr>
          <w:sz w:val="20"/>
        </w:rPr>
        <w:t>for EMBB.</w:t>
      </w:r>
    </w:p>
    <w:p w:rsidR="005A2321" w:rsidRPr="00900CED" w:rsidRDefault="005A2321" w:rsidP="005A2321">
      <w:pPr>
        <w:pStyle w:val="LGTdoc"/>
        <w:numPr>
          <w:ilvl w:val="0"/>
          <w:numId w:val="1"/>
        </w:numPr>
        <w:spacing w:before="240" w:afterLines="0" w:after="120" w:line="240" w:lineRule="auto"/>
        <w:ind w:left="432" w:hanging="432"/>
        <w:rPr>
          <w:rFonts w:ascii="Arial" w:hAnsi="Arial" w:cs="Arial"/>
          <w:b/>
          <w:snapToGrid w:val="0"/>
          <w:kern w:val="0"/>
          <w:sz w:val="28"/>
          <w:szCs w:val="20"/>
          <w:lang w:val="en-US"/>
        </w:rPr>
      </w:pPr>
      <w:r w:rsidRPr="00900CED">
        <w:rPr>
          <w:rFonts w:ascii="Arial" w:hAnsi="Arial" w:cs="Arial"/>
          <w:b/>
          <w:snapToGrid w:val="0"/>
          <w:kern w:val="0"/>
          <w:sz w:val="28"/>
          <w:szCs w:val="20"/>
          <w:lang w:val="en-US"/>
        </w:rPr>
        <w:t>Conclusion</w:t>
      </w:r>
    </w:p>
    <w:p w:rsidR="005A2321" w:rsidRDefault="005A2321" w:rsidP="005A2321">
      <w:pPr>
        <w:pStyle w:val="LGTdoc1"/>
        <w:spacing w:beforeLines="0" w:before="120" w:after="120" w:afterAutospacing="0"/>
        <w:rPr>
          <w:b w:val="0"/>
          <w:sz w:val="20"/>
          <w:lang w:val="en-US"/>
        </w:rPr>
      </w:pPr>
      <w:r>
        <w:rPr>
          <w:b w:val="0"/>
          <w:sz w:val="20"/>
          <w:lang w:val="en-US"/>
        </w:rPr>
        <w:t xml:space="preserve">In this contribution, we further compare the coding schemes, address flexibility-related aspects for LDPC and draw the following observations: </w:t>
      </w:r>
    </w:p>
    <w:p w:rsidR="005A2321" w:rsidRPr="00B54AC1" w:rsidRDefault="005A2321" w:rsidP="005A2321">
      <w:pPr>
        <w:pStyle w:val="LGTdoc1"/>
        <w:spacing w:beforeLines="0" w:after="120" w:afterAutospacing="0"/>
        <w:rPr>
          <w:sz w:val="20"/>
        </w:rPr>
      </w:pPr>
      <w:r w:rsidRPr="00B54AC1">
        <w:rPr>
          <w:sz w:val="20"/>
        </w:rPr>
        <w:t xml:space="preserve">Observation </w:t>
      </w:r>
      <w:r>
        <w:rPr>
          <w:sz w:val="20"/>
        </w:rPr>
        <w:t>1</w:t>
      </w:r>
      <w:r w:rsidRPr="00B54AC1">
        <w:rPr>
          <w:sz w:val="20"/>
        </w:rPr>
        <w:t xml:space="preserve">: LDPC code </w:t>
      </w:r>
      <w:r>
        <w:rPr>
          <w:sz w:val="20"/>
        </w:rPr>
        <w:t>offers excellent</w:t>
      </w:r>
      <w:r w:rsidRPr="00B54AC1">
        <w:rPr>
          <w:sz w:val="20"/>
        </w:rPr>
        <w:t xml:space="preserve"> throughput/area efficiency.</w:t>
      </w:r>
    </w:p>
    <w:p w:rsidR="005A2321" w:rsidRDefault="005A2321" w:rsidP="005A2321">
      <w:pPr>
        <w:pStyle w:val="LGTdoc1"/>
        <w:spacing w:beforeLines="0" w:after="120" w:afterAutospacing="0"/>
        <w:rPr>
          <w:sz w:val="20"/>
        </w:rPr>
      </w:pPr>
      <w:r>
        <w:rPr>
          <w:sz w:val="20"/>
        </w:rPr>
        <w:t>Observation 2: O</w:t>
      </w:r>
      <w:r w:rsidRPr="00026AD4">
        <w:rPr>
          <w:sz w:val="20"/>
        </w:rPr>
        <w:t>verall throughput/area benefit of LDPC can be maintained with suitable choice of supported shift sizes</w:t>
      </w:r>
      <w:r>
        <w:rPr>
          <w:sz w:val="20"/>
        </w:rPr>
        <w:t>, base matrix dimension, and total number of edges</w:t>
      </w:r>
      <w:r w:rsidRPr="00026AD4">
        <w:rPr>
          <w:sz w:val="20"/>
        </w:rPr>
        <w:t>.</w:t>
      </w:r>
    </w:p>
    <w:p w:rsidR="005A2321" w:rsidRPr="00FE57B2" w:rsidRDefault="005A2321" w:rsidP="005A2321">
      <w:pPr>
        <w:pStyle w:val="LGTdoc1"/>
        <w:spacing w:beforeLines="0" w:before="120" w:after="120" w:afterAutospacing="0"/>
        <w:rPr>
          <w:b w:val="0"/>
          <w:sz w:val="20"/>
          <w:lang w:val="en-US"/>
        </w:rPr>
      </w:pPr>
      <w:r>
        <w:rPr>
          <w:b w:val="0"/>
          <w:sz w:val="20"/>
          <w:lang w:val="en-US"/>
        </w:rPr>
        <w:t xml:space="preserve">Based on the above, we propose the following: </w:t>
      </w:r>
    </w:p>
    <w:p w:rsidR="005A2321" w:rsidRPr="0001684B" w:rsidRDefault="005A2321" w:rsidP="005A2321">
      <w:pPr>
        <w:pStyle w:val="LGTdoc1"/>
        <w:spacing w:beforeLines="0" w:after="120" w:afterAutospacing="0"/>
        <w:rPr>
          <w:sz w:val="20"/>
        </w:rPr>
      </w:pPr>
      <w:r>
        <w:rPr>
          <w:sz w:val="20"/>
        </w:rPr>
        <w:t xml:space="preserve">Proposal: </w:t>
      </w:r>
      <w:r w:rsidRPr="0001684B">
        <w:rPr>
          <w:sz w:val="20"/>
        </w:rPr>
        <w:t xml:space="preserve">LDPC is adopted </w:t>
      </w:r>
      <w:r>
        <w:rPr>
          <w:sz w:val="20"/>
        </w:rPr>
        <w:t xml:space="preserve">as data channel coding scheme </w:t>
      </w:r>
      <w:r w:rsidRPr="0001684B">
        <w:rPr>
          <w:sz w:val="20"/>
        </w:rPr>
        <w:t>for EMBB.</w:t>
      </w:r>
    </w:p>
    <w:p w:rsidR="005A2321" w:rsidRPr="00900CED" w:rsidRDefault="005A2321" w:rsidP="005A2321">
      <w:pPr>
        <w:pStyle w:val="LGTdoc"/>
        <w:spacing w:before="240" w:afterLines="0" w:after="120" w:line="240" w:lineRule="auto"/>
        <w:rPr>
          <w:rFonts w:ascii="Arial" w:hAnsi="Arial" w:cs="Arial"/>
          <w:b/>
          <w:snapToGrid w:val="0"/>
          <w:kern w:val="0"/>
          <w:sz w:val="28"/>
          <w:szCs w:val="20"/>
          <w:lang w:val="en-US"/>
        </w:rPr>
      </w:pPr>
      <w:r w:rsidRPr="00900CED">
        <w:rPr>
          <w:rFonts w:ascii="Arial" w:hAnsi="Arial" w:cs="Arial"/>
          <w:b/>
          <w:snapToGrid w:val="0"/>
          <w:kern w:val="0"/>
          <w:sz w:val="28"/>
          <w:szCs w:val="20"/>
          <w:lang w:val="en-US"/>
        </w:rPr>
        <w:t>References</w:t>
      </w:r>
      <w:bookmarkEnd w:id="0"/>
      <w:bookmarkEnd w:id="1"/>
    </w:p>
    <w:p w:rsidR="005A2321" w:rsidRPr="00683832" w:rsidRDefault="005A2321" w:rsidP="005A2321">
      <w:pPr>
        <w:pStyle w:val="LGTdoc1"/>
        <w:numPr>
          <w:ilvl w:val="0"/>
          <w:numId w:val="3"/>
        </w:numPr>
        <w:spacing w:before="120" w:after="120"/>
        <w:contextualSpacing/>
        <w:rPr>
          <w:rFonts w:eastAsia="SimSun"/>
          <w:b w:val="0"/>
          <w:snapToGrid/>
          <w:sz w:val="18"/>
          <w:szCs w:val="18"/>
          <w:lang w:eastAsia="en-US"/>
        </w:rPr>
      </w:pPr>
      <w:r w:rsidRPr="00683832">
        <w:rPr>
          <w:rFonts w:eastAsia="SimSun"/>
          <w:b w:val="0"/>
          <w:snapToGrid/>
          <w:sz w:val="18"/>
          <w:szCs w:val="18"/>
          <w:lang w:eastAsia="en-US"/>
        </w:rPr>
        <w:t>R1-166557</w:t>
      </w:r>
      <w:r w:rsidRPr="00683832">
        <w:rPr>
          <w:rFonts w:eastAsia="SimSun"/>
          <w:b w:val="0"/>
          <w:snapToGrid/>
          <w:sz w:val="18"/>
          <w:szCs w:val="18"/>
          <w:lang w:eastAsia="en-US"/>
        </w:rPr>
        <w:tab/>
        <w:t>Intel, Comparison of channel coding schemes for NR, RAN1#86</w:t>
      </w:r>
    </w:p>
    <w:p w:rsidR="005A2321" w:rsidRPr="00683832" w:rsidRDefault="005A2321" w:rsidP="005A2321">
      <w:pPr>
        <w:pStyle w:val="References"/>
        <w:numPr>
          <w:ilvl w:val="0"/>
          <w:numId w:val="3"/>
        </w:numPr>
        <w:spacing w:before="60"/>
        <w:rPr>
          <w:sz w:val="18"/>
          <w:szCs w:val="18"/>
          <w:lang w:val="en-US"/>
        </w:rPr>
      </w:pPr>
      <w:r w:rsidRPr="00683832">
        <w:rPr>
          <w:sz w:val="18"/>
          <w:szCs w:val="18"/>
          <w:lang w:val="en-US"/>
        </w:rPr>
        <w:t>“Error control coding for B3G/4G  wireless systems : Paving the way to IMT-Advanced standards”, Wiley, April 2011.</w:t>
      </w:r>
    </w:p>
    <w:p w:rsidR="005A2321" w:rsidRPr="00683832" w:rsidRDefault="005A2321" w:rsidP="005A2321">
      <w:pPr>
        <w:pStyle w:val="References"/>
        <w:numPr>
          <w:ilvl w:val="0"/>
          <w:numId w:val="3"/>
        </w:numPr>
        <w:spacing w:before="60"/>
        <w:jc w:val="left"/>
        <w:rPr>
          <w:sz w:val="18"/>
          <w:szCs w:val="18"/>
        </w:rPr>
      </w:pPr>
      <w:r w:rsidRPr="00683832">
        <w:rPr>
          <w:sz w:val="18"/>
          <w:szCs w:val="18"/>
        </w:rPr>
        <w:t>G. Wang, H. Shen, Y. Sun; J. R. Cavallaro,  A. Vosoughi; Y. Guo, “Parallel Interleaver Design for a High throughput HSPA+/LTE Multi-Standard Turbo Decoder”, IEEE Trans. on Circuits and Systems, May 2014</w:t>
      </w:r>
    </w:p>
    <w:p w:rsidR="005A2321" w:rsidRPr="00683832" w:rsidRDefault="005A2321" w:rsidP="005A2321">
      <w:pPr>
        <w:pStyle w:val="References"/>
        <w:numPr>
          <w:ilvl w:val="0"/>
          <w:numId w:val="3"/>
        </w:numPr>
        <w:spacing w:before="60"/>
        <w:rPr>
          <w:color w:val="000000"/>
          <w:sz w:val="18"/>
          <w:szCs w:val="18"/>
          <w:lang w:eastAsia="zh-CN"/>
        </w:rPr>
      </w:pPr>
      <w:r w:rsidRPr="00683832">
        <w:rPr>
          <w:sz w:val="18"/>
          <w:szCs w:val="18"/>
        </w:rPr>
        <w:t>Y. Sung, G. Wang, and J. R. Cavallaro, “Multi-layer parallel decoding algorithm and VLSI architecture for Quasi-cyclic LDPC codes”, IEEE ICAS Special Session on VLSI architectures for LDPC coding/decoding, May 2011</w:t>
      </w:r>
    </w:p>
    <w:p w:rsidR="005A2321" w:rsidRPr="00683832" w:rsidRDefault="005A2321" w:rsidP="005A2321">
      <w:pPr>
        <w:pStyle w:val="References"/>
        <w:numPr>
          <w:ilvl w:val="0"/>
          <w:numId w:val="3"/>
        </w:numPr>
        <w:spacing w:before="60"/>
        <w:rPr>
          <w:sz w:val="18"/>
          <w:szCs w:val="18"/>
          <w:lang w:val="en-US"/>
        </w:rPr>
      </w:pPr>
      <w:r w:rsidRPr="00683832">
        <w:rPr>
          <w:sz w:val="18"/>
          <w:szCs w:val="18"/>
          <w:lang w:val="en-US"/>
        </w:rPr>
        <w:t>Weiner M, Nikolic B, Zhang Z (2011) LDPC decoder architecture for high-data rate personal area networks. In: Proceedings of the IEEE international symposium on circuits and systems, (ISCAS), pp 1784–1787. DOI 10.1109/ISCAS.2011.5937930</w:t>
      </w:r>
    </w:p>
    <w:p w:rsidR="005A2321" w:rsidRPr="00683832" w:rsidRDefault="005A2321" w:rsidP="005A2321">
      <w:pPr>
        <w:pStyle w:val="References"/>
        <w:numPr>
          <w:ilvl w:val="0"/>
          <w:numId w:val="3"/>
        </w:numPr>
        <w:spacing w:before="60"/>
        <w:rPr>
          <w:sz w:val="18"/>
          <w:szCs w:val="18"/>
          <w:lang w:val="en-US"/>
        </w:rPr>
      </w:pPr>
      <w:r w:rsidRPr="00683832">
        <w:rPr>
          <w:sz w:val="18"/>
          <w:szCs w:val="18"/>
          <w:lang w:val="en-US"/>
        </w:rPr>
        <w:t>Y. Fan, et al and B. Li, A Low-Latency List Successive Cancellation Decoding Implementation for Polar codes. IEEE JSAC Feb 2016</w:t>
      </w:r>
    </w:p>
    <w:p w:rsidR="005A2321" w:rsidRPr="00683832" w:rsidRDefault="005A2321" w:rsidP="005A2321">
      <w:pPr>
        <w:pStyle w:val="NumberedList"/>
        <w:numPr>
          <w:ilvl w:val="0"/>
          <w:numId w:val="3"/>
        </w:numPr>
        <w:rPr>
          <w:sz w:val="18"/>
          <w:szCs w:val="18"/>
        </w:rPr>
      </w:pPr>
      <w:r w:rsidRPr="00683832">
        <w:rPr>
          <w:sz w:val="18"/>
          <w:szCs w:val="18"/>
        </w:rPr>
        <w:lastRenderedPageBreak/>
        <w:t>R1-1610377 Channel coding scheme for EMBB, Intel RAN1#86bis</w:t>
      </w:r>
    </w:p>
    <w:p w:rsidR="005A2321" w:rsidRPr="00683832" w:rsidRDefault="005A2321" w:rsidP="005A2321">
      <w:pPr>
        <w:pStyle w:val="NumberedList"/>
        <w:numPr>
          <w:ilvl w:val="0"/>
          <w:numId w:val="3"/>
        </w:numPr>
        <w:rPr>
          <w:sz w:val="18"/>
          <w:szCs w:val="18"/>
        </w:rPr>
      </w:pPr>
      <w:r w:rsidRPr="00683832">
        <w:rPr>
          <w:sz w:val="18"/>
          <w:szCs w:val="18"/>
        </w:rPr>
        <w:t>R1-167209, Polar code design and rate matching, Huawei, RAN1#86</w:t>
      </w:r>
    </w:p>
    <w:p w:rsidR="005A2321" w:rsidRPr="00683832" w:rsidRDefault="005A2321" w:rsidP="005A2321">
      <w:pPr>
        <w:pStyle w:val="NumberedList"/>
        <w:numPr>
          <w:ilvl w:val="0"/>
          <w:numId w:val="3"/>
        </w:numPr>
        <w:rPr>
          <w:sz w:val="18"/>
          <w:szCs w:val="18"/>
        </w:rPr>
      </w:pPr>
      <w:r w:rsidRPr="00683832">
        <w:rPr>
          <w:sz w:val="18"/>
          <w:szCs w:val="18"/>
        </w:rPr>
        <w:t>R1-167210, HARQ schemes for polar codes, Huawei, RAN1#86</w:t>
      </w:r>
    </w:p>
    <w:p w:rsidR="005A2321" w:rsidRPr="00683832" w:rsidRDefault="005A2321" w:rsidP="005A2321">
      <w:pPr>
        <w:pStyle w:val="NumberedList"/>
        <w:numPr>
          <w:ilvl w:val="0"/>
          <w:numId w:val="3"/>
        </w:numPr>
        <w:rPr>
          <w:sz w:val="18"/>
          <w:szCs w:val="18"/>
        </w:rPr>
      </w:pPr>
      <w:r w:rsidRPr="00683832">
        <w:rPr>
          <w:sz w:val="18"/>
          <w:szCs w:val="18"/>
        </w:rPr>
        <w:t xml:space="preserve">D. Oh, and K.K. Parhi. "Area efficient controller design of barrel shifters for reconfigurable LDPC decoders." 2008 IEEE International Symposium on Circuits and Systems. 2008. </w:t>
      </w:r>
    </w:p>
    <w:p w:rsidR="002F3778" w:rsidRDefault="002F3778">
      <w:bookmarkStart w:id="4" w:name="_GoBack"/>
      <w:bookmarkEnd w:id="4"/>
    </w:p>
    <w:sectPr w:rsidR="002F3778" w:rsidSect="004D5EF1">
      <w:headerReference w:type="even" r:id="rId5"/>
      <w:footerReference w:type="even" r:id="rId6"/>
      <w:footerReference w:type="default" r:id="rId7"/>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5A2321" w:rsidP="004D5E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5EF1" w:rsidRDefault="005A2321" w:rsidP="004D5E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5A2321" w:rsidP="004D5EF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5A23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321"/>
    <w:rsid w:val="002F3778"/>
    <w:rsid w:val="005A2321"/>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8E103D-9B53-46BB-AF8C-A6225131D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32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5A2321"/>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5A2321"/>
    <w:rPr>
      <w:rFonts w:ascii="Arial" w:eastAsia="SimSun" w:hAnsi="Arial" w:cs="Times New Roman"/>
      <w:b/>
      <w:i/>
      <w:noProof/>
      <w:sz w:val="18"/>
      <w:szCs w:val="20"/>
    </w:rPr>
  </w:style>
  <w:style w:type="paragraph" w:styleId="Caption">
    <w:name w:val="caption"/>
    <w:aliases w:val="cap,cap Char"/>
    <w:basedOn w:val="Normal"/>
    <w:next w:val="Normal"/>
    <w:link w:val="CaptionChar"/>
    <w:qFormat/>
    <w:rsid w:val="005A2321"/>
    <w:pPr>
      <w:spacing w:before="120" w:after="120"/>
    </w:pPr>
    <w:rPr>
      <w:b/>
      <w:bCs/>
    </w:rPr>
  </w:style>
  <w:style w:type="character" w:styleId="PageNumber">
    <w:name w:val="page number"/>
    <w:rsid w:val="005A2321"/>
  </w:style>
  <w:style w:type="paragraph" w:customStyle="1" w:styleId="LGTdoc1">
    <w:name w:val="LGTdoc_제목1"/>
    <w:basedOn w:val="Normal"/>
    <w:rsid w:val="005A2321"/>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5A232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1,cap Char Char"/>
    <w:link w:val="Caption"/>
    <w:rsid w:val="005A2321"/>
    <w:rPr>
      <w:rFonts w:ascii="Times New Roman" w:eastAsia="SimSun" w:hAnsi="Times New Roman" w:cs="Times New Roman"/>
      <w:b/>
      <w:bCs/>
      <w:sz w:val="20"/>
      <w:szCs w:val="20"/>
      <w:lang w:val="en-GB"/>
    </w:rPr>
  </w:style>
  <w:style w:type="paragraph" w:customStyle="1" w:styleId="References">
    <w:name w:val="References"/>
    <w:basedOn w:val="Normal"/>
    <w:rsid w:val="005A2321"/>
    <w:pPr>
      <w:numPr>
        <w:numId w:val="2"/>
      </w:numPr>
      <w:overflowPunct/>
      <w:adjustRightInd/>
      <w:spacing w:after="0"/>
      <w:jc w:val="both"/>
      <w:textAlignment w:val="auto"/>
    </w:pPr>
    <w:rPr>
      <w:sz w:val="16"/>
      <w:szCs w:val="16"/>
    </w:rPr>
  </w:style>
  <w:style w:type="paragraph" w:customStyle="1" w:styleId="NumberedList">
    <w:name w:val="Numbered List"/>
    <w:basedOn w:val="Normal"/>
    <w:rsid w:val="005A2321"/>
    <w:pPr>
      <w:numPr>
        <w:numId w:val="4"/>
      </w:numPr>
      <w:overflowPunct/>
      <w:autoSpaceDE/>
      <w:autoSpaceDN/>
      <w:adjustRightInd/>
      <w:spacing w:after="0"/>
      <w:jc w:val="both"/>
      <w:textAlignment w:val="auto"/>
    </w:pPr>
    <w:rPr>
      <w:rFonts w:eastAsia="MS Mincho"/>
    </w:rPr>
  </w:style>
  <w:style w:type="paragraph" w:styleId="Header">
    <w:name w:val="header"/>
    <w:basedOn w:val="Normal"/>
    <w:link w:val="HeaderChar"/>
    <w:uiPriority w:val="99"/>
    <w:semiHidden/>
    <w:unhideWhenUsed/>
    <w:rsid w:val="005A2321"/>
    <w:pPr>
      <w:tabs>
        <w:tab w:val="center" w:pos="4680"/>
        <w:tab w:val="right" w:pos="9360"/>
      </w:tabs>
      <w:spacing w:after="0"/>
    </w:pPr>
  </w:style>
  <w:style w:type="character" w:customStyle="1" w:styleId="HeaderChar">
    <w:name w:val="Header Char"/>
    <w:basedOn w:val="DefaultParagraphFont"/>
    <w:link w:val="Header"/>
    <w:uiPriority w:val="99"/>
    <w:semiHidden/>
    <w:rsid w:val="005A2321"/>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1230</Words>
  <Characters>6801</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Ajit2</dc:creator>
  <cp:keywords>CTPClassification=CTP_PUBLIC:VisualMarkings=</cp:keywords>
  <dc:description/>
  <cp:lastModifiedBy>Ajit2</cp:lastModifiedBy>
  <cp:revision>1</cp:revision>
  <dcterms:created xsi:type="dcterms:W3CDTF">2016-10-01T06:06:00Z</dcterms:created>
  <dcterms:modified xsi:type="dcterms:W3CDTF">2016-10-01T06:07:00Z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d8ce1fcb-3d40-479e-b1c1-e42f2fad8f11</vt:lpwstr>
  </property>
  <property fmtid="{D5CDD505-2E9C-101B-9397-08002B2CF9AE}" pid="3" name="CTP_TimeStamp">
    <vt:lpwstr>2016-10-01 06:07:05Z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