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321" w:rsidRDefault="00682321" w:rsidP="00682321">
      <w:pPr>
        <w:pStyle w:val="Header"/>
        <w:tabs>
          <w:tab w:val="clear" w:pos="4320"/>
          <w:tab w:val="clear" w:pos="8640"/>
          <w:tab w:val="right" w:pos="9072"/>
        </w:tabs>
        <w:rPr>
          <w:rFonts w:cs="Arial"/>
          <w:b/>
          <w:bCs/>
          <w:sz w:val="22"/>
          <w:szCs w:val="22"/>
          <w:lang w:val="en-AU"/>
        </w:rPr>
      </w:pPr>
      <w:bookmarkStart w:id="0" w:name="_GoBack"/>
      <w:bookmarkEnd w:id="0"/>
      <w:r>
        <w:rPr>
          <w:rFonts w:ascii="Arial" w:hAnsi="Arial" w:cs="Arial"/>
          <w:b/>
          <w:bCs/>
          <w:sz w:val="22"/>
          <w:szCs w:val="22"/>
          <w:lang w:val="en-AU"/>
        </w:rPr>
        <w:t>3GPP TSG RAN WG1 Meeting #83</w:t>
      </w:r>
      <w:r>
        <w:rPr>
          <w:rFonts w:ascii="Arial" w:hAnsi="Arial" w:cs="Arial"/>
          <w:b/>
          <w:bCs/>
          <w:sz w:val="22"/>
          <w:szCs w:val="22"/>
          <w:lang w:val="en-AU"/>
        </w:rPr>
        <w:tab/>
      </w:r>
      <w:r w:rsidR="00ED10DA" w:rsidRPr="00ED10DA">
        <w:rPr>
          <w:rFonts w:ascii="Arial" w:hAnsi="Arial" w:cs="Arial"/>
          <w:b/>
          <w:bCs/>
          <w:sz w:val="22"/>
          <w:lang w:val="en-AU"/>
        </w:rPr>
        <w:t>R1-156672</w:t>
      </w:r>
    </w:p>
    <w:p w:rsidR="00682321" w:rsidRDefault="00682321" w:rsidP="00682321">
      <w:pPr>
        <w:pStyle w:val="Header"/>
        <w:tabs>
          <w:tab w:val="clear" w:pos="4320"/>
        </w:tabs>
        <w:rPr>
          <w:rFonts w:ascii="Arial" w:hAnsi="Arial" w:cs="Arial"/>
          <w:b/>
          <w:bCs/>
          <w:sz w:val="22"/>
          <w:szCs w:val="22"/>
          <w:lang w:val="en-AU"/>
        </w:rPr>
      </w:pPr>
      <w:r>
        <w:rPr>
          <w:rFonts w:ascii="Arial" w:hAnsi="Arial" w:cs="Arial"/>
          <w:b/>
          <w:bCs/>
          <w:sz w:val="22"/>
          <w:szCs w:val="22"/>
          <w:lang w:val="en-AU"/>
        </w:rPr>
        <w:t>Anaheim, USA, 16 – 20 November 2015</w:t>
      </w:r>
    </w:p>
    <w:p w:rsidR="00674296" w:rsidRPr="00B31292" w:rsidRDefault="00674296" w:rsidP="00674296">
      <w:pPr>
        <w:pStyle w:val="Header"/>
        <w:rPr>
          <w:b/>
          <w:bCs/>
          <w:lang w:val="en-AU"/>
        </w:rPr>
      </w:pPr>
    </w:p>
    <w:p w:rsidR="00674296" w:rsidRPr="00006AF9" w:rsidRDefault="00674296" w:rsidP="00674296">
      <w:pPr>
        <w:tabs>
          <w:tab w:val="left" w:pos="1820"/>
        </w:tabs>
        <w:spacing w:after="60"/>
        <w:jc w:val="both"/>
        <w:rPr>
          <w:rFonts w:ascii="Arial" w:hAnsi="Arial" w:cs="Arial"/>
          <w:b/>
          <w:bCs/>
          <w:lang w:val="en-AU"/>
        </w:rPr>
      </w:pPr>
      <w:r w:rsidRPr="00006AF9">
        <w:rPr>
          <w:rFonts w:ascii="Arial" w:hAnsi="Arial" w:cs="Arial"/>
          <w:b/>
          <w:lang w:val="en-AU"/>
        </w:rPr>
        <w:t>Agenda Item:</w:t>
      </w:r>
      <w:r w:rsidRPr="00006AF9">
        <w:rPr>
          <w:rFonts w:ascii="Arial" w:hAnsi="Arial" w:cs="Arial"/>
          <w:b/>
          <w:bCs/>
          <w:lang w:val="en-AU"/>
        </w:rPr>
        <w:tab/>
      </w:r>
      <w:r w:rsidR="00144B1F" w:rsidRPr="00144B1F">
        <w:rPr>
          <w:rFonts w:ascii="Arial" w:hAnsi="Arial" w:cs="Arial"/>
          <w:b/>
          <w:bCs/>
          <w:lang w:val="en-AU"/>
        </w:rPr>
        <w:t>6.2.7.3</w:t>
      </w:r>
    </w:p>
    <w:p w:rsidR="00674296" w:rsidRPr="00006AF9" w:rsidRDefault="00674296" w:rsidP="00674296">
      <w:pPr>
        <w:tabs>
          <w:tab w:val="left" w:pos="1820"/>
        </w:tabs>
        <w:spacing w:after="60"/>
        <w:jc w:val="both"/>
        <w:rPr>
          <w:rFonts w:ascii="Arial" w:hAnsi="Arial" w:cs="Arial"/>
          <w:b/>
          <w:bCs/>
          <w:lang w:val="en-AU"/>
        </w:rPr>
      </w:pPr>
      <w:r w:rsidRPr="00006AF9">
        <w:rPr>
          <w:rFonts w:ascii="Arial" w:hAnsi="Arial" w:cs="Arial"/>
          <w:b/>
          <w:lang w:val="en-AU"/>
        </w:rPr>
        <w:t>Source:</w:t>
      </w:r>
      <w:r w:rsidRPr="00006AF9">
        <w:rPr>
          <w:rFonts w:ascii="Arial" w:hAnsi="Arial" w:cs="Arial"/>
          <w:b/>
          <w:bCs/>
          <w:lang w:val="en-AU"/>
        </w:rPr>
        <w:t xml:space="preserve"> </w:t>
      </w:r>
      <w:r w:rsidRPr="00006AF9">
        <w:rPr>
          <w:rFonts w:ascii="Arial" w:hAnsi="Arial" w:cs="Arial"/>
          <w:b/>
          <w:bCs/>
          <w:lang w:val="en-AU"/>
        </w:rPr>
        <w:tab/>
        <w:t>NEC</w:t>
      </w:r>
    </w:p>
    <w:p w:rsidR="00674296" w:rsidRPr="00B31292" w:rsidRDefault="00674296" w:rsidP="00674296">
      <w:pPr>
        <w:tabs>
          <w:tab w:val="left" w:pos="1820"/>
        </w:tabs>
        <w:spacing w:after="60"/>
        <w:ind w:left="1820" w:hanging="1820"/>
        <w:rPr>
          <w:rFonts w:ascii="Arial" w:hAnsi="Arial" w:cs="Arial"/>
          <w:b/>
          <w:lang w:val="en-AU"/>
        </w:rPr>
      </w:pPr>
      <w:r w:rsidRPr="00006AF9">
        <w:rPr>
          <w:rFonts w:ascii="Arial" w:hAnsi="Arial" w:cs="Arial"/>
          <w:b/>
          <w:lang w:val="en-AU"/>
        </w:rPr>
        <w:t>Title:</w:t>
      </w:r>
      <w:r w:rsidRPr="00006AF9">
        <w:rPr>
          <w:rFonts w:ascii="Arial" w:hAnsi="Arial" w:cs="Arial"/>
          <w:b/>
          <w:bCs/>
          <w:lang w:val="en-AU"/>
        </w:rPr>
        <w:tab/>
      </w:r>
      <w:r w:rsidR="00C028BB" w:rsidRPr="00006AF9">
        <w:rPr>
          <w:rFonts w:ascii="Arial" w:hAnsi="Arial" w:cs="Arial"/>
          <w:b/>
          <w:bCs/>
        </w:rPr>
        <w:t>On the need of CSI enhancements for MUST</w:t>
      </w:r>
    </w:p>
    <w:p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rsidR="00674296" w:rsidRPr="003436E1" w:rsidRDefault="00674296" w:rsidP="00674296">
      <w:pPr>
        <w:spacing w:after="120"/>
        <w:jc w:val="both"/>
        <w:rPr>
          <w:bCs/>
          <w:sz w:val="22"/>
          <w:szCs w:val="22"/>
          <w:lang w:val="en-GB" w:eastAsia="en-AU"/>
        </w:rPr>
      </w:pPr>
      <w:r>
        <w:rPr>
          <w:bCs/>
          <w:sz w:val="22"/>
          <w:szCs w:val="22"/>
          <w:lang w:val="en-AU" w:eastAsia="en-AU"/>
        </w:rPr>
        <w:t xml:space="preserve">The main objective of the </w:t>
      </w:r>
      <w:r w:rsidR="000270DA">
        <w:rPr>
          <w:bCs/>
          <w:sz w:val="22"/>
          <w:szCs w:val="22"/>
          <w:lang w:val="en-AU" w:eastAsia="en-AU"/>
        </w:rPr>
        <w:t xml:space="preserve">MUST </w:t>
      </w:r>
      <w:r>
        <w:rPr>
          <w:bCs/>
          <w:sz w:val="22"/>
          <w:szCs w:val="22"/>
          <w:lang w:val="en-AU" w:eastAsia="en-AU"/>
        </w:rPr>
        <w:t>study item</w:t>
      </w:r>
      <w:r w:rsidR="000270DA">
        <w:rPr>
          <w:bCs/>
          <w:sz w:val="22"/>
          <w:szCs w:val="22"/>
          <w:lang w:val="en-AU" w:eastAsia="en-AU"/>
        </w:rPr>
        <w:t xml:space="preserve"> [1]</w:t>
      </w:r>
      <w:r>
        <w:rPr>
          <w:bCs/>
          <w:sz w:val="22"/>
          <w:szCs w:val="22"/>
          <w:lang w:val="en-AU" w:eastAsia="en-AU"/>
        </w:rPr>
        <w:t xml:space="preserve"> is to i</w:t>
      </w:r>
      <w:bookmarkStart w:id="1" w:name="OLE_LINK1"/>
      <w:bookmarkStart w:id="2" w:name="OLE_LINK2"/>
      <w:r>
        <w:rPr>
          <w:bCs/>
          <w:sz w:val="22"/>
          <w:szCs w:val="22"/>
          <w:lang w:val="en-AU" w:eastAsia="en-AU"/>
        </w:rPr>
        <w:t xml:space="preserve">dentify </w:t>
      </w:r>
      <w:r w:rsidRPr="003436E1">
        <w:rPr>
          <w:rFonts w:hint="eastAsia"/>
          <w:bCs/>
          <w:sz w:val="22"/>
          <w:szCs w:val="22"/>
          <w:lang w:val="en-GB" w:eastAsia="en-AU"/>
        </w:rPr>
        <w:t xml:space="preserve">and study possible enhancements of downlink multiuser transmission schemes for the superposition of PDSCH and PDSCH within </w:t>
      </w:r>
      <w:r w:rsidRPr="003436E1">
        <w:rPr>
          <w:bCs/>
          <w:sz w:val="22"/>
          <w:szCs w:val="22"/>
          <w:lang w:val="en-GB" w:eastAsia="en-AU"/>
        </w:rPr>
        <w:t>one</w:t>
      </w:r>
      <w:r w:rsidRPr="003436E1">
        <w:rPr>
          <w:rFonts w:hint="eastAsia"/>
          <w:bCs/>
          <w:sz w:val="22"/>
          <w:szCs w:val="22"/>
          <w:lang w:val="en-GB" w:eastAsia="en-AU"/>
        </w:rPr>
        <w:t xml:space="preserve"> cell</w:t>
      </w:r>
      <w:bookmarkEnd w:id="1"/>
      <w:bookmarkEnd w:id="2"/>
      <w:r w:rsidRPr="003436E1">
        <w:rPr>
          <w:rFonts w:hint="eastAsia"/>
          <w:bCs/>
          <w:sz w:val="22"/>
          <w:szCs w:val="22"/>
          <w:lang w:val="en-GB" w:eastAsia="en-AU"/>
        </w:rPr>
        <w:t>.</w:t>
      </w:r>
      <w:r>
        <w:rPr>
          <w:bCs/>
          <w:sz w:val="22"/>
          <w:szCs w:val="22"/>
          <w:lang w:val="en-GB" w:eastAsia="en-AU"/>
        </w:rPr>
        <w:t xml:space="preserve"> Specifically, following aspects should be investigated. </w:t>
      </w:r>
    </w:p>
    <w:p w:rsidR="00674296" w:rsidRPr="003436E1" w:rsidRDefault="00674296" w:rsidP="00674296">
      <w:pPr>
        <w:numPr>
          <w:ilvl w:val="0"/>
          <w:numId w:val="3"/>
        </w:numPr>
        <w:spacing w:after="120"/>
        <w:jc w:val="both"/>
        <w:rPr>
          <w:bCs/>
          <w:sz w:val="22"/>
          <w:szCs w:val="22"/>
          <w:lang w:val="en-GB" w:eastAsia="en-AU"/>
        </w:rPr>
      </w:pPr>
      <w:r>
        <w:rPr>
          <w:bCs/>
          <w:sz w:val="22"/>
          <w:szCs w:val="22"/>
          <w:lang w:val="en-GB" w:eastAsia="en-AU"/>
        </w:rPr>
        <w:t>T</w:t>
      </w:r>
      <w:r w:rsidRPr="003436E1">
        <w:rPr>
          <w:bCs/>
          <w:sz w:val="22"/>
          <w:szCs w:val="22"/>
          <w:lang w:val="en-GB" w:eastAsia="en-AU"/>
        </w:rPr>
        <w:t xml:space="preserve">he potential gain of schemes enabling the simultaneous transmission of more than one layer of data for more than one UE without time, frequency and spatial </w:t>
      </w:r>
      <w:r w:rsidRPr="003436E1">
        <w:rPr>
          <w:rFonts w:hint="eastAsia"/>
          <w:bCs/>
          <w:sz w:val="22"/>
          <w:szCs w:val="22"/>
          <w:lang w:val="en-GB" w:eastAsia="en-AU"/>
        </w:rPr>
        <w:t xml:space="preserve">layer </w:t>
      </w:r>
      <w:r w:rsidRPr="003436E1">
        <w:rPr>
          <w:bCs/>
          <w:sz w:val="22"/>
          <w:szCs w:val="22"/>
          <w:lang w:val="en-GB" w:eastAsia="en-AU"/>
        </w:rPr>
        <w:t xml:space="preserve">separation </w:t>
      </w:r>
      <w:r w:rsidRPr="003436E1">
        <w:rPr>
          <w:rFonts w:hint="eastAsia"/>
          <w:bCs/>
          <w:sz w:val="22"/>
          <w:szCs w:val="22"/>
          <w:lang w:val="en-GB" w:eastAsia="en-AU"/>
        </w:rPr>
        <w:t>(i.e</w:t>
      </w:r>
      <w:r w:rsidRPr="003436E1">
        <w:rPr>
          <w:bCs/>
          <w:sz w:val="22"/>
          <w:szCs w:val="22"/>
          <w:lang w:val="en-GB" w:eastAsia="en-AU"/>
        </w:rPr>
        <w:t xml:space="preserve">.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sidRPr="003436E1">
        <w:rPr>
          <w:rFonts w:hint="eastAsia"/>
          <w:bCs/>
          <w:sz w:val="22"/>
          <w:szCs w:val="22"/>
          <w:lang w:val="en-GB" w:eastAsia="en-AU"/>
        </w:rPr>
        <w:t xml:space="preserve"> over the existing Rel-12 techniques.</w:t>
      </w:r>
    </w:p>
    <w:p w:rsidR="00674296" w:rsidRPr="003436E1" w:rsidRDefault="00674296" w:rsidP="00674296">
      <w:pPr>
        <w:numPr>
          <w:ilvl w:val="0"/>
          <w:numId w:val="3"/>
        </w:numPr>
        <w:spacing w:after="120"/>
        <w:jc w:val="both"/>
        <w:rPr>
          <w:bCs/>
          <w:sz w:val="22"/>
          <w:szCs w:val="22"/>
          <w:lang w:val="en-GB" w:eastAsia="en-AU"/>
        </w:rPr>
      </w:pPr>
      <w:r w:rsidRPr="003436E1">
        <w:rPr>
          <w:rFonts w:hint="eastAsia"/>
          <w:bCs/>
          <w:sz w:val="22"/>
          <w:szCs w:val="22"/>
          <w:lang w:val="en-GB" w:eastAsia="en-AU"/>
        </w:rPr>
        <w:t>Identify required standard</w:t>
      </w:r>
      <w:r w:rsidRPr="003436E1">
        <w:rPr>
          <w:bCs/>
          <w:sz w:val="22"/>
          <w:szCs w:val="22"/>
          <w:lang w:val="en-GB" w:eastAsia="en-AU"/>
        </w:rPr>
        <w:t xml:space="preserve"> changes needed to </w:t>
      </w:r>
      <w:r w:rsidRPr="003436E1">
        <w:rPr>
          <w:rFonts w:hint="eastAsia"/>
          <w:bCs/>
          <w:sz w:val="22"/>
          <w:szCs w:val="22"/>
          <w:lang w:val="en-GB" w:eastAsia="en-AU"/>
        </w:rPr>
        <w:t>assist UE</w:t>
      </w:r>
      <w:r w:rsidRPr="003436E1">
        <w:rPr>
          <w:bCs/>
          <w:sz w:val="22"/>
          <w:szCs w:val="22"/>
          <w:lang w:val="en-GB" w:eastAsia="en-AU"/>
        </w:rPr>
        <w:t xml:space="preserve"> </w:t>
      </w:r>
      <w:r w:rsidRPr="003436E1">
        <w:rPr>
          <w:rFonts w:hint="eastAsia"/>
          <w:bCs/>
          <w:sz w:val="22"/>
          <w:szCs w:val="22"/>
          <w:lang w:val="en-GB" w:eastAsia="en-AU"/>
        </w:rPr>
        <w:t>intra-cell interference cancellation or suppression</w:t>
      </w:r>
      <w:r w:rsidRPr="003436E1">
        <w:rPr>
          <w:bCs/>
          <w:sz w:val="22"/>
          <w:szCs w:val="22"/>
          <w:lang w:val="en-GB" w:eastAsia="en-AU"/>
        </w:rPr>
        <w:t xml:space="preserve"> for the objectives listed above</w:t>
      </w:r>
      <w:r w:rsidRPr="003436E1">
        <w:rPr>
          <w:rFonts w:hint="eastAsia"/>
          <w:bCs/>
          <w:sz w:val="22"/>
          <w:szCs w:val="22"/>
          <w:lang w:val="en-GB" w:eastAsia="en-AU"/>
        </w:rPr>
        <w:t>.</w:t>
      </w:r>
    </w:p>
    <w:p w:rsidR="00C33D7A" w:rsidRDefault="00B05C6A" w:rsidP="00674296">
      <w:pPr>
        <w:spacing w:after="120"/>
        <w:jc w:val="both"/>
        <w:rPr>
          <w:bCs/>
          <w:sz w:val="22"/>
          <w:szCs w:val="22"/>
          <w:lang w:val="en-AU" w:eastAsia="en-AU"/>
        </w:rPr>
      </w:pPr>
      <w:r>
        <w:rPr>
          <w:bCs/>
          <w:sz w:val="22"/>
          <w:szCs w:val="22"/>
          <w:lang w:val="en-AU" w:eastAsia="en-AU"/>
        </w:rPr>
        <w:t xml:space="preserve">Further to this, </w:t>
      </w:r>
      <w:r w:rsidR="00C33D7A">
        <w:rPr>
          <w:bCs/>
          <w:sz w:val="22"/>
          <w:szCs w:val="22"/>
          <w:lang w:val="en-AU" w:eastAsia="en-AU"/>
        </w:rPr>
        <w:t xml:space="preserve">following four combinations of mixed transmission modes were agreed to be considered in MUST evaluation if time permits </w:t>
      </w:r>
      <w:r w:rsidR="00073204">
        <w:rPr>
          <w:bCs/>
          <w:sz w:val="22"/>
          <w:szCs w:val="22"/>
          <w:lang w:val="en-AU" w:eastAsia="en-AU"/>
        </w:rPr>
        <w:t>[2] and [3]</w:t>
      </w:r>
      <w:r w:rsidR="00C33D7A">
        <w:rPr>
          <w:bCs/>
          <w:sz w:val="22"/>
          <w:szCs w:val="22"/>
          <w:lang w:val="en-AU" w:eastAsia="en-AU"/>
        </w:rPr>
        <w:t>:</w:t>
      </w:r>
    </w:p>
    <w:p w:rsidR="00DA71F9"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00DA71F9" w:rsidRPr="00D1200D">
        <w:rPr>
          <w:rFonts w:ascii="Times New Roman" w:hAnsi="Times New Roman"/>
          <w:bCs/>
        </w:rPr>
        <w:t>cheme and Large Delay CDD scheme</w:t>
      </w:r>
    </w:p>
    <w:p w:rsidR="00DA71F9"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w:t>
      </w:r>
      <w:r w:rsidR="00DA71F9" w:rsidRPr="00D1200D">
        <w:rPr>
          <w:rFonts w:ascii="Times New Roman" w:hAnsi="Times New Roman"/>
          <w:bCs/>
        </w:rPr>
        <w:t xml:space="preserve">iversity </w:t>
      </w:r>
      <w:r>
        <w:rPr>
          <w:rFonts w:ascii="Times New Roman" w:hAnsi="Times New Roman"/>
          <w:bCs/>
        </w:rPr>
        <w:t>s</w:t>
      </w:r>
      <w:r w:rsidR="00DA71F9" w:rsidRPr="00D1200D">
        <w:rPr>
          <w:rFonts w:ascii="Times New Roman" w:hAnsi="Times New Roman"/>
          <w:bCs/>
        </w:rPr>
        <w:t>cheme and Closed-loop spatial multiplexing scheme</w:t>
      </w:r>
    </w:p>
    <w:p w:rsidR="0070563B" w:rsidRPr="00D1200D" w:rsidRDefault="00A074F8" w:rsidP="00DA71F9">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0070563B" w:rsidRPr="00D1200D">
        <w:rPr>
          <w:rFonts w:ascii="Times New Roman" w:hAnsi="Times New Roman"/>
          <w:bCs/>
        </w:rPr>
        <w:t>cheme and up to 8 layer transmission scheme</w:t>
      </w:r>
    </w:p>
    <w:p w:rsidR="00B05C6A" w:rsidRPr="00E74C8B" w:rsidRDefault="00D1200D" w:rsidP="00674296">
      <w:pPr>
        <w:pStyle w:val="ListParagraph"/>
        <w:numPr>
          <w:ilvl w:val="0"/>
          <w:numId w:val="7"/>
        </w:numPr>
        <w:spacing w:after="120"/>
        <w:jc w:val="both"/>
        <w:rPr>
          <w:rFonts w:ascii="Times New Roman" w:hAnsi="Times New Roman"/>
          <w:bCs/>
        </w:rPr>
      </w:pPr>
      <w:r w:rsidRPr="00D1200D">
        <w:rPr>
          <w:rFonts w:ascii="Times New Roman" w:hAnsi="Times New Roman"/>
          <w:bCs/>
        </w:rPr>
        <w:t>Single-antenna port scheme (port 7 or 8)</w:t>
      </w:r>
      <w:r w:rsidR="00C9378A">
        <w:rPr>
          <w:rFonts w:ascii="Times New Roman" w:hAnsi="Times New Roman"/>
          <w:bCs/>
        </w:rPr>
        <w:t xml:space="preserve"> and large delay CDD scheme</w:t>
      </w:r>
    </w:p>
    <w:p w:rsidR="00E74C8B" w:rsidRDefault="00E74C8B" w:rsidP="00674296">
      <w:pPr>
        <w:spacing w:after="120"/>
        <w:jc w:val="both"/>
        <w:rPr>
          <w:bCs/>
          <w:sz w:val="22"/>
          <w:szCs w:val="22"/>
          <w:lang w:val="en-AU" w:eastAsia="en-AU"/>
        </w:rPr>
      </w:pPr>
      <w:r>
        <w:rPr>
          <w:bCs/>
          <w:sz w:val="22"/>
          <w:szCs w:val="22"/>
          <w:lang w:val="en-AU" w:eastAsia="en-AU"/>
        </w:rPr>
        <w:t>During previous meetings, companies have discussed different aspects related to MUST implementation in LTE. Those include, MUST receiver types, legacy UE support, downlink signalling enha</w:t>
      </w:r>
      <w:r w:rsidR="006321B0">
        <w:rPr>
          <w:bCs/>
          <w:sz w:val="22"/>
          <w:szCs w:val="22"/>
          <w:lang w:val="en-AU" w:eastAsia="en-AU"/>
        </w:rPr>
        <w:t>ncements and CSI enhancements.</w:t>
      </w:r>
    </w:p>
    <w:p w:rsidR="00674296" w:rsidRPr="006675FE" w:rsidRDefault="00674296" w:rsidP="00674296">
      <w:pPr>
        <w:spacing w:after="120"/>
        <w:jc w:val="both"/>
        <w:rPr>
          <w:bCs/>
          <w:sz w:val="22"/>
          <w:szCs w:val="22"/>
          <w:lang w:val="en-AU" w:eastAsia="en-AU"/>
        </w:rPr>
      </w:pPr>
      <w:r>
        <w:rPr>
          <w:bCs/>
          <w:sz w:val="22"/>
          <w:szCs w:val="22"/>
          <w:lang w:val="en-AU" w:eastAsia="en-AU"/>
        </w:rPr>
        <w:t xml:space="preserve">In this contribution, </w:t>
      </w:r>
      <w:r w:rsidR="00E74C8B">
        <w:rPr>
          <w:bCs/>
          <w:sz w:val="22"/>
          <w:szCs w:val="22"/>
          <w:lang w:val="en-AU" w:eastAsia="en-AU"/>
        </w:rPr>
        <w:t>we aim to further elaborate the need of CSI enhancements in order to supp</w:t>
      </w:r>
      <w:r w:rsidR="006321B0">
        <w:rPr>
          <w:bCs/>
          <w:sz w:val="22"/>
          <w:szCs w:val="22"/>
          <w:lang w:val="en-AU" w:eastAsia="en-AU"/>
        </w:rPr>
        <w:t>ort MUST scheduling at the eNB.</w:t>
      </w:r>
    </w:p>
    <w:p w:rsidR="00674296" w:rsidRDefault="00674296" w:rsidP="00674296">
      <w:pPr>
        <w:pStyle w:val="Heading1"/>
        <w:spacing w:after="120"/>
        <w:jc w:val="both"/>
        <w:rPr>
          <w:sz w:val="22"/>
          <w:szCs w:val="22"/>
          <w:lang w:val="en-AU" w:eastAsia="en-AU"/>
        </w:rPr>
      </w:pPr>
      <w:r w:rsidRPr="006675FE">
        <w:rPr>
          <w:sz w:val="22"/>
          <w:szCs w:val="22"/>
          <w:lang w:val="en-AU" w:eastAsia="en-AU"/>
        </w:rPr>
        <w:t>Discussion</w:t>
      </w:r>
    </w:p>
    <w:p w:rsidR="00E332A0" w:rsidRPr="008D3CA7" w:rsidRDefault="00FC4210" w:rsidP="00006AF9">
      <w:pPr>
        <w:pStyle w:val="NoSpacing"/>
        <w:spacing w:after="60"/>
        <w:jc w:val="both"/>
        <w:rPr>
          <w:rFonts w:ascii="Times New Roman" w:hAnsi="Times New Roman" w:cs="Times New Roman"/>
        </w:rPr>
      </w:pPr>
      <w:r w:rsidRPr="008D3CA7">
        <w:rPr>
          <w:rFonts w:ascii="Times New Roman" w:hAnsi="Times New Roman" w:cs="Times New Roman"/>
        </w:rPr>
        <w:t xml:space="preserve">In MUST, </w:t>
      </w:r>
      <w:r w:rsidR="00E332A0" w:rsidRPr="008D3CA7">
        <w:rPr>
          <w:rFonts w:ascii="Times New Roman" w:hAnsi="Times New Roman" w:cs="Times New Roman"/>
        </w:rPr>
        <w:t>non-orthogonally combined signals of two or more UEs</w:t>
      </w:r>
      <w:r w:rsidRPr="008D3CA7">
        <w:rPr>
          <w:rFonts w:ascii="Times New Roman" w:hAnsi="Times New Roman" w:cs="Times New Roman"/>
        </w:rPr>
        <w:t xml:space="preserve"> are transmitted</w:t>
      </w:r>
      <w:r w:rsidR="00E332A0" w:rsidRPr="008D3CA7">
        <w:rPr>
          <w:rFonts w:ascii="Times New Roman" w:hAnsi="Times New Roman" w:cs="Times New Roman"/>
        </w:rPr>
        <w:t xml:space="preserve"> in the same resource such that the two signals are differentiated in the power domain.</w:t>
      </w:r>
      <w:r w:rsidRPr="008D3CA7">
        <w:rPr>
          <w:rFonts w:ascii="Times New Roman" w:hAnsi="Times New Roman" w:cs="Times New Roman"/>
        </w:rPr>
        <w:t xml:space="preserve"> </w:t>
      </w:r>
      <w:r w:rsidR="00E332A0" w:rsidRPr="008D3CA7">
        <w:rPr>
          <w:rFonts w:ascii="Times New Roman" w:hAnsi="Times New Roman"/>
        </w:rPr>
        <w:t>In order to achieve power domain differentiation, eNB should pair the superimposed UEs such that two superimposed signals fulfil following conditions:</w:t>
      </w:r>
    </w:p>
    <w:p w:rsidR="00E332A0" w:rsidRPr="008D3CA7" w:rsidRDefault="00E332A0" w:rsidP="00006AF9">
      <w:pPr>
        <w:pStyle w:val="ListParagraph"/>
        <w:numPr>
          <w:ilvl w:val="0"/>
          <w:numId w:val="8"/>
        </w:numPr>
        <w:spacing w:after="60" w:line="276" w:lineRule="auto"/>
        <w:contextualSpacing/>
        <w:jc w:val="both"/>
        <w:rPr>
          <w:rFonts w:ascii="Times New Roman" w:hAnsi="Times New Roman"/>
        </w:rPr>
      </w:pPr>
      <w:r w:rsidRPr="008D3CA7">
        <w:rPr>
          <w:rFonts w:ascii="Times New Roman" w:hAnsi="Times New Roman"/>
        </w:rPr>
        <w:t>Near UE’s signal never reaches at the Far UE/ appears as noise at the far UE.</w:t>
      </w:r>
    </w:p>
    <w:p w:rsidR="00E332A0" w:rsidRPr="008D3CA7" w:rsidRDefault="00E332A0" w:rsidP="00006AF9">
      <w:pPr>
        <w:pStyle w:val="ListParagraph"/>
        <w:numPr>
          <w:ilvl w:val="0"/>
          <w:numId w:val="8"/>
        </w:numPr>
        <w:spacing w:after="200" w:line="276" w:lineRule="auto"/>
        <w:contextualSpacing/>
        <w:jc w:val="both"/>
        <w:rPr>
          <w:rFonts w:ascii="Times New Roman" w:hAnsi="Times New Roman"/>
        </w:rPr>
      </w:pPr>
      <w:r w:rsidRPr="008D3CA7">
        <w:rPr>
          <w:rFonts w:ascii="Times New Roman" w:hAnsi="Times New Roman"/>
        </w:rPr>
        <w:t>Far UE’s signal is strong enough at the Near UE to achieve perfect decoding of Far UE’s signal at the Near UE</w:t>
      </w:r>
      <w:r w:rsidR="0085239B" w:rsidRPr="008D3CA7">
        <w:rPr>
          <w:rFonts w:ascii="Times New Roman" w:hAnsi="Times New Roman"/>
        </w:rPr>
        <w:t xml:space="preserve"> to </w:t>
      </w:r>
      <w:r w:rsidR="003D19EC" w:rsidRPr="008D3CA7">
        <w:rPr>
          <w:rFonts w:ascii="Times New Roman" w:hAnsi="Times New Roman"/>
        </w:rPr>
        <w:t>perform</w:t>
      </w:r>
      <w:r w:rsidRPr="008D3CA7">
        <w:rPr>
          <w:rFonts w:ascii="Times New Roman" w:hAnsi="Times New Roman"/>
        </w:rPr>
        <w:t xml:space="preserve"> perfect interference cancellation at the Near UE. </w:t>
      </w:r>
    </w:p>
    <w:p w:rsidR="008D3CA7" w:rsidRPr="000D2F3D" w:rsidRDefault="008D3CA7" w:rsidP="008D3CA7">
      <w:pPr>
        <w:spacing w:after="200" w:line="276" w:lineRule="auto"/>
        <w:contextualSpacing/>
        <w:jc w:val="both"/>
        <w:rPr>
          <w:sz w:val="22"/>
          <w:szCs w:val="22"/>
        </w:rPr>
      </w:pPr>
      <w:r w:rsidRPr="000D2F3D">
        <w:rPr>
          <w:sz w:val="22"/>
          <w:szCs w:val="22"/>
        </w:rPr>
        <w:t xml:space="preserve">In order to pair the UEs that satisfy above conditions and to schedule them with optimal MCS and power, eNB requires the knowledge of channel status (basically SINR) at the candidate MUST UEs. </w:t>
      </w:r>
    </w:p>
    <w:p w:rsidR="008D3CA7" w:rsidRPr="000D2F3D" w:rsidRDefault="008D3CA7" w:rsidP="008D3CA7">
      <w:pPr>
        <w:spacing w:after="200" w:line="276" w:lineRule="auto"/>
        <w:contextualSpacing/>
        <w:jc w:val="both"/>
        <w:rPr>
          <w:sz w:val="22"/>
          <w:szCs w:val="22"/>
        </w:rPr>
      </w:pPr>
    </w:p>
    <w:p w:rsidR="004A75E1" w:rsidRDefault="008D3CA7" w:rsidP="0057475E">
      <w:pPr>
        <w:spacing w:after="200" w:line="276" w:lineRule="auto"/>
        <w:contextualSpacing/>
        <w:jc w:val="both"/>
        <w:rPr>
          <w:sz w:val="22"/>
          <w:szCs w:val="22"/>
        </w:rPr>
      </w:pPr>
      <w:r w:rsidRPr="000D2F3D">
        <w:rPr>
          <w:sz w:val="22"/>
          <w:szCs w:val="22"/>
        </w:rPr>
        <w:t xml:space="preserve">Current LTE CSI reporting is designed for the eNB to obtain knowledge of </w:t>
      </w:r>
      <w:r w:rsidR="00236238" w:rsidRPr="000D2F3D">
        <w:rPr>
          <w:sz w:val="22"/>
          <w:szCs w:val="22"/>
        </w:rPr>
        <w:t xml:space="preserve">the downlink </w:t>
      </w:r>
      <w:r w:rsidRPr="000D2F3D">
        <w:rPr>
          <w:sz w:val="22"/>
          <w:szCs w:val="22"/>
        </w:rPr>
        <w:t xml:space="preserve">channel status at the UEs (in terms of CQI, PMI, RI) to assist </w:t>
      </w:r>
      <w:r w:rsidR="00236238" w:rsidRPr="000D2F3D">
        <w:rPr>
          <w:sz w:val="22"/>
          <w:szCs w:val="22"/>
        </w:rPr>
        <w:t xml:space="preserve">eNB </w:t>
      </w:r>
      <w:r w:rsidRPr="000D2F3D">
        <w:rPr>
          <w:sz w:val="22"/>
          <w:szCs w:val="22"/>
        </w:rPr>
        <w:t>scheduling</w:t>
      </w:r>
      <w:r w:rsidR="00236238" w:rsidRPr="000D2F3D">
        <w:rPr>
          <w:sz w:val="22"/>
          <w:szCs w:val="22"/>
        </w:rPr>
        <w:t xml:space="preserve"> in the downlink</w:t>
      </w:r>
      <w:r w:rsidRPr="000D2F3D">
        <w:rPr>
          <w:sz w:val="22"/>
          <w:szCs w:val="22"/>
        </w:rPr>
        <w:t>. However, current CSI reporting assumes single user transmission in a hypothetical transmission scheme that depends on the configured transmission mode (</w:t>
      </w:r>
      <w:r w:rsidRPr="000D2F3D">
        <w:rPr>
          <w:sz w:val="22"/>
          <w:szCs w:val="22"/>
          <w:lang w:val="en-GB"/>
        </w:rPr>
        <w:t xml:space="preserve">Table 7.2.3-0 of </w:t>
      </w:r>
      <w:r w:rsidR="00073204">
        <w:rPr>
          <w:sz w:val="22"/>
          <w:szCs w:val="22"/>
          <w:lang w:val="en-GB"/>
        </w:rPr>
        <w:t>[4]</w:t>
      </w:r>
      <w:r w:rsidRPr="000D2F3D">
        <w:rPr>
          <w:sz w:val="22"/>
          <w:szCs w:val="22"/>
          <w:lang w:val="en-GB"/>
        </w:rPr>
        <w:t>)</w:t>
      </w:r>
      <w:r w:rsidRPr="000D2F3D">
        <w:rPr>
          <w:sz w:val="22"/>
          <w:szCs w:val="22"/>
        </w:rPr>
        <w:t xml:space="preserve">. </w:t>
      </w:r>
      <w:r w:rsidR="004B4178" w:rsidRPr="000D2F3D">
        <w:rPr>
          <w:sz w:val="22"/>
          <w:szCs w:val="22"/>
        </w:rPr>
        <w:t xml:space="preserve">Therefore, it is necessary </w:t>
      </w:r>
      <w:r w:rsidR="00384F6D" w:rsidRPr="000D2F3D">
        <w:rPr>
          <w:sz w:val="22"/>
          <w:szCs w:val="22"/>
        </w:rPr>
        <w:t xml:space="preserve">to </w:t>
      </w:r>
      <w:r w:rsidR="004B4178" w:rsidRPr="000D2F3D">
        <w:rPr>
          <w:sz w:val="22"/>
          <w:szCs w:val="22"/>
        </w:rPr>
        <w:lastRenderedPageBreak/>
        <w:t>study the possibility of using current CSI reports to derive channel status under superposition transmission considering the impact on the achievable capacity</w:t>
      </w:r>
      <w:r w:rsidR="00E36D93" w:rsidRPr="000D2F3D">
        <w:rPr>
          <w:sz w:val="22"/>
          <w:szCs w:val="22"/>
        </w:rPr>
        <w:t xml:space="preserve"> as well as the characteristics of the superimposed signals (e.g., same transmission scheme or different transmission scheme</w:t>
      </w:r>
      <w:r w:rsidR="00236238" w:rsidRPr="000D2F3D">
        <w:rPr>
          <w:sz w:val="22"/>
          <w:szCs w:val="22"/>
        </w:rPr>
        <w:t>s)</w:t>
      </w:r>
      <w:r w:rsidR="00E36D93" w:rsidRPr="000D2F3D">
        <w:rPr>
          <w:sz w:val="22"/>
          <w:szCs w:val="22"/>
        </w:rPr>
        <w:t>.</w:t>
      </w:r>
    </w:p>
    <w:p w:rsidR="005722AF" w:rsidRDefault="000D0DE1" w:rsidP="00E36D93">
      <w:pPr>
        <w:pStyle w:val="Heading2"/>
        <w:tabs>
          <w:tab w:val="clear" w:pos="2694"/>
        </w:tabs>
        <w:ind w:left="567"/>
      </w:pPr>
      <w:r>
        <w:t>SINRs</w:t>
      </w:r>
      <w:r w:rsidR="005722AF">
        <w:t xml:space="preserve"> </w:t>
      </w:r>
      <w:r>
        <w:t>in</w:t>
      </w:r>
      <w:r w:rsidR="005722AF">
        <w:t xml:space="preserve"> MUST</w:t>
      </w:r>
    </w:p>
    <w:p w:rsidR="00AD47AB" w:rsidRDefault="005722AF" w:rsidP="005722AF">
      <w:pPr>
        <w:rPr>
          <w:sz w:val="22"/>
          <w:szCs w:val="22"/>
        </w:rPr>
      </w:pPr>
      <w:r w:rsidRPr="00AD47AB">
        <w:rPr>
          <w:sz w:val="22"/>
          <w:szCs w:val="22"/>
        </w:rPr>
        <w:t xml:space="preserve">In MUST, </w:t>
      </w:r>
      <w:r w:rsidR="000D0DE1">
        <w:rPr>
          <w:sz w:val="22"/>
          <w:szCs w:val="22"/>
        </w:rPr>
        <w:t>it is possible to identify three SINR categories depending on the UE’s role and desired signal</w:t>
      </w:r>
      <w:r w:rsidR="00C975A8">
        <w:rPr>
          <w:sz w:val="22"/>
          <w:szCs w:val="22"/>
        </w:rPr>
        <w:t xml:space="preserve"> as follows:</w:t>
      </w:r>
    </w:p>
    <w:p w:rsidR="00011802" w:rsidRDefault="000D0DE1" w:rsidP="00C975A8">
      <w:pPr>
        <w:pStyle w:val="ListParagraph"/>
        <w:numPr>
          <w:ilvl w:val="0"/>
          <w:numId w:val="9"/>
        </w:numPr>
        <w:rPr>
          <w:rFonts w:ascii="Times New Roman" w:hAnsi="Times New Roman"/>
        </w:rPr>
      </w:pPr>
      <w:r w:rsidRPr="00C975A8">
        <w:rPr>
          <w:rFonts w:ascii="Times New Roman" w:hAnsi="Times New Roman"/>
        </w:rPr>
        <w:t>SINR of Far UE’s signal at the Far UE</w:t>
      </w:r>
      <w:r w:rsidR="00F81D19">
        <w:rPr>
          <w:rFonts w:ascii="Times New Roman" w:hAnsi="Times New Roman"/>
        </w:rPr>
        <w:t xml:space="preserve"> (SINR-1)</w:t>
      </w:r>
      <w:r w:rsidR="00011802">
        <w:rPr>
          <w:rFonts w:ascii="Times New Roman" w:hAnsi="Times New Roman"/>
        </w:rPr>
        <w:t xml:space="preserve">: </w:t>
      </w:r>
    </w:p>
    <w:p w:rsidR="000D0DE1" w:rsidRDefault="00011802" w:rsidP="00B64DCB">
      <w:pPr>
        <w:pStyle w:val="ListParagraph"/>
        <w:jc w:val="both"/>
        <w:rPr>
          <w:rFonts w:ascii="Times New Roman" w:hAnsi="Times New Roman"/>
        </w:rPr>
      </w:pPr>
      <w:r>
        <w:rPr>
          <w:rFonts w:ascii="Times New Roman" w:hAnsi="Times New Roman"/>
        </w:rPr>
        <w:t>This can be written as</w:t>
      </w:r>
    </w:p>
    <w:p w:rsidR="00011802" w:rsidRPr="009D774D" w:rsidRDefault="00D05581" w:rsidP="00B64DCB">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oMath>
      <w:r w:rsidR="00011802" w:rsidRPr="009D774D">
        <w:rPr>
          <w:rFonts w:ascii="Times New Roman" w:eastAsiaTheme="minorEastAsia" w:hAnsi="Times New Roman"/>
        </w:rPr>
        <w:t xml:space="preserve">                                                              (1)</w:t>
      </w:r>
    </w:p>
    <w:p w:rsidR="00011802" w:rsidRDefault="00011802" w:rsidP="00B64DCB">
      <w:pPr>
        <w:pStyle w:val="ListParagraph"/>
        <w:jc w:val="both"/>
        <w:rPr>
          <w:rFonts w:ascii="Times New Roman" w:eastAsiaTheme="minorEastAsia" w:hAnsi="Times New Roman"/>
        </w:rPr>
      </w:pPr>
      <w:r w:rsidRPr="009D774D">
        <w:rPr>
          <w:rFonts w:ascii="Times New Roman" w:hAnsi="Times New Roman"/>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oMath>
      <w:r w:rsidRPr="009D774D">
        <w:rPr>
          <w:rFonts w:ascii="Times New Roman" w:eastAsiaTheme="minorEastAsia" w:hAnsi="Times New Roman"/>
        </w:rPr>
        <w:t xml:space="preserve"> is the signal power of the Far UE signal at the Far UE, </w:t>
      </w:r>
      <m:oMath>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oMath>
      <w:r w:rsidRPr="009D774D">
        <w:rPr>
          <w:rFonts w:ascii="Times New Roman" w:eastAsiaTheme="minorEastAsia" w:hAnsi="Times New Roman"/>
        </w:rPr>
        <w:t xml:space="preserve"> is the signal power of the Near UE’s signal at the Far UE (i.e., interference), and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9D774D">
        <w:rPr>
          <w:rFonts w:ascii="Times New Roman" w:eastAsiaTheme="minorEastAsia" w:hAnsi="Times New Roman"/>
        </w:rPr>
        <w:t xml:space="preserve"> is the noise power at the Far UE.</w:t>
      </w:r>
    </w:p>
    <w:p w:rsidR="00406F29" w:rsidRDefault="00406F29" w:rsidP="00B64DCB">
      <w:pPr>
        <w:pStyle w:val="ListParagraph"/>
        <w:jc w:val="both"/>
        <w:rPr>
          <w:rFonts w:ascii="Times New Roman" w:hAnsi="Times New Roman"/>
        </w:rPr>
      </w:pPr>
      <w:r>
        <w:rPr>
          <w:rFonts w:ascii="Times New Roman" w:eastAsiaTheme="minorEastAsia" w:hAnsi="Times New Roman"/>
        </w:rPr>
        <w:t xml:space="preserve">Knowledge of this SINR is needed at the eNB to schedule appropriate MCS and power to the Far UE in superposition. </w:t>
      </w:r>
    </w:p>
    <w:p w:rsidR="00C975A8" w:rsidRDefault="00C975A8" w:rsidP="00C975A8">
      <w:pPr>
        <w:pStyle w:val="ListParagraph"/>
        <w:numPr>
          <w:ilvl w:val="0"/>
          <w:numId w:val="9"/>
        </w:numPr>
        <w:rPr>
          <w:rFonts w:ascii="Times New Roman" w:hAnsi="Times New Roman"/>
        </w:rPr>
      </w:pPr>
      <w:r>
        <w:rPr>
          <w:rFonts w:ascii="Times New Roman" w:hAnsi="Times New Roman"/>
        </w:rPr>
        <w:t>SINR of Far UE’s signal at the Near UE</w:t>
      </w:r>
      <w:r w:rsidR="00F81D19">
        <w:rPr>
          <w:rFonts w:ascii="Times New Roman" w:hAnsi="Times New Roman"/>
        </w:rPr>
        <w:t xml:space="preserve"> (SINR-2):</w:t>
      </w:r>
    </w:p>
    <w:p w:rsidR="005C1EC9" w:rsidRDefault="005C1EC9" w:rsidP="005C1EC9">
      <w:pPr>
        <w:pStyle w:val="ListParagraph"/>
        <w:rPr>
          <w:rFonts w:ascii="Times New Roman" w:hAnsi="Times New Roman"/>
        </w:rPr>
      </w:pPr>
      <w:r>
        <w:rPr>
          <w:rFonts w:ascii="Times New Roman" w:hAnsi="Times New Roman"/>
        </w:rPr>
        <w:t>This can be written as</w:t>
      </w:r>
    </w:p>
    <w:p w:rsidR="005C1EC9" w:rsidRPr="009D774D" w:rsidRDefault="00D05581" w:rsidP="005C1EC9">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oMath>
      <w:r w:rsidR="005C1EC9" w:rsidRPr="009D774D">
        <w:rPr>
          <w:rFonts w:ascii="Times New Roman" w:eastAsiaTheme="minorEastAsia" w:hAnsi="Times New Roman"/>
        </w:rPr>
        <w:t xml:space="preserve">                                                              (</w:t>
      </w:r>
      <w:r w:rsidR="005C1EC9">
        <w:rPr>
          <w:rFonts w:ascii="Times New Roman" w:eastAsiaTheme="minorEastAsia" w:hAnsi="Times New Roman"/>
        </w:rPr>
        <w:t>2</w:t>
      </w:r>
      <w:r w:rsidR="005C1EC9" w:rsidRPr="009D774D">
        <w:rPr>
          <w:rFonts w:ascii="Times New Roman" w:eastAsiaTheme="minorEastAsia" w:hAnsi="Times New Roman"/>
        </w:rPr>
        <w:t>)</w:t>
      </w:r>
    </w:p>
    <w:p w:rsidR="00424AEA" w:rsidRDefault="00424AEA" w:rsidP="00424AEA">
      <w:pPr>
        <w:pStyle w:val="ListParagraph"/>
        <w:rPr>
          <w:rFonts w:ascii="Times New Roman" w:hAnsi="Times New Roman"/>
        </w:rPr>
      </w:pPr>
      <w:r w:rsidRPr="009D774D">
        <w:rPr>
          <w:rFonts w:ascii="Times New Roman" w:hAnsi="Times New Roman"/>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oMath>
      <w:r w:rsidRPr="009D774D">
        <w:rPr>
          <w:rFonts w:ascii="Times New Roman" w:eastAsiaTheme="minorEastAsia" w:hAnsi="Times New Roman"/>
        </w:rPr>
        <w:t xml:space="preserve"> is the signal power of the Far UE signal at the </w:t>
      </w:r>
      <w:r>
        <w:rPr>
          <w:rFonts w:ascii="Times New Roman" w:eastAsiaTheme="minorEastAsia" w:hAnsi="Times New Roman"/>
        </w:rPr>
        <w:t>Near</w:t>
      </w:r>
      <w:r w:rsidRPr="009D774D">
        <w:rPr>
          <w:rFonts w:ascii="Times New Roman" w:eastAsiaTheme="minorEastAsia" w:hAnsi="Times New Roman"/>
        </w:rPr>
        <w:t xml:space="preserve"> UE,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oMath>
      <w:r w:rsidRPr="009D774D">
        <w:rPr>
          <w:rFonts w:ascii="Times New Roman" w:eastAsiaTheme="minorEastAsia" w:hAnsi="Times New Roman"/>
        </w:rPr>
        <w:t xml:space="preserve"> is the signal power of the Near UE’s signal at the </w:t>
      </w:r>
      <w:r>
        <w:rPr>
          <w:rFonts w:ascii="Times New Roman" w:eastAsiaTheme="minorEastAsia" w:hAnsi="Times New Roman"/>
        </w:rPr>
        <w:t>Near</w:t>
      </w:r>
      <w:r w:rsidRPr="009D774D">
        <w:rPr>
          <w:rFonts w:ascii="Times New Roman" w:eastAsiaTheme="minorEastAsia" w:hAnsi="Times New Roman"/>
        </w:rPr>
        <w:t xml:space="preserve"> UE (i.e., interference), and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rsidRPr="009D774D">
        <w:rPr>
          <w:rFonts w:ascii="Times New Roman" w:eastAsiaTheme="minorEastAsia" w:hAnsi="Times New Roman"/>
        </w:rPr>
        <w:t xml:space="preserve"> is the noise power at the </w:t>
      </w:r>
      <w:r w:rsidR="00AA7F75">
        <w:rPr>
          <w:rFonts w:ascii="Times New Roman" w:eastAsiaTheme="minorEastAsia" w:hAnsi="Times New Roman"/>
        </w:rPr>
        <w:t>Near</w:t>
      </w:r>
      <w:r w:rsidRPr="009D774D">
        <w:rPr>
          <w:rFonts w:ascii="Times New Roman" w:eastAsiaTheme="minorEastAsia" w:hAnsi="Times New Roman"/>
        </w:rPr>
        <w:t xml:space="preserve"> UE.</w:t>
      </w:r>
    </w:p>
    <w:p w:rsidR="005C1EC9" w:rsidRDefault="005C1EC9" w:rsidP="005C1EC9">
      <w:pPr>
        <w:pStyle w:val="ListParagraph"/>
        <w:rPr>
          <w:rFonts w:ascii="Times New Roman" w:hAnsi="Times New Roman"/>
        </w:rPr>
      </w:pPr>
    </w:p>
    <w:p w:rsidR="00C975A8" w:rsidRDefault="00C975A8" w:rsidP="00C975A8">
      <w:pPr>
        <w:pStyle w:val="ListParagraph"/>
        <w:numPr>
          <w:ilvl w:val="0"/>
          <w:numId w:val="9"/>
        </w:numPr>
        <w:rPr>
          <w:rFonts w:ascii="Times New Roman" w:hAnsi="Times New Roman"/>
        </w:rPr>
      </w:pPr>
      <w:r>
        <w:rPr>
          <w:rFonts w:ascii="Times New Roman" w:hAnsi="Times New Roman"/>
        </w:rPr>
        <w:t>SINR of the Near UE’s signal at the Near UE</w:t>
      </w:r>
      <w:r w:rsidR="00F81D19">
        <w:rPr>
          <w:rFonts w:ascii="Times New Roman" w:hAnsi="Times New Roman"/>
        </w:rPr>
        <w:t xml:space="preserve"> (SINR-3):</w:t>
      </w:r>
    </w:p>
    <w:p w:rsidR="00EB49C3" w:rsidRDefault="00EB49C3" w:rsidP="00EB49C3">
      <w:pPr>
        <w:pStyle w:val="ListParagraph"/>
        <w:rPr>
          <w:rFonts w:ascii="Times New Roman" w:hAnsi="Times New Roman"/>
        </w:rPr>
      </w:pPr>
      <w:r>
        <w:rPr>
          <w:rFonts w:ascii="Times New Roman" w:hAnsi="Times New Roman"/>
        </w:rPr>
        <w:t>This can be written as</w:t>
      </w:r>
    </w:p>
    <w:p w:rsidR="007A60A6" w:rsidRPr="009D774D" w:rsidRDefault="00D05581" w:rsidP="007A60A6">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num>
          <m:den>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oMath>
      <w:r w:rsidR="007A60A6" w:rsidRPr="009D774D">
        <w:rPr>
          <w:rFonts w:ascii="Times New Roman" w:eastAsiaTheme="minorEastAsia" w:hAnsi="Times New Roman"/>
        </w:rPr>
        <w:t xml:space="preserve">                                                              (</w:t>
      </w:r>
      <w:r w:rsidR="007F73B0">
        <w:rPr>
          <w:rFonts w:ascii="Times New Roman" w:eastAsiaTheme="minorEastAsia" w:hAnsi="Times New Roman"/>
        </w:rPr>
        <w:t>3</w:t>
      </w:r>
      <w:r w:rsidR="007A60A6" w:rsidRPr="009D774D">
        <w:rPr>
          <w:rFonts w:ascii="Times New Roman" w:eastAsiaTheme="minorEastAsia" w:hAnsi="Times New Roman"/>
        </w:rPr>
        <w:t>)</w:t>
      </w:r>
    </w:p>
    <w:p w:rsidR="00EB49C3" w:rsidRPr="00C975A8" w:rsidRDefault="00EB49C3" w:rsidP="00EB49C3">
      <w:pPr>
        <w:pStyle w:val="ListParagraph"/>
        <w:rPr>
          <w:rFonts w:ascii="Times New Roman" w:hAnsi="Times New Roman"/>
        </w:rPr>
      </w:pPr>
    </w:p>
    <w:p w:rsidR="002E0C61" w:rsidRPr="00236238" w:rsidRDefault="002E0C61" w:rsidP="00AC3E62">
      <w:pPr>
        <w:spacing w:after="120"/>
        <w:ind w:left="720"/>
        <w:rPr>
          <w:sz w:val="22"/>
          <w:szCs w:val="22"/>
          <w:lang w:val="en-AU"/>
        </w:rPr>
      </w:pPr>
      <w:r w:rsidRPr="00236238">
        <w:rPr>
          <w:sz w:val="22"/>
          <w:szCs w:val="22"/>
        </w:rPr>
        <w:t xml:space="preserve">Where </w:t>
      </w:r>
      <m:oMath>
        <m:sSubSup>
          <m:sSubSupPr>
            <m:ctrlPr>
              <w:rPr>
                <w:rFonts w:ascii="Cambria Math" w:hAnsi="Cambria Math"/>
                <w:i/>
                <w:sz w:val="22"/>
                <w:szCs w:val="22"/>
                <w:lang w:val="en-AU"/>
              </w:rPr>
            </m:ctrlPr>
          </m:sSubSupPr>
          <m:e>
            <m:r>
              <w:rPr>
                <w:rFonts w:ascii="Cambria Math" w:hAnsi="Cambria Math"/>
                <w:sz w:val="22"/>
                <w:szCs w:val="22"/>
                <w:lang w:val="en-AU"/>
              </w:rPr>
              <m:t>S</m:t>
            </m:r>
          </m:e>
          <m:sub>
            <m:r>
              <w:rPr>
                <w:rFonts w:ascii="Cambria Math" w:hAnsi="Cambria Math"/>
                <w:sz w:val="22"/>
                <w:szCs w:val="22"/>
                <w:lang w:val="en-AU"/>
              </w:rPr>
              <m:t>N</m:t>
            </m:r>
          </m:sub>
          <m:sup>
            <m:r>
              <w:rPr>
                <w:rFonts w:ascii="Cambria Math" w:hAnsi="Cambria Math"/>
                <w:sz w:val="22"/>
                <w:szCs w:val="22"/>
                <w:lang w:val="en-AU"/>
              </w:rPr>
              <m:t>N</m:t>
            </m:r>
          </m:sup>
        </m:sSubSup>
      </m:oMath>
      <w:r w:rsidRPr="00236238">
        <w:rPr>
          <w:sz w:val="22"/>
          <w:szCs w:val="22"/>
          <w:lang w:val="en-AU"/>
        </w:rPr>
        <w:t xml:space="preserve"> is the signal power of the Near UE signal at the Near </w:t>
      </w:r>
      <w:r w:rsidR="00AB1865" w:rsidRPr="00236238">
        <w:rPr>
          <w:sz w:val="22"/>
          <w:szCs w:val="22"/>
          <w:lang w:val="en-AU"/>
        </w:rPr>
        <w:t>UE</w:t>
      </w:r>
      <w:r w:rsidRPr="00236238">
        <w:rPr>
          <w:sz w:val="22"/>
          <w:szCs w:val="22"/>
          <w:lang w:val="en-AU"/>
        </w:rPr>
        <w:t xml:space="preserve"> </w:t>
      </w:r>
      <m:oMath>
        <m:sSub>
          <m:sSubPr>
            <m:ctrlPr>
              <w:rPr>
                <w:rFonts w:ascii="Cambria Math" w:hAnsi="Cambria Math"/>
                <w:i/>
                <w:sz w:val="22"/>
                <w:szCs w:val="22"/>
                <w:lang w:val="en-AU"/>
              </w:rPr>
            </m:ctrlPr>
          </m:sSubPr>
          <m:e>
            <m:r>
              <w:rPr>
                <w:rFonts w:ascii="Cambria Math" w:hAnsi="Cambria Math"/>
                <w:sz w:val="22"/>
                <w:szCs w:val="22"/>
                <w:lang w:val="en-AU"/>
              </w:rPr>
              <m:t>I</m:t>
            </m:r>
          </m:e>
          <m:sub>
            <m:r>
              <w:rPr>
                <w:rFonts w:ascii="Cambria Math" w:hAnsi="Cambria Math"/>
                <w:sz w:val="22"/>
                <w:szCs w:val="22"/>
                <w:lang w:val="en-AU"/>
              </w:rPr>
              <m:t>R</m:t>
            </m:r>
          </m:sub>
        </m:sSub>
      </m:oMath>
      <w:r w:rsidRPr="00236238">
        <w:rPr>
          <w:sz w:val="22"/>
          <w:szCs w:val="22"/>
          <w:lang w:val="en-AU"/>
        </w:rPr>
        <w:t xml:space="preserve"> is the residual interference after MU interference cancellation, and </w:t>
      </w:r>
      <m:oMath>
        <m:sSub>
          <m:sSubPr>
            <m:ctrlPr>
              <w:rPr>
                <w:rFonts w:ascii="Cambria Math" w:hAnsi="Cambria Math"/>
                <w:i/>
                <w:sz w:val="22"/>
                <w:szCs w:val="22"/>
                <w:lang w:val="en-AU"/>
              </w:rPr>
            </m:ctrlPr>
          </m:sSubPr>
          <m:e>
            <m:r>
              <w:rPr>
                <w:rFonts w:ascii="Cambria Math" w:hAnsi="Cambria Math"/>
                <w:sz w:val="22"/>
                <w:szCs w:val="22"/>
                <w:lang w:val="en-AU"/>
              </w:rPr>
              <m:t>N</m:t>
            </m:r>
          </m:e>
          <m:sub>
            <m:r>
              <w:rPr>
                <w:rFonts w:ascii="Cambria Math" w:hAnsi="Cambria Math"/>
                <w:sz w:val="22"/>
                <w:szCs w:val="22"/>
                <w:lang w:val="en-AU"/>
              </w:rPr>
              <m:t>N</m:t>
            </m:r>
          </m:sub>
        </m:sSub>
      </m:oMath>
      <w:r w:rsidRPr="00236238">
        <w:rPr>
          <w:sz w:val="22"/>
          <w:szCs w:val="22"/>
          <w:lang w:val="en-AU"/>
        </w:rPr>
        <w:t xml:space="preserve"> is the noise power at the Near UE.</w:t>
      </w:r>
    </w:p>
    <w:p w:rsidR="00AD47AB" w:rsidRPr="002E0C61" w:rsidRDefault="00AB1865" w:rsidP="005722AF">
      <w:pPr>
        <w:rPr>
          <w:sz w:val="22"/>
          <w:szCs w:val="22"/>
        </w:rPr>
      </w:pPr>
      <w:r>
        <w:rPr>
          <w:sz w:val="22"/>
          <w:szCs w:val="22"/>
        </w:rPr>
        <w:t>Next, we discuss the possibility of deriving CQI corresponds to these SINRs at the eNB using legacy CQI reports</w:t>
      </w:r>
      <w:r w:rsidR="0091672E">
        <w:rPr>
          <w:sz w:val="22"/>
          <w:szCs w:val="22"/>
        </w:rPr>
        <w:t xml:space="preserve"> considering superposition of same transmission mode and different transmission modes</w:t>
      </w:r>
      <w:r>
        <w:rPr>
          <w:sz w:val="22"/>
          <w:szCs w:val="22"/>
        </w:rPr>
        <w:t>.</w:t>
      </w:r>
    </w:p>
    <w:p w:rsidR="00AD47AB" w:rsidRPr="002E0C61" w:rsidRDefault="00AD47AB" w:rsidP="005722AF"/>
    <w:p w:rsidR="00E36D93" w:rsidRDefault="00E36D93" w:rsidP="00E36D93">
      <w:pPr>
        <w:pStyle w:val="Heading2"/>
        <w:tabs>
          <w:tab w:val="clear" w:pos="2694"/>
        </w:tabs>
        <w:ind w:left="567"/>
      </w:pPr>
      <w:r>
        <w:t>Superposition of same TM signals</w:t>
      </w:r>
    </w:p>
    <w:p w:rsidR="00CF43D7" w:rsidRDefault="00CF43D7" w:rsidP="00010C8F">
      <w:pPr>
        <w:spacing w:after="200" w:line="276" w:lineRule="auto"/>
        <w:contextualSpacing/>
        <w:jc w:val="both"/>
        <w:rPr>
          <w:sz w:val="22"/>
          <w:szCs w:val="22"/>
        </w:rPr>
      </w:pPr>
    </w:p>
    <w:p w:rsidR="00026B66" w:rsidRDefault="0075558B" w:rsidP="00010C8F">
      <w:pPr>
        <w:spacing w:after="200" w:line="276" w:lineRule="auto"/>
        <w:contextualSpacing/>
        <w:jc w:val="both"/>
        <w:rPr>
          <w:sz w:val="22"/>
          <w:szCs w:val="22"/>
        </w:rPr>
      </w:pPr>
      <w:r>
        <w:rPr>
          <w:sz w:val="22"/>
          <w:szCs w:val="22"/>
        </w:rPr>
        <w:t>When the superimposed signals are of the same transmission mode, both desired signal and the interfering signal (with same characteristics but different power levels) undergo similar fading and pathloss</w:t>
      </w:r>
      <w:r w:rsidR="004A75E1">
        <w:rPr>
          <w:sz w:val="22"/>
          <w:szCs w:val="22"/>
        </w:rPr>
        <w:t xml:space="preserve"> conditions</w:t>
      </w:r>
      <w:r>
        <w:rPr>
          <w:sz w:val="22"/>
          <w:szCs w:val="22"/>
        </w:rPr>
        <w:t xml:space="preserve"> from the transmitter to the receiver. </w:t>
      </w:r>
      <w:r w:rsidR="004A75E1">
        <w:rPr>
          <w:sz w:val="22"/>
          <w:szCs w:val="22"/>
        </w:rPr>
        <w:t xml:space="preserve">In such situation, </w:t>
      </w:r>
      <w:r w:rsidR="00026B66">
        <w:rPr>
          <w:sz w:val="22"/>
          <w:szCs w:val="22"/>
        </w:rPr>
        <w:t xml:space="preserve">interference power (in SINR-1 and SINR-2 above) can be estimated using reference signal power and power scaling factor, which makes it possible to estimate SINR in MUST using legacy SINR (or CQI report) </w:t>
      </w:r>
      <w:r w:rsidR="00423CEF">
        <w:rPr>
          <w:sz w:val="22"/>
          <w:szCs w:val="22"/>
        </w:rPr>
        <w:t xml:space="preserve">at the eNB </w:t>
      </w:r>
      <w:r w:rsidR="00026B66">
        <w:rPr>
          <w:sz w:val="22"/>
          <w:szCs w:val="22"/>
        </w:rPr>
        <w:t>as follows.</w:t>
      </w:r>
    </w:p>
    <w:p w:rsidR="00480880" w:rsidRDefault="00480880" w:rsidP="00010C8F">
      <w:pPr>
        <w:spacing w:after="200" w:line="276" w:lineRule="auto"/>
        <w:contextualSpacing/>
        <w:jc w:val="both"/>
        <w:rPr>
          <w:sz w:val="22"/>
          <w:szCs w:val="22"/>
        </w:rPr>
      </w:pPr>
    </w:p>
    <w:p w:rsidR="001036D6" w:rsidRDefault="00D05581" w:rsidP="001036D6">
      <w:pPr>
        <w:spacing w:after="200" w:line="276" w:lineRule="auto"/>
        <w:contextualSpacing/>
        <w:jc w:val="right"/>
      </w:pPr>
      <m:oMath>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m:t>
                </m:r>
              </m:e>
              <m:sub>
                <m:r>
                  <w:rPr>
                    <w:rFonts w:ascii="Cambria Math" w:hAnsi="Cambria Math"/>
                  </w:rPr>
                  <m:t>F</m:t>
                </m:r>
              </m:sub>
              <m:sup>
                <m:r>
                  <w:rPr>
                    <w:rFonts w:ascii="Cambria Math" w:hAnsi="Cambria Math"/>
                  </w:rPr>
                  <m:t>RS</m:t>
                </m:r>
              </m:sup>
            </m:sSubSup>
          </m:num>
          <m:den>
            <m:r>
              <w:rPr>
                <w:rFonts w:ascii="Cambria Math" w:hAnsi="Cambria Math"/>
              </w:rPr>
              <m:t>α</m:t>
            </m:r>
            <m:sSubSup>
              <m:sSubSupPr>
                <m:ctrlPr>
                  <w:rPr>
                    <w:rFonts w:ascii="Cambria Math" w:hAnsi="Cambria Math"/>
                    <w:i/>
                  </w:rPr>
                </m:ctrlPr>
              </m:sSubSupPr>
              <m:e>
                <m:r>
                  <w:rPr>
                    <w:rFonts w:ascii="Cambria Math" w:hAnsi="Cambria Math"/>
                  </w:rPr>
                  <m:t>S</m:t>
                </m:r>
              </m:e>
              <m:sub>
                <m:r>
                  <w:rPr>
                    <w:rFonts w:ascii="Cambria Math" w:hAnsi="Cambria Math"/>
                  </w:rPr>
                  <m:t>F</m:t>
                </m:r>
              </m:sub>
              <m:sup>
                <m:r>
                  <w:rPr>
                    <w:rFonts w:ascii="Cambria Math" w:hAnsi="Cambria Math"/>
                  </w:rPr>
                  <m:t>RS</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(1-α)SINR</m:t>
                </m:r>
              </m:e>
              <m:sub>
                <m:r>
                  <w:rPr>
                    <w:rFonts w:ascii="Cambria Math" w:hAnsi="Cambria Math"/>
                  </w:rPr>
                  <m:t>F</m:t>
                </m:r>
              </m:sub>
              <m:sup>
                <m:r>
                  <w:rPr>
                    <w:rFonts w:ascii="Cambria Math" w:hAnsi="Cambria Math"/>
                  </w:rPr>
                  <m:t>Legacy</m:t>
                </m:r>
              </m:sup>
            </m:sSubSup>
          </m:num>
          <m:den>
            <m:r>
              <w:rPr>
                <w:rFonts w:ascii="Cambria Math" w:hAnsi="Cambria Math"/>
              </w:rPr>
              <m:t>α</m:t>
            </m:r>
            <m:sSubSup>
              <m:sSubSupPr>
                <m:ctrlPr>
                  <w:rPr>
                    <w:rFonts w:ascii="Cambria Math" w:hAnsi="Cambria Math"/>
                    <w:i/>
                  </w:rPr>
                </m:ctrlPr>
              </m:sSubSupPr>
              <m:e>
                <m:r>
                  <w:rPr>
                    <w:rFonts w:ascii="Cambria Math" w:hAnsi="Cambria Math"/>
                  </w:rPr>
                  <m:t>SINR</m:t>
                </m:r>
              </m:e>
              <m:sub>
                <m:r>
                  <w:rPr>
                    <w:rFonts w:ascii="Cambria Math" w:hAnsi="Cambria Math"/>
                  </w:rPr>
                  <m:t>F</m:t>
                </m:r>
              </m:sub>
              <m:sup>
                <m:r>
                  <w:rPr>
                    <w:rFonts w:ascii="Cambria Math" w:hAnsi="Cambria Math"/>
                  </w:rPr>
                  <m:t>Legacy</m:t>
                </m:r>
              </m:sup>
            </m:sSubSup>
            <m:r>
              <w:rPr>
                <w:rFonts w:ascii="Cambria Math" w:hAnsi="Cambria Math"/>
              </w:rPr>
              <m:t>+1</m:t>
            </m:r>
          </m:den>
        </m:f>
      </m:oMath>
      <w:r w:rsidR="001036D6">
        <w:t xml:space="preserve">                         (4)</w:t>
      </w:r>
    </w:p>
    <w:p w:rsidR="00921DC9" w:rsidRDefault="00D05581" w:rsidP="00921DC9">
      <w:pPr>
        <w:spacing w:after="200" w:line="276" w:lineRule="auto"/>
        <w:contextualSpacing/>
        <w:jc w:val="right"/>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F</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F</m:t>
                </m:r>
              </m:sup>
            </m:sSubSup>
          </m:num>
          <m:den>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m:t>
                </m:r>
              </m:e>
              <m:sub>
                <m:r>
                  <w:rPr>
                    <w:rFonts w:ascii="Cambria Math" w:hAnsi="Cambria Math"/>
                  </w:rPr>
                  <m:t>N</m:t>
                </m:r>
              </m:sub>
              <m:sup>
                <m:r>
                  <w:rPr>
                    <w:rFonts w:ascii="Cambria Math" w:hAnsi="Cambria Math"/>
                  </w:rPr>
                  <m:t>RS</m:t>
                </m:r>
              </m:sup>
            </m:sSubSup>
          </m:num>
          <m:den>
            <m:r>
              <w:rPr>
                <w:rFonts w:ascii="Cambria Math" w:hAnsi="Cambria Math"/>
              </w:rPr>
              <m:t>α</m:t>
            </m:r>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RS</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(1-α)SINR</m:t>
                </m:r>
              </m:e>
              <m:sub>
                <m:r>
                  <w:rPr>
                    <w:rFonts w:ascii="Cambria Math" w:hAnsi="Cambria Math"/>
                  </w:rPr>
                  <m:t>N</m:t>
                </m:r>
              </m:sub>
              <m:sup>
                <m:r>
                  <w:rPr>
                    <w:rFonts w:ascii="Cambria Math" w:hAnsi="Cambria Math"/>
                  </w:rPr>
                  <m:t>Legacy</m:t>
                </m:r>
              </m:sup>
            </m:sSubSup>
          </m:num>
          <m:den>
            <m:r>
              <w:rPr>
                <w:rFonts w:ascii="Cambria Math" w:hAnsi="Cambria Math"/>
              </w:rPr>
              <m:t>α</m:t>
            </m:r>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Legacy</m:t>
                </m:r>
              </m:sup>
            </m:sSubSup>
            <m:r>
              <w:rPr>
                <w:rFonts w:ascii="Cambria Math" w:hAnsi="Cambria Math"/>
              </w:rPr>
              <m:t>+1</m:t>
            </m:r>
          </m:den>
        </m:f>
      </m:oMath>
      <w:r w:rsidR="00921DC9">
        <w:t xml:space="preserve">                         (5)</w:t>
      </w:r>
    </w:p>
    <w:p w:rsidR="00480880" w:rsidRDefault="00480880" w:rsidP="00921DC9">
      <w:pPr>
        <w:spacing w:after="200" w:line="276" w:lineRule="auto"/>
        <w:contextualSpacing/>
        <w:jc w:val="right"/>
        <w:rPr>
          <w:sz w:val="22"/>
          <w:szCs w:val="22"/>
        </w:rPr>
      </w:pPr>
    </w:p>
    <w:p w:rsidR="00026B66" w:rsidRDefault="008A202C" w:rsidP="00010C8F">
      <w:pPr>
        <w:spacing w:after="200" w:line="276" w:lineRule="auto"/>
        <w:contextualSpacing/>
        <w:jc w:val="both"/>
        <w:rPr>
          <w:sz w:val="22"/>
          <w:szCs w:val="22"/>
        </w:rPr>
      </w:pPr>
      <w:r w:rsidRPr="00480880">
        <w:rPr>
          <w:sz w:val="22"/>
          <w:szCs w:val="22"/>
        </w:rPr>
        <w:t xml:space="preserve">Where </w:t>
      </w:r>
      <m:oMath>
        <m:r>
          <w:rPr>
            <w:rFonts w:ascii="Cambria Math" w:hAnsi="Cambria Math"/>
            <w:sz w:val="22"/>
            <w:szCs w:val="22"/>
          </w:rPr>
          <m:t>α</m:t>
        </m:r>
      </m:oMath>
      <w:r w:rsidRPr="00480880">
        <w:rPr>
          <w:sz w:val="22"/>
          <w:szCs w:val="22"/>
        </w:rPr>
        <w:t xml:space="preserve"> is the power scaling factor for superposition transmission,</w:t>
      </w:r>
      <w:r w:rsidR="006D7091"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RS</m:t>
            </m:r>
          </m:sup>
        </m:sSubSup>
      </m:oMath>
      <w:r w:rsidR="006D7091" w:rsidRPr="00480880">
        <w:rPr>
          <w:sz w:val="22"/>
          <w:szCs w:val="22"/>
        </w:rPr>
        <w:t xml:space="preserve"> is the reference signal power at the Far UE, </w:t>
      </w:r>
      <m:oMath>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N</m:t>
            </m:r>
          </m:sub>
          <m:sup>
            <m:r>
              <w:rPr>
                <w:rFonts w:ascii="Cambria Math" w:hAnsi="Cambria Math"/>
                <w:sz w:val="22"/>
                <w:szCs w:val="22"/>
              </w:rPr>
              <m:t>RS</m:t>
            </m:r>
          </m:sup>
        </m:sSubSup>
      </m:oMath>
      <w:r w:rsidR="006D7091" w:rsidRPr="00480880">
        <w:rPr>
          <w:sz w:val="22"/>
          <w:szCs w:val="22"/>
        </w:rPr>
        <w:t xml:space="preserve"> is the reference signal power at the Near UE,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oMath>
      <w:r w:rsidR="006D7091" w:rsidRPr="00480880">
        <w:rPr>
          <w:sz w:val="22"/>
          <w:szCs w:val="22"/>
        </w:rPr>
        <w:t xml:space="preserve"> is the noise power at the Far UE,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N</m:t>
            </m:r>
          </m:sub>
        </m:sSub>
      </m:oMath>
      <w:r w:rsidR="006D7091" w:rsidRPr="00480880">
        <w:rPr>
          <w:sz w:val="22"/>
          <w:szCs w:val="22"/>
        </w:rPr>
        <w:t xml:space="preserve"> is the noise power at the Near UE, </w:t>
      </w:r>
      <w:r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SINR</m:t>
            </m:r>
          </m:e>
          <m:sub>
            <m:r>
              <w:rPr>
                <w:rFonts w:ascii="Cambria Math" w:hAnsi="Cambria Math"/>
                <w:sz w:val="22"/>
                <w:szCs w:val="22"/>
              </w:rPr>
              <m:t>F</m:t>
            </m:r>
          </m:sub>
          <m:sup>
            <m:r>
              <w:rPr>
                <w:rFonts w:ascii="Cambria Math" w:hAnsi="Cambria Math"/>
                <w:sz w:val="22"/>
                <w:szCs w:val="22"/>
              </w:rPr>
              <m:t>Legacy</m:t>
            </m:r>
          </m:sup>
        </m:sSubSup>
      </m:oMath>
      <w:r w:rsidRPr="00480880">
        <w:rPr>
          <w:sz w:val="22"/>
          <w:szCs w:val="22"/>
        </w:rPr>
        <w:t xml:space="preserve"> is </w:t>
      </w:r>
      <w:r w:rsidR="001E5C99" w:rsidRPr="00480880">
        <w:rPr>
          <w:sz w:val="22"/>
          <w:szCs w:val="22"/>
        </w:rPr>
        <w:t xml:space="preserve">the </w:t>
      </w:r>
      <w:r w:rsidRPr="00480880">
        <w:rPr>
          <w:sz w:val="22"/>
          <w:szCs w:val="22"/>
        </w:rPr>
        <w:t>SINR</w:t>
      </w:r>
      <w:r w:rsidR="00FC5969" w:rsidRPr="00480880">
        <w:rPr>
          <w:sz w:val="22"/>
          <w:szCs w:val="22"/>
        </w:rPr>
        <w:t xml:space="preserve"> corresponds to </w:t>
      </w:r>
      <w:r w:rsidRPr="00480880">
        <w:rPr>
          <w:sz w:val="22"/>
          <w:szCs w:val="22"/>
        </w:rPr>
        <w:t xml:space="preserve">the Far UE’s legacy CQI </w:t>
      </w:r>
      <w:r w:rsidR="00423CEF" w:rsidRPr="00480880">
        <w:rPr>
          <w:sz w:val="22"/>
          <w:szCs w:val="22"/>
        </w:rPr>
        <w:t>report and</w:t>
      </w:r>
      <w:r w:rsidR="006D7091" w:rsidRPr="00480880">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SINR</m:t>
            </m:r>
          </m:e>
          <m:sub>
            <m:r>
              <w:rPr>
                <w:rFonts w:ascii="Cambria Math" w:hAnsi="Cambria Math"/>
                <w:sz w:val="22"/>
                <w:szCs w:val="22"/>
              </w:rPr>
              <m:t>N</m:t>
            </m:r>
          </m:sub>
          <m:sup>
            <m:r>
              <w:rPr>
                <w:rFonts w:ascii="Cambria Math" w:hAnsi="Cambria Math"/>
                <w:sz w:val="22"/>
                <w:szCs w:val="22"/>
              </w:rPr>
              <m:t>Legacy</m:t>
            </m:r>
          </m:sup>
        </m:sSubSup>
      </m:oMath>
      <w:r w:rsidR="006D7091" w:rsidRPr="00480880">
        <w:rPr>
          <w:sz w:val="22"/>
          <w:szCs w:val="22"/>
        </w:rPr>
        <w:t xml:space="preserve"> is the SINR corresponds to the Near UE’s legacy CQI report</w:t>
      </w:r>
      <w:r w:rsidRPr="00480880">
        <w:rPr>
          <w:sz w:val="22"/>
          <w:szCs w:val="22"/>
        </w:rPr>
        <w:t xml:space="preserve">. </w:t>
      </w:r>
    </w:p>
    <w:p w:rsidR="002A5BB4" w:rsidRDefault="002A5BB4" w:rsidP="00010C8F">
      <w:pPr>
        <w:spacing w:after="200" w:line="276" w:lineRule="auto"/>
        <w:contextualSpacing/>
        <w:jc w:val="both"/>
        <w:rPr>
          <w:sz w:val="22"/>
          <w:szCs w:val="22"/>
        </w:rPr>
      </w:pPr>
    </w:p>
    <w:p w:rsidR="002A5BB4" w:rsidRDefault="002A5BB4" w:rsidP="00010C8F">
      <w:pPr>
        <w:spacing w:after="200" w:line="276" w:lineRule="auto"/>
        <w:contextualSpacing/>
        <w:jc w:val="both"/>
        <w:rPr>
          <w:sz w:val="22"/>
          <w:szCs w:val="22"/>
        </w:rPr>
      </w:pPr>
      <w:r>
        <w:rPr>
          <w:sz w:val="22"/>
          <w:szCs w:val="22"/>
        </w:rPr>
        <w:t>I</w:t>
      </w:r>
      <w:r w:rsidR="00A720D7">
        <w:rPr>
          <w:sz w:val="22"/>
          <w:szCs w:val="22"/>
        </w:rPr>
        <w:t>f</w:t>
      </w:r>
      <w:r>
        <w:rPr>
          <w:sz w:val="22"/>
          <w:szCs w:val="22"/>
        </w:rPr>
        <w:t xml:space="preserve"> perfect interference cancellation </w:t>
      </w:r>
      <w:r w:rsidR="00AC3E62">
        <w:rPr>
          <w:sz w:val="22"/>
          <w:szCs w:val="22"/>
        </w:rPr>
        <w:t>is assumed at the Near UE (i.e</w:t>
      </w:r>
      <w:proofErr w:type="gramStart"/>
      <w:r w:rsidR="00AC3E62">
        <w:rPr>
          <w:sz w:val="22"/>
          <w:szCs w:val="22"/>
        </w:rPr>
        <w:t xml:space="preserve">. </w:t>
      </w:r>
      <w:proofErr w:type="gramEnd"/>
      <m:oMath>
        <m:sSub>
          <m:sSubPr>
            <m:ctrlPr>
              <w:rPr>
                <w:rFonts w:ascii="Cambria Math" w:hAnsi="Cambria Math"/>
                <w:i/>
                <w:sz w:val="22"/>
                <w:szCs w:val="22"/>
                <w:lang w:val="en-AU"/>
              </w:rPr>
            </m:ctrlPr>
          </m:sSubPr>
          <m:e>
            <m:r>
              <w:rPr>
                <w:rFonts w:ascii="Cambria Math" w:hAnsi="Cambria Math"/>
                <w:sz w:val="22"/>
                <w:szCs w:val="22"/>
                <w:lang w:val="en-AU"/>
              </w:rPr>
              <m:t>I</m:t>
            </m:r>
          </m:e>
          <m:sub>
            <m:r>
              <w:rPr>
                <w:rFonts w:ascii="Cambria Math" w:hAnsi="Cambria Math"/>
                <w:sz w:val="22"/>
                <w:szCs w:val="22"/>
                <w:lang w:val="en-AU"/>
              </w:rPr>
              <m:t>R</m:t>
            </m:r>
          </m:sub>
        </m:sSub>
        <m:r>
          <w:rPr>
            <w:rFonts w:ascii="Cambria Math" w:hAnsi="Cambria Math"/>
          </w:rPr>
          <m:t>=0</m:t>
        </m:r>
      </m:oMath>
      <w:r>
        <w:t>)</w:t>
      </w:r>
      <w:r>
        <w:rPr>
          <w:sz w:val="22"/>
          <w:szCs w:val="22"/>
        </w:rPr>
        <w:t xml:space="preserve"> , above SINR-3 can also be estimated at the eNB using legacy SINR of the Near UE as:</w:t>
      </w:r>
    </w:p>
    <w:p w:rsidR="002A5BB4" w:rsidRPr="009D774D" w:rsidRDefault="00D05581" w:rsidP="002A5BB4">
      <w:pPr>
        <w:pStyle w:val="ListParagraph"/>
        <w:jc w:val="right"/>
        <w:rPr>
          <w:rFonts w:ascii="Times New Roman" w:eastAsiaTheme="minorEastAsia" w:hAnsi="Times New Roman"/>
        </w:rPr>
      </w:pPr>
      <m:oMath>
        <m:sSubSup>
          <m:sSubSupPr>
            <m:ctrlPr>
              <w:rPr>
                <w:rFonts w:ascii="Cambria Math" w:hAnsi="Cambria Math"/>
                <w:i/>
              </w:rPr>
            </m:ctrlPr>
          </m:sSubSupPr>
          <m:e>
            <m:r>
              <w:rPr>
                <w:rFonts w:ascii="Cambria Math" w:hAnsi="Cambria Math"/>
              </w:rPr>
              <m:t>SINR</m:t>
            </m:r>
          </m:e>
          <m:sub>
            <m:r>
              <w:rPr>
                <w:rFonts w:ascii="Cambria Math" w:hAnsi="Cambria Math"/>
              </w:rPr>
              <m:t>N</m:t>
            </m:r>
          </m:sub>
          <m:sup>
            <m:r>
              <w:rPr>
                <w:rFonts w:ascii="Cambria Math" w:hAnsi="Cambria Math"/>
              </w:rPr>
              <m:t>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N</m:t>
                </m:r>
              </m:sup>
            </m:sSubSup>
          </m:num>
          <m:den>
            <m:sSub>
              <m:sSubPr>
                <m:ctrlPr>
                  <w:rPr>
                    <w:rFonts w:ascii="Cambria Math" w:eastAsia="SimSun" w:hAnsi="Cambria Math"/>
                    <w:i/>
                    <w:lang w:eastAsia="zh-CN"/>
                  </w:rPr>
                </m:ctrlPr>
              </m:sSubPr>
              <m:e>
                <m:r>
                  <w:rPr>
                    <w:rFonts w:ascii="Cambria Math" w:hAnsi="Cambria Math"/>
                  </w:rPr>
                  <m:t>I</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αS</m:t>
                </m:r>
              </m:e>
              <m:sub>
                <m:r>
                  <w:rPr>
                    <w:rFonts w:ascii="Cambria Math" w:hAnsi="Cambria Math"/>
                  </w:rPr>
                  <m:t>N</m:t>
                </m:r>
              </m:sub>
              <m:sup>
                <m:r>
                  <w:rPr>
                    <w:rFonts w:ascii="Cambria Math" w:hAnsi="Cambria Math"/>
                  </w:rPr>
                  <m:t>RS</m:t>
                </m:r>
              </m:sup>
            </m:sSubSup>
          </m:num>
          <m:den>
            <m:sSub>
              <m:sSubPr>
                <m:ctrlPr>
                  <w:rPr>
                    <w:rFonts w:ascii="Cambria Math" w:hAnsi="Cambria Math"/>
                    <w:i/>
                  </w:rPr>
                </m:ctrlPr>
              </m:sSubPr>
              <m:e>
                <m:r>
                  <w:rPr>
                    <w:rFonts w:ascii="Cambria Math" w:hAnsi="Cambria Math"/>
                  </w:rPr>
                  <m:t>N</m:t>
                </m:r>
              </m:e>
              <m:sub>
                <m:r>
                  <w:rPr>
                    <w:rFonts w:ascii="Cambria Math" w:hAnsi="Cambria Math"/>
                  </w:rPr>
                  <m:t>N</m:t>
                </m:r>
              </m:sub>
            </m:sSub>
          </m:den>
        </m:f>
        <m:r>
          <w:rPr>
            <w:rFonts w:ascii="Cambria Math" w:hAnsi="Cambria Math"/>
          </w:rPr>
          <m:t>=</m:t>
        </m:r>
        <m:sSubSup>
          <m:sSubSupPr>
            <m:ctrlPr>
              <w:rPr>
                <w:rFonts w:ascii="Cambria Math" w:hAnsi="Cambria Math"/>
                <w:i/>
              </w:rPr>
            </m:ctrlPr>
          </m:sSubSupPr>
          <m:e>
            <m:r>
              <w:rPr>
                <w:rFonts w:ascii="Cambria Math" w:hAnsi="Cambria Math"/>
              </w:rPr>
              <m:t>αSINR</m:t>
            </m:r>
          </m:e>
          <m:sub>
            <m:r>
              <w:rPr>
                <w:rFonts w:ascii="Cambria Math" w:hAnsi="Cambria Math"/>
              </w:rPr>
              <m:t>N</m:t>
            </m:r>
          </m:sub>
          <m:sup>
            <m:r>
              <w:rPr>
                <w:rFonts w:ascii="Cambria Math" w:hAnsi="Cambria Math"/>
              </w:rPr>
              <m:t>Legacy</m:t>
            </m:r>
          </m:sup>
        </m:sSubSup>
      </m:oMath>
      <w:r w:rsidR="002A5BB4" w:rsidRPr="009D774D">
        <w:rPr>
          <w:rFonts w:ascii="Times New Roman" w:eastAsiaTheme="minorEastAsia" w:hAnsi="Times New Roman"/>
        </w:rPr>
        <w:t xml:space="preserve">                                                              (</w:t>
      </w:r>
      <w:r w:rsidR="002A5BB4">
        <w:rPr>
          <w:rFonts w:ascii="Times New Roman" w:eastAsiaTheme="minorEastAsia" w:hAnsi="Times New Roman"/>
        </w:rPr>
        <w:t>6</w:t>
      </w:r>
      <w:r w:rsidR="002A5BB4" w:rsidRPr="009D774D">
        <w:rPr>
          <w:rFonts w:ascii="Times New Roman" w:eastAsiaTheme="minorEastAsia" w:hAnsi="Times New Roman"/>
        </w:rPr>
        <w:t>)</w:t>
      </w:r>
    </w:p>
    <w:p w:rsidR="00DF248E" w:rsidRDefault="00DF248E" w:rsidP="00010C8F">
      <w:pPr>
        <w:spacing w:after="200" w:line="276" w:lineRule="auto"/>
        <w:contextualSpacing/>
        <w:jc w:val="both"/>
        <w:rPr>
          <w:sz w:val="22"/>
          <w:szCs w:val="22"/>
        </w:rPr>
      </w:pPr>
    </w:p>
    <w:p w:rsidR="002A5BB4" w:rsidRDefault="00DF248E" w:rsidP="00010C8F">
      <w:pPr>
        <w:spacing w:after="200" w:line="276" w:lineRule="auto"/>
        <w:contextualSpacing/>
        <w:jc w:val="both"/>
        <w:rPr>
          <w:sz w:val="22"/>
          <w:szCs w:val="22"/>
        </w:rPr>
      </w:pPr>
      <w:r>
        <w:rPr>
          <w:sz w:val="22"/>
          <w:szCs w:val="22"/>
        </w:rPr>
        <w:t xml:space="preserve">However, this SINR estimation may over-estimate the CQI if perfect interference cancellation is not achieved. In order to avoid such errors, advanced Near UE may require taking its interference cancellation capability into account when calculating SINR for CQI reporting under MUST mode. </w:t>
      </w:r>
    </w:p>
    <w:p w:rsidR="00423CEF" w:rsidRDefault="00423CEF" w:rsidP="00010C8F">
      <w:pPr>
        <w:spacing w:after="200" w:line="276" w:lineRule="auto"/>
        <w:contextualSpacing/>
        <w:jc w:val="both"/>
        <w:rPr>
          <w:sz w:val="22"/>
          <w:szCs w:val="22"/>
        </w:rPr>
      </w:pPr>
    </w:p>
    <w:p w:rsidR="00FE38E5" w:rsidRPr="00FE38E5" w:rsidRDefault="00423CEF" w:rsidP="00010C8F">
      <w:pPr>
        <w:spacing w:after="200" w:line="276" w:lineRule="auto"/>
        <w:contextualSpacing/>
        <w:jc w:val="both"/>
        <w:rPr>
          <w:b/>
          <w:i/>
          <w:sz w:val="22"/>
          <w:szCs w:val="22"/>
        </w:rPr>
      </w:pPr>
      <w:r w:rsidRPr="00FE38E5">
        <w:rPr>
          <w:b/>
          <w:i/>
          <w:sz w:val="22"/>
          <w:szCs w:val="22"/>
          <w:u w:val="single"/>
        </w:rPr>
        <w:t>Observation 1:</w:t>
      </w:r>
      <w:r w:rsidRPr="00FE38E5">
        <w:rPr>
          <w:b/>
          <w:i/>
          <w:sz w:val="22"/>
          <w:szCs w:val="22"/>
        </w:rPr>
        <w:t xml:space="preserve"> When </w:t>
      </w:r>
      <w:r w:rsidR="00FE38E5" w:rsidRPr="00FE38E5">
        <w:rPr>
          <w:b/>
          <w:i/>
          <w:sz w:val="22"/>
          <w:szCs w:val="22"/>
        </w:rPr>
        <w:t>superimposed signals are in same transmission mode, SINR corresponds to legacy CQI report (without multi-user transmission) from Far UE and Near UE can be used to estimate the SINR of the Far UE’s signal at the Far UE position and at the Near UE position respectively.</w:t>
      </w:r>
    </w:p>
    <w:p w:rsidR="00674296" w:rsidRDefault="00674296" w:rsidP="00674296">
      <w:pPr>
        <w:jc w:val="both"/>
        <w:rPr>
          <w:rFonts w:eastAsia="MS Mincho"/>
          <w:iCs/>
          <w:sz w:val="22"/>
          <w:szCs w:val="22"/>
          <w:lang w:eastAsia="ja-JP"/>
        </w:rPr>
      </w:pPr>
    </w:p>
    <w:p w:rsidR="0030737D" w:rsidRDefault="0030737D" w:rsidP="0030737D">
      <w:pPr>
        <w:pStyle w:val="Heading2"/>
        <w:tabs>
          <w:tab w:val="clear" w:pos="2694"/>
        </w:tabs>
        <w:ind w:left="567"/>
        <w:rPr>
          <w:lang w:eastAsia="ja-JP"/>
        </w:rPr>
      </w:pPr>
      <w:r w:rsidRPr="0030737D">
        <w:rPr>
          <w:lang w:eastAsia="ja-JP"/>
        </w:rPr>
        <w:t xml:space="preserve">Superposition of </w:t>
      </w:r>
      <w:r>
        <w:rPr>
          <w:lang w:eastAsia="ja-JP"/>
        </w:rPr>
        <w:t>Different</w:t>
      </w:r>
      <w:r w:rsidRPr="0030737D">
        <w:rPr>
          <w:lang w:eastAsia="ja-JP"/>
        </w:rPr>
        <w:t xml:space="preserve"> TM signals</w:t>
      </w:r>
    </w:p>
    <w:p w:rsidR="00CF43D7" w:rsidRDefault="00CF43D7" w:rsidP="00EA7F96">
      <w:pPr>
        <w:jc w:val="both"/>
        <w:rPr>
          <w:lang w:eastAsia="ja-JP"/>
        </w:rPr>
      </w:pPr>
    </w:p>
    <w:p w:rsidR="00E122BA" w:rsidRPr="00236238" w:rsidRDefault="00E122BA" w:rsidP="00EA7F96">
      <w:pPr>
        <w:jc w:val="both"/>
        <w:rPr>
          <w:sz w:val="22"/>
          <w:szCs w:val="22"/>
          <w:lang w:eastAsia="ja-JP"/>
        </w:rPr>
      </w:pPr>
      <w:r w:rsidRPr="00236238">
        <w:rPr>
          <w:sz w:val="22"/>
          <w:szCs w:val="22"/>
          <w:lang w:eastAsia="ja-JP"/>
        </w:rPr>
        <w:t xml:space="preserve">When the superimposed signals are </w:t>
      </w:r>
      <w:r w:rsidR="00423CEF" w:rsidRPr="00236238">
        <w:rPr>
          <w:sz w:val="22"/>
          <w:szCs w:val="22"/>
          <w:lang w:eastAsia="ja-JP"/>
        </w:rPr>
        <w:t>in</w:t>
      </w:r>
      <w:r w:rsidR="00EA7F96" w:rsidRPr="00236238">
        <w:rPr>
          <w:sz w:val="22"/>
          <w:szCs w:val="22"/>
          <w:lang w:eastAsia="ja-JP"/>
        </w:rPr>
        <w:t xml:space="preserve"> different transmission modes, i.e., desired signal and interfering signal are </w:t>
      </w:r>
      <w:r w:rsidR="00423CEF" w:rsidRPr="00236238">
        <w:rPr>
          <w:sz w:val="22"/>
          <w:szCs w:val="22"/>
          <w:lang w:eastAsia="ja-JP"/>
        </w:rPr>
        <w:t>in</w:t>
      </w:r>
      <w:r w:rsidR="00EA7F96" w:rsidRPr="00236238">
        <w:rPr>
          <w:sz w:val="22"/>
          <w:szCs w:val="22"/>
          <w:lang w:eastAsia="ja-JP"/>
        </w:rPr>
        <w:t xml:space="preserve"> different transmission schemes (e.g. TM-2 and TM-4), it is not possible to assume that both </w:t>
      </w:r>
      <w:r w:rsidR="009E5F9F" w:rsidRPr="00236238">
        <w:rPr>
          <w:sz w:val="22"/>
          <w:szCs w:val="22"/>
          <w:lang w:eastAsia="ja-JP"/>
        </w:rPr>
        <w:t xml:space="preserve">signals decay similarly on the channel from the eNB to the UE. </w:t>
      </w:r>
      <w:r w:rsidR="00CF43D7" w:rsidRPr="00236238">
        <w:rPr>
          <w:sz w:val="22"/>
          <w:szCs w:val="22"/>
          <w:lang w:eastAsia="ja-JP"/>
        </w:rPr>
        <w:t xml:space="preserve">Therefore, </w:t>
      </w:r>
      <w:r w:rsidR="004D5661" w:rsidRPr="00236238">
        <w:rPr>
          <w:sz w:val="22"/>
          <w:szCs w:val="22"/>
          <w:lang w:eastAsia="ja-JP"/>
        </w:rPr>
        <w:t xml:space="preserve">as shown in Table 1, </w:t>
      </w:r>
      <w:r w:rsidR="00CF43D7" w:rsidRPr="00236238">
        <w:rPr>
          <w:sz w:val="22"/>
          <w:szCs w:val="22"/>
          <w:lang w:eastAsia="ja-JP"/>
        </w:rPr>
        <w:t>legacy SINR calculated assuming one transmission mode (e.g. TM-</w:t>
      </w:r>
      <w:r w:rsidR="009B3CF0" w:rsidRPr="00236238">
        <w:rPr>
          <w:sz w:val="22"/>
          <w:szCs w:val="22"/>
          <w:lang w:eastAsia="ja-JP"/>
        </w:rPr>
        <w:t>2</w:t>
      </w:r>
      <w:r w:rsidR="00CF43D7" w:rsidRPr="00236238">
        <w:rPr>
          <w:sz w:val="22"/>
          <w:szCs w:val="22"/>
          <w:lang w:eastAsia="ja-JP"/>
        </w:rPr>
        <w:t>)</w:t>
      </w:r>
      <w:r w:rsidR="006D0305" w:rsidRPr="00236238">
        <w:rPr>
          <w:sz w:val="22"/>
          <w:szCs w:val="22"/>
          <w:lang w:eastAsia="ja-JP"/>
        </w:rPr>
        <w:t xml:space="preserve"> without multi-user interference</w:t>
      </w:r>
      <w:r w:rsidR="00CF43D7" w:rsidRPr="00236238">
        <w:rPr>
          <w:sz w:val="22"/>
          <w:szCs w:val="22"/>
          <w:lang w:eastAsia="ja-JP"/>
        </w:rPr>
        <w:t xml:space="preserve"> cannot be used to estimate the SINR </w:t>
      </w:r>
      <w:r w:rsidR="006D0305" w:rsidRPr="00236238">
        <w:rPr>
          <w:sz w:val="22"/>
          <w:szCs w:val="22"/>
          <w:lang w:eastAsia="ja-JP"/>
        </w:rPr>
        <w:t xml:space="preserve">of that transmission mode </w:t>
      </w:r>
      <w:r w:rsidR="009B3CF0" w:rsidRPr="00236238">
        <w:rPr>
          <w:sz w:val="22"/>
          <w:szCs w:val="22"/>
          <w:lang w:eastAsia="ja-JP"/>
        </w:rPr>
        <w:t>with</w:t>
      </w:r>
      <w:r w:rsidR="00CF43D7" w:rsidRPr="00236238">
        <w:rPr>
          <w:sz w:val="22"/>
          <w:szCs w:val="22"/>
          <w:lang w:eastAsia="ja-JP"/>
        </w:rPr>
        <w:t xml:space="preserve"> multi user interference caused by a different transmission mode (e.g. TM-</w:t>
      </w:r>
      <w:r w:rsidR="009B3CF0" w:rsidRPr="00236238">
        <w:rPr>
          <w:sz w:val="22"/>
          <w:szCs w:val="22"/>
          <w:lang w:eastAsia="ja-JP"/>
        </w:rPr>
        <w:t>4</w:t>
      </w:r>
      <w:r w:rsidR="00CF43D7" w:rsidRPr="00236238">
        <w:rPr>
          <w:sz w:val="22"/>
          <w:szCs w:val="22"/>
          <w:lang w:eastAsia="ja-JP"/>
        </w:rPr>
        <w:t xml:space="preserve">). Thus, SINR estimation of above Equation (4) and (5) </w:t>
      </w:r>
      <w:r w:rsidR="00423CEF" w:rsidRPr="00236238">
        <w:rPr>
          <w:sz w:val="22"/>
          <w:szCs w:val="22"/>
          <w:lang w:eastAsia="ja-JP"/>
        </w:rPr>
        <w:t>may not be valid for the superposition of mixed transmission modes.</w:t>
      </w:r>
    </w:p>
    <w:p w:rsidR="0029296F" w:rsidRDefault="0029296F" w:rsidP="00EA7F96">
      <w:pPr>
        <w:jc w:val="both"/>
        <w:rPr>
          <w:lang w:eastAsia="ja-JP"/>
        </w:rPr>
      </w:pPr>
    </w:p>
    <w:p w:rsidR="00E105AC" w:rsidRPr="0029296F" w:rsidRDefault="0029296F" w:rsidP="0029296F">
      <w:pPr>
        <w:pStyle w:val="Caption"/>
        <w:jc w:val="center"/>
        <w:rPr>
          <w:color w:val="auto"/>
          <w:sz w:val="20"/>
          <w:szCs w:val="20"/>
          <w:lang w:eastAsia="ja-JP"/>
        </w:rPr>
      </w:pPr>
      <w:r w:rsidRPr="0029296F">
        <w:rPr>
          <w:color w:val="auto"/>
          <w:sz w:val="20"/>
          <w:szCs w:val="20"/>
        </w:rPr>
        <w:t xml:space="preserve">Table </w:t>
      </w:r>
      <w:r w:rsidRPr="0029296F">
        <w:rPr>
          <w:color w:val="auto"/>
          <w:sz w:val="20"/>
          <w:szCs w:val="20"/>
        </w:rPr>
        <w:fldChar w:fldCharType="begin"/>
      </w:r>
      <w:r w:rsidRPr="0029296F">
        <w:rPr>
          <w:color w:val="auto"/>
          <w:sz w:val="20"/>
          <w:szCs w:val="20"/>
        </w:rPr>
        <w:instrText xml:space="preserve"> SEQ Table \* ARABIC </w:instrText>
      </w:r>
      <w:r w:rsidRPr="0029296F">
        <w:rPr>
          <w:color w:val="auto"/>
          <w:sz w:val="20"/>
          <w:szCs w:val="20"/>
        </w:rPr>
        <w:fldChar w:fldCharType="separate"/>
      </w:r>
      <w:r w:rsidRPr="0029296F">
        <w:rPr>
          <w:noProof/>
          <w:color w:val="auto"/>
          <w:sz w:val="20"/>
          <w:szCs w:val="20"/>
        </w:rPr>
        <w:t>1</w:t>
      </w:r>
      <w:r w:rsidRPr="0029296F">
        <w:rPr>
          <w:color w:val="auto"/>
          <w:sz w:val="20"/>
          <w:szCs w:val="20"/>
        </w:rPr>
        <w:fldChar w:fldCharType="end"/>
      </w:r>
      <w:r w:rsidRPr="0029296F">
        <w:rPr>
          <w:color w:val="auto"/>
          <w:sz w:val="20"/>
          <w:szCs w:val="20"/>
        </w:rPr>
        <w:t>: Signal characteristics at the Far UE when mixed TM superposition is used</w:t>
      </w:r>
    </w:p>
    <w:tbl>
      <w:tblPr>
        <w:tblStyle w:val="TableGrid"/>
        <w:tblW w:w="0" w:type="auto"/>
        <w:jc w:val="center"/>
        <w:tblLook w:val="04A0" w:firstRow="1" w:lastRow="0" w:firstColumn="1" w:lastColumn="0" w:noHBand="0" w:noVBand="1"/>
      </w:tblPr>
      <w:tblGrid>
        <w:gridCol w:w="3069"/>
        <w:gridCol w:w="1776"/>
      </w:tblGrid>
      <w:tr w:rsidR="00E105AC" w:rsidRPr="00F55B3F" w:rsidTr="00F55B3F">
        <w:trPr>
          <w:jc w:val="center"/>
        </w:trPr>
        <w:tc>
          <w:tcPr>
            <w:tcW w:w="0" w:type="auto"/>
            <w:shd w:val="clear" w:color="auto" w:fill="D9D9D9" w:themeFill="background1" w:themeFillShade="D9"/>
          </w:tcPr>
          <w:p w:rsidR="00E105AC" w:rsidRPr="00F55B3F" w:rsidRDefault="00E105AC" w:rsidP="00EA7F96">
            <w:pPr>
              <w:jc w:val="both"/>
              <w:rPr>
                <w:b/>
                <w:lang w:eastAsia="ja-JP"/>
              </w:rPr>
            </w:pPr>
          </w:p>
        </w:tc>
        <w:tc>
          <w:tcPr>
            <w:tcW w:w="0" w:type="auto"/>
            <w:shd w:val="clear" w:color="auto" w:fill="D9D9D9" w:themeFill="background1" w:themeFillShade="D9"/>
          </w:tcPr>
          <w:p w:rsidR="00B65EA4" w:rsidRDefault="00E105AC" w:rsidP="00F55B3F">
            <w:pPr>
              <w:jc w:val="center"/>
              <w:rPr>
                <w:b/>
                <w:lang w:eastAsia="ja-JP"/>
              </w:rPr>
            </w:pPr>
            <w:r w:rsidRPr="00F55B3F">
              <w:rPr>
                <w:b/>
                <w:lang w:eastAsia="ja-JP"/>
              </w:rPr>
              <w:t xml:space="preserve">Far UE Signal </w:t>
            </w:r>
          </w:p>
          <w:p w:rsidR="00E105AC" w:rsidRPr="00F55B3F" w:rsidRDefault="00E105AC" w:rsidP="00F55B3F">
            <w:pPr>
              <w:jc w:val="center"/>
              <w:rPr>
                <w:b/>
                <w:lang w:eastAsia="ja-JP"/>
              </w:rPr>
            </w:pPr>
            <w:r w:rsidRPr="00F55B3F">
              <w:rPr>
                <w:b/>
                <w:lang w:eastAsia="ja-JP"/>
              </w:rPr>
              <w:t>Characteristics</w:t>
            </w:r>
          </w:p>
        </w:tc>
      </w:tr>
      <w:tr w:rsidR="00E105AC" w:rsidTr="00E105AC">
        <w:trPr>
          <w:jc w:val="center"/>
        </w:trPr>
        <w:tc>
          <w:tcPr>
            <w:tcW w:w="0" w:type="auto"/>
          </w:tcPr>
          <w:p w:rsidR="00E105AC" w:rsidRPr="00F55B3F" w:rsidRDefault="00E105AC" w:rsidP="00E105AC">
            <w:pPr>
              <w:jc w:val="both"/>
              <w:rPr>
                <w:b/>
                <w:lang w:eastAsia="ja-JP"/>
              </w:rPr>
            </w:pPr>
            <w:r w:rsidRPr="00F55B3F">
              <w:rPr>
                <w:b/>
                <w:lang w:eastAsia="ja-JP"/>
              </w:rPr>
              <w:t>Configured TM</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 xml:space="preserve">TM used for legacy SINR </w:t>
            </w:r>
          </w:p>
          <w:p w:rsidR="00E105AC" w:rsidRPr="00F55B3F" w:rsidRDefault="00236238" w:rsidP="00EA7F96">
            <w:pPr>
              <w:jc w:val="both"/>
              <w:rPr>
                <w:b/>
                <w:lang w:eastAsia="ja-JP"/>
              </w:rPr>
            </w:pPr>
            <w:r w:rsidRPr="00F55B3F">
              <w:rPr>
                <w:b/>
                <w:lang w:eastAsia="ja-JP"/>
              </w:rPr>
              <w:t>C</w:t>
            </w:r>
            <w:r w:rsidR="00E105AC" w:rsidRPr="00F55B3F">
              <w:rPr>
                <w:b/>
                <w:lang w:eastAsia="ja-JP"/>
              </w:rPr>
              <w:t>alculation</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TM of the desired signal</w:t>
            </w:r>
          </w:p>
        </w:tc>
        <w:tc>
          <w:tcPr>
            <w:tcW w:w="0" w:type="auto"/>
          </w:tcPr>
          <w:p w:rsidR="00E105AC" w:rsidRDefault="00E105AC" w:rsidP="00F55B3F">
            <w:pPr>
              <w:jc w:val="center"/>
              <w:rPr>
                <w:lang w:eastAsia="ja-JP"/>
              </w:rPr>
            </w:pPr>
            <w:proofErr w:type="spellStart"/>
            <w:r>
              <w:rPr>
                <w:lang w:eastAsia="ja-JP"/>
              </w:rPr>
              <w:t>TxD</w:t>
            </w:r>
            <w:proofErr w:type="spellEnd"/>
          </w:p>
        </w:tc>
      </w:tr>
      <w:tr w:rsidR="00E105AC" w:rsidTr="00E105AC">
        <w:trPr>
          <w:jc w:val="center"/>
        </w:trPr>
        <w:tc>
          <w:tcPr>
            <w:tcW w:w="0" w:type="auto"/>
          </w:tcPr>
          <w:p w:rsidR="00E105AC" w:rsidRPr="00F55B3F" w:rsidRDefault="00E105AC" w:rsidP="00EA7F96">
            <w:pPr>
              <w:jc w:val="both"/>
              <w:rPr>
                <w:b/>
                <w:lang w:eastAsia="ja-JP"/>
              </w:rPr>
            </w:pPr>
            <w:r w:rsidRPr="00F55B3F">
              <w:rPr>
                <w:b/>
                <w:lang w:eastAsia="ja-JP"/>
              </w:rPr>
              <w:t>TM of the interfering signal</w:t>
            </w:r>
          </w:p>
        </w:tc>
        <w:tc>
          <w:tcPr>
            <w:tcW w:w="0" w:type="auto"/>
          </w:tcPr>
          <w:p w:rsidR="00E105AC" w:rsidRDefault="00E105AC" w:rsidP="00F55B3F">
            <w:pPr>
              <w:jc w:val="center"/>
              <w:rPr>
                <w:lang w:eastAsia="ja-JP"/>
              </w:rPr>
            </w:pPr>
            <w:r w:rsidRPr="00693A6B">
              <w:rPr>
                <w:lang w:eastAsia="ja-JP"/>
              </w:rPr>
              <w:t>TM-4</w:t>
            </w:r>
          </w:p>
        </w:tc>
      </w:tr>
    </w:tbl>
    <w:p w:rsidR="006D0305" w:rsidRDefault="006D0305" w:rsidP="00EA7F96">
      <w:pPr>
        <w:jc w:val="both"/>
        <w:rPr>
          <w:lang w:eastAsia="ja-JP"/>
        </w:rPr>
      </w:pPr>
    </w:p>
    <w:p w:rsidR="006D0305" w:rsidRPr="00236238" w:rsidRDefault="006D0305" w:rsidP="00EA7F96">
      <w:pPr>
        <w:jc w:val="both"/>
        <w:rPr>
          <w:sz w:val="22"/>
          <w:szCs w:val="22"/>
          <w:lang w:eastAsia="ja-JP"/>
        </w:rPr>
      </w:pPr>
      <w:r w:rsidRPr="00236238">
        <w:rPr>
          <w:sz w:val="22"/>
          <w:szCs w:val="22"/>
          <w:lang w:eastAsia="ja-JP"/>
        </w:rPr>
        <w:t xml:space="preserve">At the Near UE, if perfect interference cancellation is achieved, SINR estimation in Equation (6) is still valid for mixed transmission modes as well. However, under imperfect interference cancellation, advanced Near UE may need to consider interference cancellation capability when calculating SINR for CQI reporting under MUST mode. </w:t>
      </w:r>
    </w:p>
    <w:p w:rsidR="00CF43D7" w:rsidRDefault="00CF43D7" w:rsidP="00EA7F96">
      <w:pPr>
        <w:jc w:val="both"/>
        <w:rPr>
          <w:lang w:eastAsia="ja-JP"/>
        </w:rPr>
      </w:pPr>
    </w:p>
    <w:p w:rsidR="0012740E" w:rsidRDefault="0012740E" w:rsidP="0012740E">
      <w:pPr>
        <w:spacing w:after="200" w:line="276" w:lineRule="auto"/>
        <w:contextualSpacing/>
        <w:jc w:val="both"/>
        <w:rPr>
          <w:b/>
          <w:i/>
          <w:sz w:val="22"/>
          <w:szCs w:val="22"/>
        </w:rPr>
      </w:pPr>
      <w:r w:rsidRPr="00FE38E5">
        <w:rPr>
          <w:b/>
          <w:i/>
          <w:sz w:val="22"/>
          <w:szCs w:val="22"/>
          <w:u w:val="single"/>
        </w:rPr>
        <w:t xml:space="preserve">Observation </w:t>
      </w:r>
      <w:r>
        <w:rPr>
          <w:b/>
          <w:i/>
          <w:sz w:val="22"/>
          <w:szCs w:val="22"/>
          <w:u w:val="single"/>
        </w:rPr>
        <w:t>2</w:t>
      </w:r>
      <w:r w:rsidRPr="00FE38E5">
        <w:rPr>
          <w:b/>
          <w:i/>
          <w:sz w:val="22"/>
          <w:szCs w:val="22"/>
          <w:u w:val="single"/>
        </w:rPr>
        <w:t>:</w:t>
      </w:r>
      <w:r w:rsidRPr="00FE38E5">
        <w:rPr>
          <w:b/>
          <w:i/>
          <w:sz w:val="22"/>
          <w:szCs w:val="22"/>
        </w:rPr>
        <w:t xml:space="preserve"> When superimposed signals are in </w:t>
      </w:r>
      <w:r w:rsidR="004D5661">
        <w:rPr>
          <w:b/>
          <w:i/>
          <w:sz w:val="22"/>
          <w:szCs w:val="22"/>
        </w:rPr>
        <w:t>different</w:t>
      </w:r>
      <w:r w:rsidRPr="00FE38E5">
        <w:rPr>
          <w:b/>
          <w:i/>
          <w:sz w:val="22"/>
          <w:szCs w:val="22"/>
        </w:rPr>
        <w:t xml:space="preserve"> transmission mode</w:t>
      </w:r>
      <w:r w:rsidR="004D5661">
        <w:rPr>
          <w:b/>
          <w:i/>
          <w:sz w:val="22"/>
          <w:szCs w:val="22"/>
        </w:rPr>
        <w:t>s</w:t>
      </w:r>
      <w:r w:rsidRPr="00FE38E5">
        <w:rPr>
          <w:b/>
          <w:i/>
          <w:sz w:val="22"/>
          <w:szCs w:val="22"/>
        </w:rPr>
        <w:t xml:space="preserve">, </w:t>
      </w:r>
      <w:r w:rsidR="004D5661" w:rsidRPr="004D5661">
        <w:rPr>
          <w:b/>
          <w:i/>
          <w:sz w:val="22"/>
          <w:szCs w:val="22"/>
        </w:rPr>
        <w:t>legacy SINR calculated assuming one transmission mode (e.g. TM-</w:t>
      </w:r>
      <w:r w:rsidR="009B3CF0">
        <w:rPr>
          <w:b/>
          <w:i/>
          <w:sz w:val="22"/>
          <w:szCs w:val="22"/>
        </w:rPr>
        <w:t>2</w:t>
      </w:r>
      <w:r w:rsidR="004D5661" w:rsidRPr="004D5661">
        <w:rPr>
          <w:b/>
          <w:i/>
          <w:sz w:val="22"/>
          <w:szCs w:val="22"/>
        </w:rPr>
        <w:t xml:space="preserve">) without multi-user interference cannot be used to estimate the SINR of that transmission mode </w:t>
      </w:r>
      <w:r w:rsidR="009B3CF0">
        <w:rPr>
          <w:b/>
          <w:i/>
          <w:sz w:val="22"/>
          <w:szCs w:val="22"/>
        </w:rPr>
        <w:t>with</w:t>
      </w:r>
      <w:r w:rsidR="004D5661" w:rsidRPr="004D5661">
        <w:rPr>
          <w:b/>
          <w:i/>
          <w:sz w:val="22"/>
          <w:szCs w:val="22"/>
        </w:rPr>
        <w:t xml:space="preserve"> multi user interference caused by a different transmission mode (e.g. TM-</w:t>
      </w:r>
      <w:r w:rsidR="009B3CF0">
        <w:rPr>
          <w:b/>
          <w:i/>
          <w:sz w:val="22"/>
          <w:szCs w:val="22"/>
        </w:rPr>
        <w:t>4</w:t>
      </w:r>
      <w:r w:rsidR="004D5661" w:rsidRPr="004D5661">
        <w:rPr>
          <w:b/>
          <w:i/>
          <w:sz w:val="22"/>
          <w:szCs w:val="22"/>
        </w:rPr>
        <w:t>)</w:t>
      </w:r>
      <w:r w:rsidRPr="00FE38E5">
        <w:rPr>
          <w:b/>
          <w:i/>
          <w:sz w:val="22"/>
          <w:szCs w:val="22"/>
        </w:rPr>
        <w:t>.</w:t>
      </w:r>
    </w:p>
    <w:p w:rsidR="00472348" w:rsidRDefault="00472348" w:rsidP="0012740E">
      <w:pPr>
        <w:spacing w:after="200" w:line="276" w:lineRule="auto"/>
        <w:contextualSpacing/>
        <w:jc w:val="both"/>
        <w:rPr>
          <w:b/>
          <w:i/>
          <w:sz w:val="22"/>
          <w:szCs w:val="22"/>
        </w:rPr>
      </w:pPr>
    </w:p>
    <w:p w:rsidR="00472348" w:rsidRPr="00FE38E5" w:rsidRDefault="00472348" w:rsidP="0012740E">
      <w:pPr>
        <w:spacing w:after="200" w:line="276" w:lineRule="auto"/>
        <w:contextualSpacing/>
        <w:jc w:val="both"/>
        <w:rPr>
          <w:b/>
          <w:i/>
          <w:sz w:val="22"/>
          <w:szCs w:val="22"/>
        </w:rPr>
      </w:pPr>
      <w:r w:rsidRPr="00DB4E97">
        <w:rPr>
          <w:b/>
          <w:i/>
          <w:sz w:val="22"/>
          <w:szCs w:val="22"/>
          <w:u w:val="single"/>
        </w:rPr>
        <w:lastRenderedPageBreak/>
        <w:t>Observation 3</w:t>
      </w:r>
      <w:r>
        <w:rPr>
          <w:b/>
          <w:i/>
          <w:sz w:val="22"/>
          <w:szCs w:val="22"/>
        </w:rPr>
        <w:t xml:space="preserve">: </w:t>
      </w:r>
      <w:r w:rsidR="00DD14B8">
        <w:rPr>
          <w:b/>
          <w:i/>
          <w:sz w:val="22"/>
          <w:szCs w:val="22"/>
        </w:rPr>
        <w:t xml:space="preserve">Advanced Near UE operating in MUST (both same TM and different TMs) </w:t>
      </w:r>
      <w:r w:rsidR="00DD14B8" w:rsidRPr="00DD14B8">
        <w:rPr>
          <w:b/>
          <w:i/>
          <w:sz w:val="22"/>
          <w:szCs w:val="22"/>
        </w:rPr>
        <w:t>may require taking its interference cancellation capability into account when calculating SINR for CQI reporting under MUST mode</w:t>
      </w:r>
      <w:r w:rsidR="00DD14B8">
        <w:rPr>
          <w:b/>
          <w:i/>
          <w:sz w:val="22"/>
          <w:szCs w:val="22"/>
        </w:rPr>
        <w:t>.</w:t>
      </w:r>
    </w:p>
    <w:p w:rsidR="00CF43D7" w:rsidRPr="00E122BA" w:rsidRDefault="00CF43D7" w:rsidP="00EA7F96">
      <w:pPr>
        <w:jc w:val="both"/>
        <w:rPr>
          <w:lang w:eastAsia="ja-JP"/>
        </w:rPr>
      </w:pPr>
    </w:p>
    <w:p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rsidR="00674296" w:rsidRDefault="00406F29" w:rsidP="00674296">
      <w:pPr>
        <w:jc w:val="both"/>
        <w:rPr>
          <w:sz w:val="22"/>
          <w:szCs w:val="22"/>
          <w:lang w:val="en-AU" w:eastAsia="en-AU"/>
        </w:rPr>
      </w:pPr>
      <w:r>
        <w:rPr>
          <w:sz w:val="22"/>
          <w:szCs w:val="22"/>
          <w:lang w:val="en-AU" w:eastAsia="en-AU"/>
        </w:rPr>
        <w:t>In this contribution, we discussed the need for the CSI enha</w:t>
      </w:r>
      <w:r w:rsidR="00DB4E97">
        <w:rPr>
          <w:sz w:val="22"/>
          <w:szCs w:val="22"/>
          <w:lang w:val="en-AU" w:eastAsia="en-AU"/>
        </w:rPr>
        <w:t>ncements to support MUST in LTE and following observations are made for consideration:</w:t>
      </w:r>
    </w:p>
    <w:p w:rsidR="00DB4E97" w:rsidRDefault="00DB4E97" w:rsidP="00674296">
      <w:pPr>
        <w:jc w:val="both"/>
        <w:rPr>
          <w:sz w:val="22"/>
          <w:szCs w:val="22"/>
          <w:lang w:val="en-AU" w:eastAsia="en-AU"/>
        </w:rPr>
      </w:pPr>
    </w:p>
    <w:p w:rsidR="00DB4E97" w:rsidRDefault="00DB4E97" w:rsidP="00DB4E97">
      <w:pPr>
        <w:spacing w:after="200" w:line="276" w:lineRule="auto"/>
        <w:contextualSpacing/>
        <w:jc w:val="both"/>
        <w:rPr>
          <w:b/>
          <w:i/>
          <w:sz w:val="22"/>
          <w:szCs w:val="22"/>
        </w:rPr>
      </w:pPr>
      <w:r w:rsidRPr="00FE38E5">
        <w:rPr>
          <w:b/>
          <w:i/>
          <w:sz w:val="22"/>
          <w:szCs w:val="22"/>
          <w:u w:val="single"/>
        </w:rPr>
        <w:t>Observation 1:</w:t>
      </w:r>
      <w:r w:rsidRPr="00FE38E5">
        <w:rPr>
          <w:b/>
          <w:i/>
          <w:sz w:val="22"/>
          <w:szCs w:val="22"/>
        </w:rPr>
        <w:t xml:space="preserve"> When superimposed signals are in same transmission mode, SINR corresponds to legacy CQI report (without multi-user transmission) from Far UE and Near UE can be used to estimate the SINR of the Far UE’s signal at the Far UE position and at the Near UE position respectively.</w:t>
      </w:r>
    </w:p>
    <w:p w:rsidR="00DB4E97" w:rsidRPr="00FE38E5" w:rsidRDefault="00DB4E97" w:rsidP="00DB4E97">
      <w:pPr>
        <w:spacing w:after="200" w:line="276" w:lineRule="auto"/>
        <w:contextualSpacing/>
        <w:jc w:val="both"/>
        <w:rPr>
          <w:b/>
          <w:i/>
          <w:sz w:val="22"/>
          <w:szCs w:val="22"/>
        </w:rPr>
      </w:pPr>
    </w:p>
    <w:p w:rsidR="00DB4E97" w:rsidRDefault="00DB4E97" w:rsidP="00DB4E97">
      <w:pPr>
        <w:spacing w:after="200" w:line="276" w:lineRule="auto"/>
        <w:contextualSpacing/>
        <w:jc w:val="both"/>
        <w:rPr>
          <w:b/>
          <w:i/>
          <w:sz w:val="22"/>
          <w:szCs w:val="22"/>
        </w:rPr>
      </w:pPr>
      <w:r w:rsidRPr="00FE38E5">
        <w:rPr>
          <w:b/>
          <w:i/>
          <w:sz w:val="22"/>
          <w:szCs w:val="22"/>
          <w:u w:val="single"/>
        </w:rPr>
        <w:t xml:space="preserve">Observation </w:t>
      </w:r>
      <w:r>
        <w:rPr>
          <w:b/>
          <w:i/>
          <w:sz w:val="22"/>
          <w:szCs w:val="22"/>
          <w:u w:val="single"/>
        </w:rPr>
        <w:t>2</w:t>
      </w:r>
      <w:r w:rsidRPr="00FE38E5">
        <w:rPr>
          <w:b/>
          <w:i/>
          <w:sz w:val="22"/>
          <w:szCs w:val="22"/>
          <w:u w:val="single"/>
        </w:rPr>
        <w:t>:</w:t>
      </w:r>
      <w:r w:rsidRPr="00FE38E5">
        <w:rPr>
          <w:b/>
          <w:i/>
          <w:sz w:val="22"/>
          <w:szCs w:val="22"/>
        </w:rPr>
        <w:t xml:space="preserve"> When superimposed signals are in </w:t>
      </w:r>
      <w:r>
        <w:rPr>
          <w:b/>
          <w:i/>
          <w:sz w:val="22"/>
          <w:szCs w:val="22"/>
        </w:rPr>
        <w:t>different</w:t>
      </w:r>
      <w:r w:rsidRPr="00FE38E5">
        <w:rPr>
          <w:b/>
          <w:i/>
          <w:sz w:val="22"/>
          <w:szCs w:val="22"/>
        </w:rPr>
        <w:t xml:space="preserve"> transmission mode</w:t>
      </w:r>
      <w:r>
        <w:rPr>
          <w:b/>
          <w:i/>
          <w:sz w:val="22"/>
          <w:szCs w:val="22"/>
        </w:rPr>
        <w:t>s</w:t>
      </w:r>
      <w:r w:rsidRPr="00FE38E5">
        <w:rPr>
          <w:b/>
          <w:i/>
          <w:sz w:val="22"/>
          <w:szCs w:val="22"/>
        </w:rPr>
        <w:t xml:space="preserve">, </w:t>
      </w:r>
      <w:r w:rsidRPr="004D5661">
        <w:rPr>
          <w:b/>
          <w:i/>
          <w:sz w:val="22"/>
          <w:szCs w:val="22"/>
        </w:rPr>
        <w:t>legacy SINR calculated assuming one transmission mode (e.g. TM-</w:t>
      </w:r>
      <w:r>
        <w:rPr>
          <w:b/>
          <w:i/>
          <w:sz w:val="22"/>
          <w:szCs w:val="22"/>
        </w:rPr>
        <w:t>2</w:t>
      </w:r>
      <w:r w:rsidRPr="004D5661">
        <w:rPr>
          <w:b/>
          <w:i/>
          <w:sz w:val="22"/>
          <w:szCs w:val="22"/>
        </w:rPr>
        <w:t xml:space="preserve">) without multi-user interference cannot be used to estimate the SINR of that transmission mode </w:t>
      </w:r>
      <w:r>
        <w:rPr>
          <w:b/>
          <w:i/>
          <w:sz w:val="22"/>
          <w:szCs w:val="22"/>
        </w:rPr>
        <w:t>with</w:t>
      </w:r>
      <w:r w:rsidRPr="004D5661">
        <w:rPr>
          <w:b/>
          <w:i/>
          <w:sz w:val="22"/>
          <w:szCs w:val="22"/>
        </w:rPr>
        <w:t xml:space="preserve"> multi user interference caused by a different transmission mode (e.g. TM-</w:t>
      </w:r>
      <w:r>
        <w:rPr>
          <w:b/>
          <w:i/>
          <w:sz w:val="22"/>
          <w:szCs w:val="22"/>
        </w:rPr>
        <w:t>4</w:t>
      </w:r>
      <w:r w:rsidRPr="004D5661">
        <w:rPr>
          <w:b/>
          <w:i/>
          <w:sz w:val="22"/>
          <w:szCs w:val="22"/>
        </w:rPr>
        <w:t>)</w:t>
      </w:r>
      <w:r w:rsidRPr="00FE38E5">
        <w:rPr>
          <w:b/>
          <w:i/>
          <w:sz w:val="22"/>
          <w:szCs w:val="22"/>
        </w:rPr>
        <w:t>.</w:t>
      </w:r>
    </w:p>
    <w:p w:rsidR="00DB4E97" w:rsidRDefault="00DB4E97" w:rsidP="00DB4E97">
      <w:pPr>
        <w:spacing w:after="200" w:line="276" w:lineRule="auto"/>
        <w:contextualSpacing/>
        <w:jc w:val="both"/>
        <w:rPr>
          <w:b/>
          <w:i/>
          <w:sz w:val="22"/>
          <w:szCs w:val="22"/>
        </w:rPr>
      </w:pPr>
    </w:p>
    <w:p w:rsidR="00DB4E97" w:rsidRPr="00FE38E5" w:rsidRDefault="00DB4E97" w:rsidP="00DB4E97">
      <w:pPr>
        <w:spacing w:after="200" w:line="276" w:lineRule="auto"/>
        <w:contextualSpacing/>
        <w:jc w:val="both"/>
        <w:rPr>
          <w:b/>
          <w:i/>
          <w:sz w:val="22"/>
          <w:szCs w:val="22"/>
        </w:rPr>
      </w:pPr>
      <w:r w:rsidRPr="00DB4E97">
        <w:rPr>
          <w:b/>
          <w:i/>
          <w:sz w:val="22"/>
          <w:szCs w:val="22"/>
          <w:u w:val="single"/>
        </w:rPr>
        <w:t>Observation 3</w:t>
      </w:r>
      <w:r>
        <w:rPr>
          <w:b/>
          <w:i/>
          <w:sz w:val="22"/>
          <w:szCs w:val="22"/>
        </w:rPr>
        <w:t xml:space="preserve">: Advanced Near UE operating in MUST (both same TM and different TMs) </w:t>
      </w:r>
      <w:r w:rsidRPr="00DD14B8">
        <w:rPr>
          <w:b/>
          <w:i/>
          <w:sz w:val="22"/>
          <w:szCs w:val="22"/>
        </w:rPr>
        <w:t>may require taking its interference cancellation capability into account when calculating SINR for CQI reporting under MUST mode</w:t>
      </w:r>
      <w:r>
        <w:rPr>
          <w:b/>
          <w:i/>
          <w:sz w:val="22"/>
          <w:szCs w:val="22"/>
        </w:rPr>
        <w:t>.</w:t>
      </w:r>
    </w:p>
    <w:p w:rsidR="00674296" w:rsidRPr="006675FE" w:rsidRDefault="00674296" w:rsidP="00674296">
      <w:pPr>
        <w:jc w:val="both"/>
        <w:rPr>
          <w:rFonts w:eastAsia="MS Mincho"/>
          <w:b/>
          <w:i/>
          <w:iCs/>
          <w:sz w:val="22"/>
          <w:szCs w:val="22"/>
          <w:lang w:val="en-AU" w:eastAsia="ja-JP"/>
        </w:rPr>
      </w:pPr>
    </w:p>
    <w:p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674296" w:rsidRPr="000270DA" w:rsidRDefault="000270DA" w:rsidP="000270DA">
      <w:pPr>
        <w:tabs>
          <w:tab w:val="left" w:pos="567"/>
        </w:tabs>
        <w:spacing w:after="60"/>
        <w:ind w:left="567" w:hanging="567"/>
        <w:jc w:val="both"/>
        <w:rPr>
          <w:bCs/>
          <w:sz w:val="22"/>
        </w:rPr>
      </w:pPr>
      <w:bookmarkStart w:id="3" w:name="_Ref426116001"/>
      <w:r>
        <w:rPr>
          <w:bCs/>
          <w:sz w:val="22"/>
        </w:rPr>
        <w:t>[1]</w:t>
      </w:r>
      <w:r>
        <w:rPr>
          <w:bCs/>
          <w:sz w:val="22"/>
        </w:rPr>
        <w:tab/>
      </w:r>
      <w:r w:rsidR="00674296" w:rsidRPr="000270DA">
        <w:rPr>
          <w:bCs/>
          <w:sz w:val="22"/>
        </w:rPr>
        <w:t>RP-150858, “Revised SID: Study on Downlink Multiuser Superposition Transmission for LTE”, MediaTek Inc. 3GPP TSG RAN Meeting #68, June 15-18, 2015</w:t>
      </w:r>
      <w:bookmarkEnd w:id="3"/>
    </w:p>
    <w:p w:rsidR="00B05C6A" w:rsidRPr="000270DA" w:rsidRDefault="000270DA" w:rsidP="000270DA">
      <w:pPr>
        <w:tabs>
          <w:tab w:val="left" w:pos="567"/>
        </w:tabs>
        <w:spacing w:after="60"/>
        <w:ind w:left="567" w:hanging="567"/>
        <w:jc w:val="both"/>
        <w:rPr>
          <w:bCs/>
          <w:sz w:val="22"/>
        </w:rPr>
      </w:pPr>
      <w:bookmarkStart w:id="4" w:name="_Ref429389492"/>
      <w:r>
        <w:rPr>
          <w:bCs/>
          <w:sz w:val="22"/>
        </w:rPr>
        <w:t>[2]</w:t>
      </w:r>
      <w:r>
        <w:rPr>
          <w:bCs/>
          <w:sz w:val="22"/>
        </w:rPr>
        <w:tab/>
      </w:r>
      <w:r w:rsidR="00B05C6A" w:rsidRPr="000270DA">
        <w:rPr>
          <w:bCs/>
          <w:sz w:val="22"/>
        </w:rPr>
        <w:t>Chairman’s Notes, 3GPP TSG RAN WG1 Meeting #82, August 2</w:t>
      </w:r>
      <w:r w:rsidR="00B875E8" w:rsidRPr="000270DA">
        <w:rPr>
          <w:bCs/>
          <w:sz w:val="22"/>
        </w:rPr>
        <w:t>4</w:t>
      </w:r>
      <w:r w:rsidR="00B05C6A" w:rsidRPr="000270DA">
        <w:rPr>
          <w:bCs/>
          <w:sz w:val="22"/>
        </w:rPr>
        <w:t>-</w:t>
      </w:r>
      <w:r w:rsidR="00B875E8" w:rsidRPr="000270DA">
        <w:rPr>
          <w:bCs/>
          <w:sz w:val="22"/>
        </w:rPr>
        <w:t>28</w:t>
      </w:r>
      <w:r w:rsidR="00B05C6A" w:rsidRPr="000270DA">
        <w:rPr>
          <w:bCs/>
          <w:sz w:val="22"/>
        </w:rPr>
        <w:t>, 2015</w:t>
      </w:r>
      <w:bookmarkEnd w:id="4"/>
    </w:p>
    <w:p w:rsidR="000C38FE" w:rsidRPr="000270DA" w:rsidRDefault="000270DA" w:rsidP="000270DA">
      <w:pPr>
        <w:tabs>
          <w:tab w:val="left" w:pos="567"/>
        </w:tabs>
        <w:spacing w:after="60"/>
        <w:ind w:left="567" w:hanging="567"/>
        <w:jc w:val="both"/>
        <w:rPr>
          <w:bCs/>
          <w:sz w:val="22"/>
        </w:rPr>
      </w:pPr>
      <w:r>
        <w:rPr>
          <w:bCs/>
          <w:sz w:val="22"/>
        </w:rPr>
        <w:t>[3]</w:t>
      </w:r>
      <w:r>
        <w:rPr>
          <w:bCs/>
          <w:sz w:val="22"/>
        </w:rPr>
        <w:tab/>
      </w:r>
      <w:r w:rsidR="00E71341" w:rsidRPr="000270DA">
        <w:rPr>
          <w:bCs/>
          <w:sz w:val="22"/>
        </w:rPr>
        <w:t>R1-154894, “</w:t>
      </w:r>
      <w:r w:rsidR="00BD6BF0" w:rsidRPr="000270DA">
        <w:rPr>
          <w:bCs/>
          <w:sz w:val="22"/>
        </w:rPr>
        <w:t>Way forward on mixed transmission schemes”</w:t>
      </w:r>
      <w:r w:rsidR="00E7064C" w:rsidRPr="000270DA">
        <w:rPr>
          <w:bCs/>
          <w:sz w:val="22"/>
        </w:rPr>
        <w:t xml:space="preserve">, </w:t>
      </w:r>
      <w:r w:rsidR="00BD6BF0" w:rsidRPr="000270DA">
        <w:rPr>
          <w:bCs/>
          <w:sz w:val="22"/>
        </w:rPr>
        <w:t>3GPP TSG RAN WG1 Meeting #82, August 24-28, 2015</w:t>
      </w:r>
      <w:bookmarkStart w:id="5" w:name="_Ref429473617"/>
    </w:p>
    <w:p w:rsidR="007009D1" w:rsidRPr="000270DA" w:rsidRDefault="000270DA" w:rsidP="000270DA">
      <w:pPr>
        <w:tabs>
          <w:tab w:val="left" w:pos="567"/>
        </w:tabs>
        <w:spacing w:after="60"/>
        <w:ind w:left="567" w:hanging="567"/>
        <w:jc w:val="both"/>
        <w:rPr>
          <w:bCs/>
          <w:sz w:val="22"/>
        </w:rPr>
      </w:pPr>
      <w:r>
        <w:rPr>
          <w:bCs/>
          <w:sz w:val="22"/>
        </w:rPr>
        <w:t>[4]</w:t>
      </w:r>
      <w:r>
        <w:rPr>
          <w:bCs/>
          <w:sz w:val="22"/>
        </w:rPr>
        <w:tab/>
      </w:r>
      <w:r w:rsidR="000C38FE" w:rsidRPr="000270DA">
        <w:rPr>
          <w:bCs/>
          <w:sz w:val="22"/>
        </w:rPr>
        <w:t xml:space="preserve">3GPP </w:t>
      </w:r>
      <w:r w:rsidR="00922EA0" w:rsidRPr="000270DA">
        <w:rPr>
          <w:bCs/>
          <w:sz w:val="22"/>
        </w:rPr>
        <w:t>TS 36.213,</w:t>
      </w:r>
      <w:bookmarkEnd w:id="5"/>
      <w:r w:rsidR="00922EA0" w:rsidRPr="000270DA">
        <w:rPr>
          <w:bCs/>
          <w:sz w:val="22"/>
        </w:rPr>
        <w:t xml:space="preserve"> </w:t>
      </w:r>
      <w:r w:rsidR="000C38FE" w:rsidRPr="000270DA">
        <w:rPr>
          <w:bCs/>
          <w:sz w:val="22"/>
        </w:rPr>
        <w:t>“Evolved Universal Terrestrial Radio Access (E-UTRA); Physical layer procedures (Release 12)”, V12.5.0 (2015-03)</w:t>
      </w:r>
    </w:p>
    <w:sectPr w:rsidR="007009D1" w:rsidRPr="000270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6C3688"/>
    <w:multiLevelType w:val="hybridMultilevel"/>
    <w:tmpl w:val="84B826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2F93548"/>
    <w:multiLevelType w:val="hybridMultilevel"/>
    <w:tmpl w:val="A6326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06AF9"/>
    <w:rsid w:val="00010C8F"/>
    <w:rsid w:val="00011802"/>
    <w:rsid w:val="00026B66"/>
    <w:rsid w:val="000270DA"/>
    <w:rsid w:val="00073204"/>
    <w:rsid w:val="000B50DC"/>
    <w:rsid w:val="000C38FE"/>
    <w:rsid w:val="000D0DE1"/>
    <w:rsid w:val="000D2F3D"/>
    <w:rsid w:val="000E3E2B"/>
    <w:rsid w:val="001036D6"/>
    <w:rsid w:val="0012740E"/>
    <w:rsid w:val="00144B1F"/>
    <w:rsid w:val="0017712C"/>
    <w:rsid w:val="00183260"/>
    <w:rsid w:val="001E5C99"/>
    <w:rsid w:val="00234629"/>
    <w:rsid w:val="00236238"/>
    <w:rsid w:val="002428A9"/>
    <w:rsid w:val="0029296F"/>
    <w:rsid w:val="002A5BB4"/>
    <w:rsid w:val="002E0C61"/>
    <w:rsid w:val="0030737D"/>
    <w:rsid w:val="00310139"/>
    <w:rsid w:val="003525A4"/>
    <w:rsid w:val="00384F6D"/>
    <w:rsid w:val="003D19EC"/>
    <w:rsid w:val="003D1E35"/>
    <w:rsid w:val="00406F29"/>
    <w:rsid w:val="00423CEF"/>
    <w:rsid w:val="00424AEA"/>
    <w:rsid w:val="00472348"/>
    <w:rsid w:val="00480880"/>
    <w:rsid w:val="00490A90"/>
    <w:rsid w:val="004A75E1"/>
    <w:rsid w:val="004B4178"/>
    <w:rsid w:val="004D5661"/>
    <w:rsid w:val="00525ECB"/>
    <w:rsid w:val="005722AF"/>
    <w:rsid w:val="0057475E"/>
    <w:rsid w:val="005B4EAB"/>
    <w:rsid w:val="005C11C9"/>
    <w:rsid w:val="005C1EC9"/>
    <w:rsid w:val="006132F9"/>
    <w:rsid w:val="006321B0"/>
    <w:rsid w:val="00674296"/>
    <w:rsid w:val="00682321"/>
    <w:rsid w:val="00682910"/>
    <w:rsid w:val="00693A6B"/>
    <w:rsid w:val="006C0D05"/>
    <w:rsid w:val="006D0305"/>
    <w:rsid w:val="006D7091"/>
    <w:rsid w:val="007009D1"/>
    <w:rsid w:val="0070563B"/>
    <w:rsid w:val="0072629C"/>
    <w:rsid w:val="0075558B"/>
    <w:rsid w:val="007A60A6"/>
    <w:rsid w:val="007F73B0"/>
    <w:rsid w:val="0085239B"/>
    <w:rsid w:val="008A202C"/>
    <w:rsid w:val="008C5F46"/>
    <w:rsid w:val="008D2D6D"/>
    <w:rsid w:val="008D3CA7"/>
    <w:rsid w:val="008E0FA6"/>
    <w:rsid w:val="008E10C6"/>
    <w:rsid w:val="008F67F0"/>
    <w:rsid w:val="00911C1F"/>
    <w:rsid w:val="0091672E"/>
    <w:rsid w:val="00921DC9"/>
    <w:rsid w:val="00922EA0"/>
    <w:rsid w:val="009B3CF0"/>
    <w:rsid w:val="009D774D"/>
    <w:rsid w:val="009E5F9F"/>
    <w:rsid w:val="00A041E9"/>
    <w:rsid w:val="00A074F8"/>
    <w:rsid w:val="00A4301C"/>
    <w:rsid w:val="00A720D7"/>
    <w:rsid w:val="00AA7F75"/>
    <w:rsid w:val="00AB1865"/>
    <w:rsid w:val="00AC3E62"/>
    <w:rsid w:val="00AD47AB"/>
    <w:rsid w:val="00B05C6A"/>
    <w:rsid w:val="00B64DCB"/>
    <w:rsid w:val="00B65EA4"/>
    <w:rsid w:val="00B875E8"/>
    <w:rsid w:val="00B94F94"/>
    <w:rsid w:val="00BD6021"/>
    <w:rsid w:val="00BD6BF0"/>
    <w:rsid w:val="00C028BB"/>
    <w:rsid w:val="00C22143"/>
    <w:rsid w:val="00C33D7A"/>
    <w:rsid w:val="00C348F4"/>
    <w:rsid w:val="00C72FF6"/>
    <w:rsid w:val="00C9378A"/>
    <w:rsid w:val="00C975A8"/>
    <w:rsid w:val="00CC4921"/>
    <w:rsid w:val="00CF43D7"/>
    <w:rsid w:val="00D05581"/>
    <w:rsid w:val="00D1200D"/>
    <w:rsid w:val="00D40E4E"/>
    <w:rsid w:val="00D56B89"/>
    <w:rsid w:val="00DA71F9"/>
    <w:rsid w:val="00DB4E97"/>
    <w:rsid w:val="00DD14B8"/>
    <w:rsid w:val="00DF248E"/>
    <w:rsid w:val="00E105AC"/>
    <w:rsid w:val="00E122BA"/>
    <w:rsid w:val="00E332A0"/>
    <w:rsid w:val="00E36D93"/>
    <w:rsid w:val="00E7064C"/>
    <w:rsid w:val="00E71341"/>
    <w:rsid w:val="00E74C8B"/>
    <w:rsid w:val="00EA7F96"/>
    <w:rsid w:val="00EB49C3"/>
    <w:rsid w:val="00EC4084"/>
    <w:rsid w:val="00ED10DA"/>
    <w:rsid w:val="00F55B3F"/>
    <w:rsid w:val="00F81D19"/>
    <w:rsid w:val="00FC4210"/>
    <w:rsid w:val="00FC5969"/>
    <w:rsid w:val="00FE38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paragraph" w:styleId="NoSpacing">
    <w:name w:val="No Spacing"/>
    <w:uiPriority w:val="1"/>
    <w:qFormat/>
    <w:rsid w:val="00E332A0"/>
    <w:pPr>
      <w:spacing w:after="0" w:line="240" w:lineRule="auto"/>
    </w:pPr>
  </w:style>
  <w:style w:type="table" w:styleId="TableGrid">
    <w:name w:val="Table Grid"/>
    <w:basedOn w:val="TableNormal"/>
    <w:uiPriority w:val="59"/>
    <w:rsid w:val="00E10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045287">
      <w:bodyDiv w:val="1"/>
      <w:marLeft w:val="0"/>
      <w:marRight w:val="0"/>
      <w:marTop w:val="0"/>
      <w:marBottom w:val="0"/>
      <w:divBdr>
        <w:top w:val="none" w:sz="0" w:space="0" w:color="auto"/>
        <w:left w:val="none" w:sz="0" w:space="0" w:color="auto"/>
        <w:bottom w:val="none" w:sz="0" w:space="0" w:color="auto"/>
        <w:right w:val="none" w:sz="0" w:space="0" w:color="auto"/>
      </w:divBdr>
    </w:div>
    <w:div w:id="189565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ED5CF-7B7A-43C7-B169-DB0572D2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Pushpika Wijesinghe</dc:creator>
  <cp:lastModifiedBy>NEC</cp:lastModifiedBy>
  <cp:revision>2</cp:revision>
  <dcterms:created xsi:type="dcterms:W3CDTF">2015-11-06T05:58:00Z</dcterms:created>
  <dcterms:modified xsi:type="dcterms:W3CDTF">2015-11-06T05:58:00Z</dcterms:modified>
</cp:coreProperties>
</file>