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582" w:rsidRPr="008E3CCA" w:rsidRDefault="002E34B3" w:rsidP="00B46582">
      <w:pPr>
        <w:tabs>
          <w:tab w:val="right" w:pos="9216"/>
        </w:tabs>
        <w:spacing w:after="0"/>
        <w:jc w:val="left"/>
        <w:rPr>
          <w:b/>
          <w:kern w:val="2"/>
          <w:lang w:val="en-GB" w:eastAsia="zh-CN"/>
        </w:rPr>
      </w:pPr>
      <w:r w:rsidRPr="002E34B3">
        <w:rPr>
          <w:b/>
          <w:kern w:val="2"/>
          <w:lang w:val="en-GB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B46582" w:rsidRPr="008E3CCA">
        <w:rPr>
          <w:b/>
          <w:kern w:val="2"/>
          <w:lang w:val="en-GB" w:eastAsia="zh-CN"/>
        </w:rPr>
        <w:t>3GPP TSG RAN WG1 Meeting #</w:t>
      </w:r>
      <w:r w:rsidR="00B46582">
        <w:rPr>
          <w:rFonts w:hint="eastAsia"/>
          <w:b/>
          <w:kern w:val="2"/>
          <w:lang w:val="en-GB" w:eastAsia="zh-CN"/>
        </w:rPr>
        <w:t>82</w:t>
      </w:r>
      <w:r w:rsidR="00B46582" w:rsidRPr="008E3CCA">
        <w:rPr>
          <w:b/>
          <w:kern w:val="2"/>
          <w:lang w:val="en-GB" w:eastAsia="zh-CN"/>
        </w:rPr>
        <w:tab/>
      </w:r>
      <w:r w:rsidR="00B46582" w:rsidRPr="00B46582">
        <w:rPr>
          <w:b/>
          <w:kern w:val="2"/>
          <w:lang w:val="en-GB" w:eastAsia="zh-CN"/>
        </w:rPr>
        <w:t>R1-154720</w:t>
      </w:r>
      <w:r w:rsidR="00B46582">
        <w:rPr>
          <w:color w:val="1F497D"/>
        </w:rPr>
        <w:t>         </w:t>
      </w:r>
    </w:p>
    <w:p w:rsidR="00B46582" w:rsidRPr="004E49B1" w:rsidRDefault="00B46582" w:rsidP="00B46582">
      <w:pPr>
        <w:jc w:val="left"/>
        <w:rPr>
          <w:b/>
          <w:lang w:eastAsia="zh-CN"/>
        </w:rPr>
      </w:pPr>
      <w:r w:rsidRPr="000906E4">
        <w:rPr>
          <w:rFonts w:hint="eastAsia"/>
          <w:b/>
          <w:lang w:eastAsia="zh-CN"/>
        </w:rPr>
        <w:t>Beijing</w:t>
      </w:r>
      <w:r w:rsidRPr="000906E4">
        <w:rPr>
          <w:b/>
          <w:lang w:eastAsia="zh-CN"/>
        </w:rPr>
        <w:t xml:space="preserve">, </w:t>
      </w:r>
      <w:r w:rsidRPr="000906E4">
        <w:rPr>
          <w:rFonts w:hint="eastAsia"/>
          <w:b/>
          <w:lang w:eastAsia="zh-CN"/>
        </w:rPr>
        <w:t>China</w:t>
      </w:r>
      <w:r w:rsidRPr="000906E4">
        <w:rPr>
          <w:b/>
          <w:lang w:eastAsia="zh-CN"/>
        </w:rPr>
        <w:t>, 2</w:t>
      </w:r>
      <w:r w:rsidRPr="000906E4">
        <w:rPr>
          <w:rFonts w:hint="eastAsia"/>
          <w:b/>
          <w:lang w:eastAsia="zh-CN"/>
        </w:rPr>
        <w:t>4</w:t>
      </w:r>
      <w:r w:rsidRPr="000906E4">
        <w:rPr>
          <w:rFonts w:hint="eastAsia"/>
          <w:b/>
          <w:vertAlign w:val="superscript"/>
          <w:lang w:eastAsia="zh-CN"/>
        </w:rPr>
        <w:t>th</w:t>
      </w:r>
      <w:r w:rsidRPr="000906E4">
        <w:rPr>
          <w:rFonts w:hint="eastAsia"/>
          <w:b/>
          <w:lang w:eastAsia="zh-CN"/>
        </w:rPr>
        <w:t xml:space="preserve"> </w:t>
      </w:r>
      <w:r w:rsidRPr="000906E4">
        <w:rPr>
          <w:b/>
          <w:lang w:eastAsia="zh-CN"/>
        </w:rPr>
        <w:t>- 2</w:t>
      </w:r>
      <w:r w:rsidRPr="000906E4">
        <w:rPr>
          <w:rFonts w:hint="eastAsia"/>
          <w:b/>
          <w:lang w:eastAsia="zh-CN"/>
        </w:rPr>
        <w:t>8</w:t>
      </w:r>
      <w:r w:rsidRPr="000906E4">
        <w:rPr>
          <w:rFonts w:hint="eastAsia"/>
          <w:b/>
          <w:vertAlign w:val="superscript"/>
          <w:lang w:eastAsia="zh-CN"/>
        </w:rPr>
        <w:t>th</w:t>
      </w:r>
      <w:r w:rsidRPr="000906E4">
        <w:rPr>
          <w:rFonts w:hint="eastAsia"/>
          <w:b/>
          <w:lang w:eastAsia="zh-CN"/>
        </w:rPr>
        <w:t xml:space="preserve"> August</w:t>
      </w:r>
      <w:r w:rsidRPr="000906E4">
        <w:rPr>
          <w:b/>
          <w:lang w:eastAsia="zh-CN"/>
        </w:rPr>
        <w:t xml:space="preserve"> 2015</w:t>
      </w:r>
    </w:p>
    <w:p w:rsidR="00B46582" w:rsidRPr="008E3CCA" w:rsidRDefault="00B46582" w:rsidP="00B46582">
      <w:pPr>
        <w:pBdr>
          <w:top w:val="single" w:sz="4" w:space="1" w:color="auto"/>
        </w:pBdr>
        <w:spacing w:after="0"/>
        <w:jc w:val="left"/>
        <w:rPr>
          <w:b/>
          <w:kern w:val="2"/>
          <w:lang w:val="en-GB" w:eastAsia="zh-CN"/>
        </w:rPr>
      </w:pPr>
    </w:p>
    <w:p w:rsidR="00B46582" w:rsidRPr="008E3CCA" w:rsidRDefault="00B46582" w:rsidP="00B46582">
      <w:pPr>
        <w:spacing w:after="60"/>
        <w:ind w:left="1555" w:hanging="1555"/>
        <w:jc w:val="left"/>
        <w:rPr>
          <w:b/>
          <w:kern w:val="2"/>
          <w:lang w:val="en-GB" w:eastAsia="zh-CN"/>
        </w:rPr>
      </w:pPr>
      <w:r w:rsidRPr="008E3CCA">
        <w:rPr>
          <w:b/>
          <w:kern w:val="2"/>
          <w:lang w:val="en-GB" w:eastAsia="zh-CN"/>
        </w:rPr>
        <w:t>Agenda Item:</w:t>
      </w:r>
      <w:r w:rsidRPr="008E3CCA">
        <w:rPr>
          <w:b/>
          <w:kern w:val="2"/>
          <w:lang w:val="en-GB" w:eastAsia="zh-CN"/>
        </w:rPr>
        <w:tab/>
      </w:r>
      <w:r w:rsidR="00723CD4">
        <w:rPr>
          <w:b/>
          <w:kern w:val="2"/>
          <w:lang w:val="en-GB" w:eastAsia="zh-CN"/>
        </w:rPr>
        <w:t>7.2.9</w:t>
      </w:r>
    </w:p>
    <w:p w:rsidR="00B46582" w:rsidRPr="008E3CCA" w:rsidRDefault="00B46582" w:rsidP="00B46582">
      <w:pPr>
        <w:spacing w:after="60"/>
        <w:ind w:left="1555" w:hanging="1555"/>
        <w:jc w:val="left"/>
        <w:rPr>
          <w:b/>
          <w:kern w:val="2"/>
          <w:lang w:val="en-GB" w:eastAsia="zh-CN"/>
        </w:rPr>
      </w:pPr>
      <w:r w:rsidRPr="008E3CCA">
        <w:rPr>
          <w:b/>
          <w:kern w:val="2"/>
          <w:lang w:val="en-GB" w:eastAsia="zh-CN"/>
        </w:rPr>
        <w:t>Source:</w:t>
      </w:r>
      <w:r w:rsidRPr="008E3CCA">
        <w:rPr>
          <w:b/>
          <w:kern w:val="2"/>
          <w:lang w:val="en-GB" w:eastAsia="zh-CN"/>
        </w:rPr>
        <w:tab/>
        <w:t>Huawei, HiSilicon</w:t>
      </w:r>
    </w:p>
    <w:p w:rsidR="00B46582" w:rsidRDefault="00B46582" w:rsidP="00B46582">
      <w:pPr>
        <w:spacing w:after="60"/>
        <w:ind w:left="1555" w:hanging="1555"/>
        <w:jc w:val="left"/>
        <w:rPr>
          <w:color w:val="1F497D"/>
        </w:rPr>
      </w:pPr>
      <w:r w:rsidRPr="008E3CCA">
        <w:rPr>
          <w:b/>
          <w:kern w:val="2"/>
          <w:lang w:val="en-GB" w:eastAsia="zh-CN"/>
        </w:rPr>
        <w:t>Title:</w:t>
      </w:r>
      <w:r w:rsidRPr="008E3CCA">
        <w:rPr>
          <w:b/>
          <w:kern w:val="2"/>
          <w:lang w:val="en-GB" w:eastAsia="zh-CN"/>
        </w:rPr>
        <w:tab/>
      </w:r>
      <w:r w:rsidRPr="00B46582">
        <w:rPr>
          <w:b/>
          <w:kern w:val="2"/>
          <w:lang w:val="en-GB" w:eastAsia="zh-CN"/>
        </w:rPr>
        <w:t>Conclusion on NB-</w:t>
      </w:r>
      <w:proofErr w:type="spellStart"/>
      <w:r w:rsidRPr="00B46582">
        <w:rPr>
          <w:b/>
          <w:kern w:val="2"/>
          <w:lang w:val="en-GB" w:eastAsia="zh-CN"/>
        </w:rPr>
        <w:t>CIoT</w:t>
      </w:r>
      <w:proofErr w:type="spellEnd"/>
      <w:r w:rsidRPr="00B46582">
        <w:rPr>
          <w:b/>
          <w:kern w:val="2"/>
          <w:lang w:val="en-GB" w:eastAsia="zh-CN"/>
        </w:rPr>
        <w:t xml:space="preserve"> "clean slate" solution from GERAN67</w:t>
      </w:r>
      <w:r>
        <w:rPr>
          <w:color w:val="1F497D"/>
        </w:rPr>
        <w:t xml:space="preserve">       </w:t>
      </w:r>
    </w:p>
    <w:p w:rsidR="00B46582" w:rsidRPr="008E3CCA" w:rsidRDefault="00B46582" w:rsidP="00B46582">
      <w:pPr>
        <w:spacing w:after="60"/>
        <w:ind w:left="1555" w:hanging="1555"/>
        <w:jc w:val="left"/>
        <w:rPr>
          <w:b/>
          <w:kern w:val="2"/>
          <w:lang w:val="en-GB" w:eastAsia="zh-CN"/>
        </w:rPr>
      </w:pPr>
      <w:r w:rsidRPr="008E3CCA">
        <w:rPr>
          <w:b/>
          <w:kern w:val="2"/>
          <w:lang w:val="en-GB" w:eastAsia="zh-CN"/>
        </w:rPr>
        <w:t>Document for:</w:t>
      </w:r>
      <w:r w:rsidRPr="008E3CCA">
        <w:rPr>
          <w:b/>
          <w:kern w:val="2"/>
          <w:lang w:val="en-GB" w:eastAsia="zh-CN"/>
        </w:rPr>
        <w:tab/>
      </w:r>
      <w:r>
        <w:rPr>
          <w:b/>
          <w:kern w:val="2"/>
          <w:lang w:val="en-GB" w:eastAsia="zh-CN"/>
        </w:rPr>
        <w:t>Information</w:t>
      </w:r>
    </w:p>
    <w:p w:rsidR="00B46582" w:rsidRPr="008E3CCA" w:rsidRDefault="00B46582" w:rsidP="00B4658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46582" w:rsidRPr="00723CD4" w:rsidRDefault="00B46582" w:rsidP="00B46582">
      <w:pPr>
        <w:pStyle w:val="Heading1"/>
        <w:keepLines w:val="0"/>
        <w:widowControl/>
        <w:pBdr>
          <w:top w:val="none" w:sz="0" w:space="0" w:color="auto"/>
        </w:pBdr>
        <w:tabs>
          <w:tab w:val="clear" w:pos="432"/>
        </w:tabs>
        <w:spacing w:before="120" w:after="120"/>
        <w:rPr>
          <w:rFonts w:ascii="Times New Roman" w:hAnsi="Times New Roman"/>
          <w:b/>
          <w:sz w:val="28"/>
          <w:szCs w:val="28"/>
        </w:rPr>
      </w:pPr>
      <w:bookmarkStart w:id="0" w:name="_Ref124589705"/>
      <w:bookmarkStart w:id="1" w:name="_Ref129681862"/>
      <w:r w:rsidRPr="00723CD4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</w:p>
    <w:p w:rsidR="00B46582" w:rsidRDefault="00B46582" w:rsidP="00B46582">
      <w:r>
        <w:t xml:space="preserve">This paper explains the outcome of GERAN#67 regarding </w:t>
      </w:r>
      <w:r w:rsidR="00723CD4">
        <w:t xml:space="preserve">the </w:t>
      </w:r>
      <w:r>
        <w:t>study item on</w:t>
      </w:r>
      <w:r w:rsidRPr="00557144">
        <w:rPr>
          <w:rFonts w:hint="eastAsia"/>
          <w:lang w:eastAsia="zh-CN"/>
        </w:rPr>
        <w:t xml:space="preserve"> </w:t>
      </w:r>
      <w:r w:rsidRPr="00D91CD3">
        <w:t>Ultra Low Complexity and Low Throughput Internet of Things</w:t>
      </w:r>
      <w:r w:rsidRPr="00557144">
        <w:rPr>
          <w:lang w:eastAsia="zh-CN"/>
        </w:rPr>
        <w:t xml:space="preserve"> </w:t>
      </w:r>
      <w:r w:rsidRPr="00557144">
        <w:rPr>
          <w:rFonts w:hint="eastAsia"/>
          <w:lang w:eastAsia="zh-CN"/>
        </w:rPr>
        <w:t>(</w:t>
      </w:r>
      <w:proofErr w:type="spellStart"/>
      <w:r w:rsidRPr="00557144">
        <w:rPr>
          <w:rFonts w:hint="eastAsia"/>
          <w:lang w:eastAsia="zh-CN"/>
        </w:rPr>
        <w:t>CIoT</w:t>
      </w:r>
      <w:proofErr w:type="spellEnd"/>
      <w:r w:rsidRPr="00557144">
        <w:rPr>
          <w:rFonts w:hint="eastAsia"/>
          <w:lang w:eastAsia="zh-CN"/>
        </w:rPr>
        <w:t xml:space="preserve">) </w:t>
      </w:r>
      <w:r>
        <w:rPr>
          <w:lang w:eastAsia="zh-CN"/>
        </w:rPr>
        <w:t>[1] and the related decision that was taken in the PCG#34 [2].</w:t>
      </w:r>
      <w:r>
        <w:t xml:space="preserve"> </w:t>
      </w:r>
    </w:p>
    <w:p w:rsidR="00B46582" w:rsidRDefault="00B46582" w:rsidP="00B46582"/>
    <w:p w:rsidR="00B46582" w:rsidRPr="00723CD4" w:rsidRDefault="00B46582" w:rsidP="00B46582">
      <w:pPr>
        <w:pStyle w:val="Heading1"/>
        <w:keepLines w:val="0"/>
        <w:widowControl/>
        <w:pBdr>
          <w:top w:val="none" w:sz="0" w:space="0" w:color="auto"/>
        </w:pBdr>
        <w:tabs>
          <w:tab w:val="clear" w:pos="432"/>
        </w:tabs>
        <w:spacing w:before="120" w:after="120"/>
        <w:rPr>
          <w:rFonts w:ascii="Times New Roman" w:hAnsi="Times New Roman"/>
          <w:b/>
          <w:sz w:val="28"/>
          <w:szCs w:val="28"/>
        </w:rPr>
      </w:pPr>
      <w:r w:rsidRPr="00723CD4">
        <w:rPr>
          <w:rFonts w:ascii="Times New Roman" w:hAnsi="Times New Roman"/>
          <w:b/>
          <w:sz w:val="28"/>
          <w:szCs w:val="28"/>
        </w:rPr>
        <w:t>Discussion</w:t>
      </w:r>
    </w:p>
    <w:p w:rsidR="005A7BBE" w:rsidRDefault="00B46582" w:rsidP="00B46582">
      <w:pPr>
        <w:rPr>
          <w:lang w:eastAsia="zh-CN"/>
        </w:rPr>
      </w:pPr>
      <w:r>
        <w:t xml:space="preserve">The outcome of the GERAN study item is captured in TR 45.820. Throughout the </w:t>
      </w:r>
      <w:r w:rsidR="00723CD4">
        <w:t xml:space="preserve">more-than-one-year </w:t>
      </w:r>
      <w:r>
        <w:t>study phase</w:t>
      </w:r>
      <w:r w:rsidR="00723CD4">
        <w:t xml:space="preserve"> </w:t>
      </w:r>
      <w:r w:rsidR="005A7BBE">
        <w:t xml:space="preserve">there were two </w:t>
      </w:r>
      <w:r w:rsidR="000A529F">
        <w:t xml:space="preserve">tracks </w:t>
      </w:r>
      <w:r w:rsidR="005A7BBE">
        <w:t>followed</w:t>
      </w:r>
      <w:r w:rsidR="00723CD4">
        <w:t>,</w:t>
      </w:r>
      <w:r w:rsidR="005A7BBE">
        <w:t xml:space="preserve"> one based on GSM Evolution and another based on </w:t>
      </w:r>
      <w:r w:rsidR="005C5C22">
        <w:t xml:space="preserve">a </w:t>
      </w:r>
      <w:r w:rsidR="005A7BBE">
        <w:t xml:space="preserve">Clean Slate approach. </w:t>
      </w:r>
      <w:r w:rsidR="005A7BBE">
        <w:rPr>
          <w:lang w:eastAsia="zh-CN"/>
        </w:rPr>
        <w:t>T</w:t>
      </w:r>
      <w:r w:rsidRPr="00557144">
        <w:rPr>
          <w:rFonts w:hint="eastAsia"/>
          <w:lang w:eastAsia="zh-CN"/>
        </w:rPr>
        <w:t xml:space="preserve">hree clean-slate solutions have been </w:t>
      </w:r>
      <w:r w:rsidR="005A7BBE">
        <w:rPr>
          <w:lang w:eastAsia="zh-CN"/>
        </w:rPr>
        <w:t xml:space="preserve">thoroughly </w:t>
      </w:r>
      <w:r>
        <w:rPr>
          <w:lang w:eastAsia="zh-CN"/>
        </w:rPr>
        <w:t xml:space="preserve">studied: </w:t>
      </w:r>
      <w:r w:rsidRPr="00557144">
        <w:rPr>
          <w:rFonts w:hint="eastAsia"/>
          <w:lang w:eastAsia="zh-CN"/>
        </w:rPr>
        <w:t>NB M2M, NB OFDMA and NB-</w:t>
      </w:r>
      <w:proofErr w:type="spellStart"/>
      <w:r w:rsidRPr="00557144">
        <w:rPr>
          <w:rFonts w:hint="eastAsia"/>
          <w:lang w:eastAsia="zh-CN"/>
        </w:rPr>
        <w:t>CIoT</w:t>
      </w:r>
      <w:proofErr w:type="spellEnd"/>
      <w:r>
        <w:rPr>
          <w:lang w:eastAsia="zh-CN"/>
        </w:rPr>
        <w:t>.</w:t>
      </w:r>
      <w:r w:rsidRPr="00557144"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 w:rsidRPr="00557144">
        <w:rPr>
          <w:rFonts w:hint="eastAsia"/>
          <w:lang w:eastAsia="zh-CN"/>
        </w:rPr>
        <w:t xml:space="preserve">he </w:t>
      </w:r>
      <w:r w:rsidRPr="00557144">
        <w:rPr>
          <w:lang w:eastAsia="zh-CN"/>
        </w:rPr>
        <w:t>proponents</w:t>
      </w:r>
      <w:r w:rsidRPr="00557144">
        <w:rPr>
          <w:rFonts w:hint="eastAsia"/>
          <w:lang w:eastAsia="zh-CN"/>
        </w:rPr>
        <w:t xml:space="preserve"> </w:t>
      </w:r>
      <w:r w:rsidR="005A7BBE">
        <w:rPr>
          <w:lang w:eastAsia="zh-CN"/>
        </w:rPr>
        <w:t>of</w:t>
      </w:r>
      <w:r w:rsidRPr="00557144">
        <w:rPr>
          <w:rFonts w:hint="eastAsia"/>
          <w:lang w:eastAsia="zh-CN"/>
        </w:rPr>
        <w:t xml:space="preserve"> NB M2M and NB OFDMA </w:t>
      </w:r>
      <w:r>
        <w:rPr>
          <w:lang w:eastAsia="zh-CN"/>
        </w:rPr>
        <w:t>converged</w:t>
      </w:r>
      <w:r w:rsidRPr="00557144">
        <w:rPr>
          <w:rFonts w:hint="eastAsia"/>
          <w:lang w:eastAsia="zh-CN"/>
        </w:rPr>
        <w:t xml:space="preserve"> </w:t>
      </w:r>
      <w:r w:rsidR="005A7BBE">
        <w:rPr>
          <w:lang w:eastAsia="zh-CN"/>
        </w:rPr>
        <w:t xml:space="preserve">into one </w:t>
      </w:r>
      <w:r w:rsidRPr="00557144">
        <w:rPr>
          <w:rFonts w:hint="eastAsia"/>
          <w:lang w:eastAsia="zh-CN"/>
        </w:rPr>
        <w:t xml:space="preserve">solution </w:t>
      </w:r>
      <w:r w:rsidR="00AB7A87">
        <w:rPr>
          <w:lang w:eastAsia="zh-CN"/>
        </w:rPr>
        <w:t xml:space="preserve">for Clean Slate called </w:t>
      </w:r>
      <w:r w:rsidRPr="00557144">
        <w:rPr>
          <w:rFonts w:hint="eastAsia"/>
          <w:lang w:eastAsia="zh-CN"/>
        </w:rPr>
        <w:t>NB-</w:t>
      </w:r>
      <w:proofErr w:type="spellStart"/>
      <w:r w:rsidRPr="00557144">
        <w:rPr>
          <w:rFonts w:hint="eastAsia"/>
          <w:lang w:eastAsia="zh-CN"/>
        </w:rPr>
        <w:t>CIoT</w:t>
      </w:r>
      <w:proofErr w:type="spellEnd"/>
      <w:r w:rsidRPr="00557144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AB7A87" w:rsidRDefault="00AB7A87" w:rsidP="00AB7A87">
      <w:pPr>
        <w:rPr>
          <w:lang w:eastAsia="zh-CN"/>
        </w:rPr>
      </w:pPr>
      <w:r>
        <w:rPr>
          <w:lang w:eastAsia="zh-CN"/>
        </w:rPr>
        <w:t>Document [3]</w:t>
      </w:r>
      <w:r w:rsidRPr="0055714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summarizes the </w:t>
      </w:r>
      <w:r>
        <w:rPr>
          <w:lang w:eastAsia="ja-JP"/>
        </w:rPr>
        <w:t>compliance to the objectives</w:t>
      </w:r>
      <w:r>
        <w:rPr>
          <w:lang w:eastAsia="zh-CN"/>
        </w:rPr>
        <w:t xml:space="preserve"> conclusion of the study item as follows:</w:t>
      </w:r>
    </w:p>
    <w:p w:rsidR="00AB7A87" w:rsidRDefault="00AB7A87" w:rsidP="00AB7A87">
      <w:pPr>
        <w:pStyle w:val="TH"/>
      </w:pPr>
    </w:p>
    <w:p w:rsidR="00AB7A87" w:rsidRPr="00442063" w:rsidRDefault="00AB7A87" w:rsidP="00AB7A87">
      <w:pPr>
        <w:pStyle w:val="TH"/>
      </w:pPr>
      <w:r>
        <w:t xml:space="preserve">Table 1: Summary of compliance with performance objectives </w:t>
      </w:r>
    </w:p>
    <w:tbl>
      <w:tblPr>
        <w:tblW w:w="5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2007"/>
        <w:gridCol w:w="1977"/>
        <w:gridCol w:w="1868"/>
      </w:tblGrid>
      <w:tr w:rsidR="00AB7A87" w:rsidRPr="0079202E" w:rsidTr="00DE1C84">
        <w:trPr>
          <w:cantSplit/>
          <w:trHeight w:val="207"/>
          <w:jc w:val="center"/>
        </w:trPr>
        <w:tc>
          <w:tcPr>
            <w:tcW w:w="2007" w:type="dxa"/>
            <w:vMerge w:val="restart"/>
            <w:shd w:val="clear" w:color="auto" w:fill="auto"/>
          </w:tcPr>
          <w:p w:rsidR="00AB7A87" w:rsidRPr="0079202E" w:rsidRDefault="00AB7A87" w:rsidP="00DE1C84">
            <w:pPr>
              <w:pStyle w:val="TAH"/>
            </w:pPr>
            <w:r>
              <w:t>Performance</w:t>
            </w:r>
          </w:p>
          <w:p w:rsidR="00AB7A87" w:rsidRPr="0079202E" w:rsidRDefault="00AB7A87" w:rsidP="00DE1C84">
            <w:pPr>
              <w:pStyle w:val="TAH"/>
            </w:pPr>
            <w:r>
              <w:t>Objective</w:t>
            </w:r>
          </w:p>
        </w:tc>
        <w:tc>
          <w:tcPr>
            <w:tcW w:w="3845" w:type="dxa"/>
            <w:gridSpan w:val="2"/>
          </w:tcPr>
          <w:p w:rsidR="00AB7A87" w:rsidRDefault="00AB7A87" w:rsidP="00DE1C84">
            <w:pPr>
              <w:pStyle w:val="TAH"/>
            </w:pPr>
            <w:r>
              <w:t>Completed techniques</w:t>
            </w:r>
          </w:p>
        </w:tc>
      </w:tr>
      <w:tr w:rsidR="00AB7A87" w:rsidRPr="0079202E" w:rsidTr="00DE1C84">
        <w:trPr>
          <w:cantSplit/>
          <w:jc w:val="center"/>
        </w:trPr>
        <w:tc>
          <w:tcPr>
            <w:tcW w:w="2007" w:type="dxa"/>
            <w:vMerge/>
            <w:shd w:val="clear" w:color="auto" w:fill="auto"/>
          </w:tcPr>
          <w:p w:rsidR="00AB7A87" w:rsidRPr="0079202E" w:rsidRDefault="00AB7A87" w:rsidP="00DE1C84">
            <w:pPr>
              <w:pStyle w:val="TAH"/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</w:tcPr>
          <w:p w:rsidR="00AB7A87" w:rsidRPr="0079202E" w:rsidRDefault="00AB7A87" w:rsidP="00DE1C84">
            <w:pPr>
              <w:pStyle w:val="TAH"/>
            </w:pPr>
            <w:r>
              <w:t>EC-GSM</w:t>
            </w:r>
          </w:p>
        </w:tc>
        <w:tc>
          <w:tcPr>
            <w:tcW w:w="1868" w:type="dxa"/>
          </w:tcPr>
          <w:p w:rsidR="00AB7A87" w:rsidRDefault="00AB7A87" w:rsidP="00DE1C84">
            <w:pPr>
              <w:pStyle w:val="TAH"/>
            </w:pPr>
            <w:r>
              <w:t>NB-</w:t>
            </w:r>
            <w:proofErr w:type="spellStart"/>
            <w:r>
              <w:t>CIoT</w:t>
            </w:r>
            <w:proofErr w:type="spellEnd"/>
          </w:p>
        </w:tc>
      </w:tr>
      <w:tr w:rsidR="00AB7A87" w:rsidRPr="0079202E" w:rsidTr="00DE1C84">
        <w:trPr>
          <w:cantSplit/>
          <w:jc w:val="center"/>
        </w:trPr>
        <w:tc>
          <w:tcPr>
            <w:tcW w:w="2007" w:type="dxa"/>
          </w:tcPr>
          <w:p w:rsidR="00AB7A87" w:rsidRPr="0079202E" w:rsidRDefault="00AB7A87" w:rsidP="00DE1C84">
            <w:pPr>
              <w:pStyle w:val="TAL"/>
            </w:pPr>
            <w:r>
              <w:t>Improved indoor coverage (see  4.1.1)</w:t>
            </w:r>
          </w:p>
        </w:tc>
        <w:tc>
          <w:tcPr>
            <w:tcW w:w="1977" w:type="dxa"/>
            <w:shd w:val="clear" w:color="auto" w:fill="FFFFFF"/>
            <w:vAlign w:val="center"/>
          </w:tcPr>
          <w:p w:rsidR="00AB7A87" w:rsidRPr="00FA1E1B" w:rsidRDefault="00AB7A87" w:rsidP="00DE1C84">
            <w:pPr>
              <w:pStyle w:val="TAL"/>
              <w:jc w:val="center"/>
              <w:rPr>
                <w:b/>
                <w:highlight w:val="yellow"/>
              </w:rPr>
            </w:pPr>
            <w:r w:rsidRPr="00785C49">
              <w:rPr>
                <w:b/>
              </w:rPr>
              <w:t>Compliant</w:t>
            </w:r>
          </w:p>
        </w:tc>
        <w:tc>
          <w:tcPr>
            <w:tcW w:w="1868" w:type="dxa"/>
            <w:shd w:val="clear" w:color="auto" w:fill="FFFFFF"/>
            <w:vAlign w:val="center"/>
          </w:tcPr>
          <w:p w:rsidR="00AB7A87" w:rsidRPr="00FA1E1B" w:rsidRDefault="00AB7A87" w:rsidP="00DE1C84">
            <w:pPr>
              <w:pStyle w:val="TAL"/>
              <w:jc w:val="center"/>
              <w:rPr>
                <w:b/>
                <w:highlight w:val="yellow"/>
              </w:rPr>
            </w:pPr>
            <w:r w:rsidRPr="00785C49">
              <w:rPr>
                <w:b/>
              </w:rPr>
              <w:t>Compliant</w:t>
            </w:r>
          </w:p>
        </w:tc>
      </w:tr>
      <w:tr w:rsidR="00AB7A87" w:rsidRPr="0079202E" w:rsidTr="00DE1C84">
        <w:trPr>
          <w:cantSplit/>
          <w:jc w:val="center"/>
        </w:trPr>
        <w:tc>
          <w:tcPr>
            <w:tcW w:w="2007" w:type="dxa"/>
          </w:tcPr>
          <w:p w:rsidR="00AB7A87" w:rsidRPr="0079202E" w:rsidRDefault="00AB7A87" w:rsidP="00DE1C84">
            <w:pPr>
              <w:pStyle w:val="TAL"/>
            </w:pPr>
            <w:r>
              <w:t>Support of massive number of low throughput devices (see  4.1.2)</w:t>
            </w:r>
          </w:p>
        </w:tc>
        <w:tc>
          <w:tcPr>
            <w:tcW w:w="1977" w:type="dxa"/>
            <w:shd w:val="clear" w:color="auto" w:fill="FFFFFF"/>
            <w:vAlign w:val="center"/>
          </w:tcPr>
          <w:p w:rsidR="00AB7A87" w:rsidRPr="00FA1E1B" w:rsidRDefault="00AB7A87" w:rsidP="00DE1C84">
            <w:pPr>
              <w:pStyle w:val="TAL"/>
              <w:jc w:val="center"/>
              <w:rPr>
                <w:b/>
                <w:highlight w:val="yellow"/>
              </w:rPr>
            </w:pPr>
            <w:r w:rsidRPr="00785C49">
              <w:rPr>
                <w:b/>
              </w:rPr>
              <w:t>Compliant</w:t>
            </w:r>
          </w:p>
        </w:tc>
        <w:tc>
          <w:tcPr>
            <w:tcW w:w="1868" w:type="dxa"/>
            <w:shd w:val="clear" w:color="auto" w:fill="FFFFFF"/>
            <w:vAlign w:val="center"/>
          </w:tcPr>
          <w:p w:rsidR="00AB7A87" w:rsidRPr="00FA1E1B" w:rsidRDefault="00AB7A87" w:rsidP="00DE1C84">
            <w:pPr>
              <w:pStyle w:val="TAL"/>
              <w:jc w:val="center"/>
              <w:rPr>
                <w:b/>
                <w:highlight w:val="yellow"/>
              </w:rPr>
            </w:pPr>
            <w:r w:rsidRPr="00785C49">
              <w:rPr>
                <w:b/>
              </w:rPr>
              <w:t>Compliant</w:t>
            </w:r>
          </w:p>
        </w:tc>
      </w:tr>
      <w:tr w:rsidR="00AB7A87" w:rsidRPr="0079202E" w:rsidTr="00DE1C84">
        <w:trPr>
          <w:cantSplit/>
          <w:jc w:val="center"/>
        </w:trPr>
        <w:tc>
          <w:tcPr>
            <w:tcW w:w="2007" w:type="dxa"/>
          </w:tcPr>
          <w:p w:rsidR="00AB7A87" w:rsidRPr="0079202E" w:rsidRDefault="00AB7A87" w:rsidP="00DE1C84">
            <w:pPr>
              <w:pStyle w:val="TAL"/>
            </w:pPr>
            <w:r>
              <w:t>Reduced device complexity (see  4.1.3)</w:t>
            </w:r>
          </w:p>
        </w:tc>
        <w:tc>
          <w:tcPr>
            <w:tcW w:w="1977" w:type="dxa"/>
            <w:shd w:val="clear" w:color="auto" w:fill="FFFFFF"/>
            <w:vAlign w:val="center"/>
          </w:tcPr>
          <w:p w:rsidR="00AB7A87" w:rsidRPr="00785C49" w:rsidRDefault="00AB7A87" w:rsidP="00DE1C84">
            <w:pPr>
              <w:pStyle w:val="TAL"/>
              <w:jc w:val="center"/>
              <w:rPr>
                <w:b/>
              </w:rPr>
            </w:pPr>
            <w:r w:rsidRPr="00785C49">
              <w:rPr>
                <w:b/>
              </w:rPr>
              <w:t>Compliant</w:t>
            </w:r>
          </w:p>
        </w:tc>
        <w:tc>
          <w:tcPr>
            <w:tcW w:w="1868" w:type="dxa"/>
            <w:shd w:val="clear" w:color="auto" w:fill="FFFFFF"/>
            <w:vAlign w:val="center"/>
          </w:tcPr>
          <w:p w:rsidR="00AB7A87" w:rsidRPr="00785C49" w:rsidRDefault="00AB7A87" w:rsidP="00DE1C84">
            <w:pPr>
              <w:pStyle w:val="TAL"/>
              <w:jc w:val="center"/>
              <w:rPr>
                <w:b/>
              </w:rPr>
            </w:pPr>
            <w:r w:rsidRPr="00785C49">
              <w:rPr>
                <w:b/>
              </w:rPr>
              <w:t>Compliant</w:t>
            </w:r>
          </w:p>
        </w:tc>
      </w:tr>
      <w:tr w:rsidR="00AB7A87" w:rsidRPr="0079202E" w:rsidTr="00DE1C84">
        <w:trPr>
          <w:cantSplit/>
          <w:jc w:val="center"/>
        </w:trPr>
        <w:tc>
          <w:tcPr>
            <w:tcW w:w="2007" w:type="dxa"/>
          </w:tcPr>
          <w:p w:rsidR="00AB7A87" w:rsidRPr="0079202E" w:rsidRDefault="00AB7A87" w:rsidP="00DE1C84">
            <w:pPr>
              <w:pStyle w:val="TAL"/>
            </w:pPr>
            <w:r>
              <w:t>Improved power efficiency (see  4.1.4)</w:t>
            </w:r>
          </w:p>
        </w:tc>
        <w:tc>
          <w:tcPr>
            <w:tcW w:w="1977" w:type="dxa"/>
            <w:shd w:val="clear" w:color="auto" w:fill="FFFFFF"/>
            <w:vAlign w:val="center"/>
          </w:tcPr>
          <w:p w:rsidR="00AB7A87" w:rsidRPr="00CC5FEF" w:rsidRDefault="00AB7A87" w:rsidP="00DE1C84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Compliant</w:t>
            </w:r>
          </w:p>
        </w:tc>
        <w:tc>
          <w:tcPr>
            <w:tcW w:w="1868" w:type="dxa"/>
            <w:shd w:val="clear" w:color="auto" w:fill="FFFFFF"/>
            <w:vAlign w:val="center"/>
          </w:tcPr>
          <w:p w:rsidR="00AB7A87" w:rsidRPr="00CC5FEF" w:rsidRDefault="00AB7A87" w:rsidP="00DE1C84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Compliant</w:t>
            </w:r>
          </w:p>
        </w:tc>
      </w:tr>
      <w:tr w:rsidR="00AB7A87" w:rsidRPr="0079202E" w:rsidTr="00DE1C84">
        <w:trPr>
          <w:cantSplit/>
          <w:jc w:val="center"/>
        </w:trPr>
        <w:tc>
          <w:tcPr>
            <w:tcW w:w="2007" w:type="dxa"/>
          </w:tcPr>
          <w:p w:rsidR="00AB7A87" w:rsidRPr="0079202E" w:rsidRDefault="00AB7A87" w:rsidP="00DE1C84">
            <w:pPr>
              <w:pStyle w:val="TAL"/>
            </w:pPr>
            <w:r>
              <w:t>Latency (see  4.1.</w:t>
            </w:r>
            <w:r w:rsidRPr="000D7969">
              <w:t>5</w:t>
            </w:r>
            <w:r>
              <w:t>)</w:t>
            </w:r>
          </w:p>
        </w:tc>
        <w:tc>
          <w:tcPr>
            <w:tcW w:w="1977" w:type="dxa"/>
            <w:shd w:val="clear" w:color="auto" w:fill="FFFFFF"/>
            <w:vAlign w:val="center"/>
          </w:tcPr>
          <w:p w:rsidR="00AB7A87" w:rsidRPr="00785C49" w:rsidRDefault="00AB7A87" w:rsidP="00DE1C84">
            <w:pPr>
              <w:pStyle w:val="TAL"/>
              <w:jc w:val="center"/>
              <w:rPr>
                <w:b/>
              </w:rPr>
            </w:pPr>
            <w:r w:rsidRPr="00785C49">
              <w:rPr>
                <w:b/>
              </w:rPr>
              <w:t>Compliant</w:t>
            </w:r>
          </w:p>
        </w:tc>
        <w:tc>
          <w:tcPr>
            <w:tcW w:w="1868" w:type="dxa"/>
            <w:shd w:val="clear" w:color="auto" w:fill="FFFFFF"/>
            <w:vAlign w:val="center"/>
          </w:tcPr>
          <w:p w:rsidR="00AB7A87" w:rsidRPr="00785C49" w:rsidRDefault="00AB7A87" w:rsidP="00DE1C84">
            <w:pPr>
              <w:pStyle w:val="TAL"/>
              <w:jc w:val="center"/>
              <w:rPr>
                <w:b/>
              </w:rPr>
            </w:pPr>
            <w:r w:rsidRPr="00785C49">
              <w:rPr>
                <w:b/>
              </w:rPr>
              <w:t>Compliant</w:t>
            </w:r>
          </w:p>
        </w:tc>
      </w:tr>
    </w:tbl>
    <w:p w:rsidR="00AB7A87" w:rsidRDefault="00AB7A87" w:rsidP="00AB7A87">
      <w:pPr>
        <w:pStyle w:val="TH"/>
      </w:pPr>
    </w:p>
    <w:p w:rsidR="00AB7A87" w:rsidRDefault="00AB7A87" w:rsidP="00AB7A87">
      <w:pPr>
        <w:rPr>
          <w:lang w:eastAsia="zh-CN"/>
        </w:rPr>
      </w:pPr>
      <w:r>
        <w:rPr>
          <w:lang w:eastAsia="zh-CN"/>
        </w:rPr>
        <w:t>And the compliance with the compatibility objectives as follows</w:t>
      </w:r>
    </w:p>
    <w:p w:rsidR="00AB7A87" w:rsidRPr="00442063" w:rsidRDefault="00AB7A87" w:rsidP="00AB7A87">
      <w:pPr>
        <w:pStyle w:val="TH"/>
      </w:pPr>
      <w:r>
        <w:lastRenderedPageBreak/>
        <w:t xml:space="preserve">Summary of compliance with compatibility objectives </w:t>
      </w:r>
    </w:p>
    <w:tbl>
      <w:tblPr>
        <w:tblW w:w="5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2035"/>
        <w:gridCol w:w="1859"/>
        <w:gridCol w:w="1859"/>
      </w:tblGrid>
      <w:tr w:rsidR="00AB7A87" w:rsidRPr="0079202E" w:rsidTr="00DE1C84">
        <w:trPr>
          <w:cantSplit/>
          <w:trHeight w:val="207"/>
          <w:jc w:val="center"/>
        </w:trPr>
        <w:tc>
          <w:tcPr>
            <w:tcW w:w="2035" w:type="dxa"/>
            <w:vMerge w:val="restart"/>
            <w:shd w:val="clear" w:color="auto" w:fill="auto"/>
          </w:tcPr>
          <w:p w:rsidR="00AB7A87" w:rsidRPr="0079202E" w:rsidRDefault="00AB7A87" w:rsidP="00DE1C84">
            <w:pPr>
              <w:pStyle w:val="TAH"/>
            </w:pPr>
            <w:r>
              <w:t>Compatibility</w:t>
            </w:r>
          </w:p>
          <w:p w:rsidR="00AB7A87" w:rsidRPr="0079202E" w:rsidRDefault="00AB7A87" w:rsidP="00DE1C84">
            <w:pPr>
              <w:pStyle w:val="TAH"/>
            </w:pPr>
            <w:r>
              <w:t>Objective</w:t>
            </w:r>
          </w:p>
        </w:tc>
        <w:tc>
          <w:tcPr>
            <w:tcW w:w="3718" w:type="dxa"/>
            <w:gridSpan w:val="2"/>
          </w:tcPr>
          <w:p w:rsidR="00AB7A87" w:rsidRDefault="00AB7A87" w:rsidP="00DE1C84">
            <w:pPr>
              <w:pStyle w:val="TAH"/>
            </w:pPr>
            <w:r>
              <w:t>Completed techniques</w:t>
            </w:r>
          </w:p>
        </w:tc>
      </w:tr>
      <w:tr w:rsidR="00AB7A87" w:rsidRPr="0079202E" w:rsidTr="00DE1C84">
        <w:trPr>
          <w:cantSplit/>
          <w:jc w:val="center"/>
        </w:trPr>
        <w:tc>
          <w:tcPr>
            <w:tcW w:w="2035" w:type="dxa"/>
            <w:vMerge/>
            <w:shd w:val="clear" w:color="auto" w:fill="auto"/>
          </w:tcPr>
          <w:p w:rsidR="00AB7A87" w:rsidRPr="0079202E" w:rsidRDefault="00AB7A87" w:rsidP="00DE1C84">
            <w:pPr>
              <w:pStyle w:val="TAH"/>
            </w:pPr>
          </w:p>
        </w:tc>
        <w:tc>
          <w:tcPr>
            <w:tcW w:w="1859" w:type="dxa"/>
          </w:tcPr>
          <w:p w:rsidR="00AB7A87" w:rsidRDefault="00AB7A87" w:rsidP="00DE1C84">
            <w:pPr>
              <w:pStyle w:val="TAH"/>
            </w:pPr>
            <w:r>
              <w:t>EC-GSM</w:t>
            </w:r>
          </w:p>
        </w:tc>
        <w:tc>
          <w:tcPr>
            <w:tcW w:w="1859" w:type="dxa"/>
          </w:tcPr>
          <w:p w:rsidR="00AB7A87" w:rsidRDefault="00AB7A87" w:rsidP="00DE1C84">
            <w:pPr>
              <w:pStyle w:val="TAH"/>
            </w:pPr>
            <w:r>
              <w:t>NB-</w:t>
            </w:r>
            <w:proofErr w:type="spellStart"/>
            <w:r>
              <w:t>CIoT</w:t>
            </w:r>
            <w:proofErr w:type="spellEnd"/>
          </w:p>
        </w:tc>
      </w:tr>
      <w:tr w:rsidR="00AB7A87" w:rsidRPr="0079202E" w:rsidTr="00DE1C84">
        <w:trPr>
          <w:cantSplit/>
          <w:jc w:val="center"/>
        </w:trPr>
        <w:tc>
          <w:tcPr>
            <w:tcW w:w="2035" w:type="dxa"/>
          </w:tcPr>
          <w:p w:rsidR="00AB7A87" w:rsidRPr="0079202E" w:rsidRDefault="00AB7A87" w:rsidP="00DE1C84">
            <w:pPr>
              <w:pStyle w:val="TAL"/>
            </w:pPr>
            <w:r>
              <w:t>Co-existence with GSM/UMTS/LTE (see  4.2.1)</w:t>
            </w:r>
          </w:p>
        </w:tc>
        <w:tc>
          <w:tcPr>
            <w:tcW w:w="1859" w:type="dxa"/>
            <w:shd w:val="clear" w:color="auto" w:fill="FFFFFF"/>
            <w:vAlign w:val="center"/>
          </w:tcPr>
          <w:p w:rsidR="00AB7A87" w:rsidRPr="0008057E" w:rsidRDefault="00AB7A87" w:rsidP="00DE1C84">
            <w:pPr>
              <w:pStyle w:val="TAL"/>
              <w:jc w:val="center"/>
              <w:rPr>
                <w:b/>
              </w:rPr>
            </w:pPr>
            <w:r w:rsidRPr="00785C49">
              <w:rPr>
                <w:b/>
              </w:rPr>
              <w:t>Compliant</w:t>
            </w:r>
          </w:p>
        </w:tc>
        <w:tc>
          <w:tcPr>
            <w:tcW w:w="1859" w:type="dxa"/>
            <w:shd w:val="clear" w:color="auto" w:fill="FFFFFF"/>
            <w:vAlign w:val="center"/>
          </w:tcPr>
          <w:p w:rsidR="00AB7A87" w:rsidRPr="0008057E" w:rsidRDefault="00AB7A87" w:rsidP="00DE1C84">
            <w:pPr>
              <w:pStyle w:val="TAL"/>
              <w:jc w:val="center"/>
              <w:rPr>
                <w:b/>
              </w:rPr>
            </w:pPr>
            <w:r w:rsidRPr="00785C49">
              <w:rPr>
                <w:b/>
              </w:rPr>
              <w:t>Compliant</w:t>
            </w:r>
          </w:p>
        </w:tc>
      </w:tr>
      <w:tr w:rsidR="00AB7A87" w:rsidRPr="0079202E" w:rsidTr="00DE1C84">
        <w:trPr>
          <w:cantSplit/>
          <w:trHeight w:val="753"/>
          <w:jc w:val="center"/>
        </w:trPr>
        <w:tc>
          <w:tcPr>
            <w:tcW w:w="2035" w:type="dxa"/>
          </w:tcPr>
          <w:p w:rsidR="00AB7A87" w:rsidRPr="0079202E" w:rsidRDefault="00AB7A87" w:rsidP="00DE1C84">
            <w:pPr>
              <w:pStyle w:val="TAL"/>
            </w:pPr>
            <w:r>
              <w:t>Impact on GSM/EDGE BTS hardware (see  4.2.2)</w:t>
            </w:r>
          </w:p>
        </w:tc>
        <w:tc>
          <w:tcPr>
            <w:tcW w:w="1859" w:type="dxa"/>
            <w:shd w:val="clear" w:color="auto" w:fill="FFFFFF"/>
            <w:vAlign w:val="center"/>
          </w:tcPr>
          <w:p w:rsidR="00AB7A87" w:rsidRPr="0008057E" w:rsidRDefault="00AB7A87" w:rsidP="00DE1C84">
            <w:pPr>
              <w:pStyle w:val="TAL"/>
              <w:jc w:val="center"/>
              <w:rPr>
                <w:b/>
              </w:rPr>
            </w:pPr>
            <w:r w:rsidRPr="00785C49">
              <w:rPr>
                <w:b/>
              </w:rPr>
              <w:t>Compliant</w:t>
            </w:r>
          </w:p>
        </w:tc>
        <w:tc>
          <w:tcPr>
            <w:tcW w:w="1859" w:type="dxa"/>
            <w:shd w:val="clear" w:color="auto" w:fill="FFFFFF"/>
            <w:vAlign w:val="center"/>
          </w:tcPr>
          <w:p w:rsidR="00AB7A87" w:rsidRPr="0008057E" w:rsidRDefault="00AB7A87" w:rsidP="00DE1C84">
            <w:pPr>
              <w:pStyle w:val="TAL"/>
              <w:jc w:val="center"/>
              <w:rPr>
                <w:b/>
              </w:rPr>
            </w:pPr>
            <w:r w:rsidRPr="00785C49">
              <w:rPr>
                <w:b/>
              </w:rPr>
              <w:t>Compliant</w:t>
            </w:r>
          </w:p>
        </w:tc>
      </w:tr>
    </w:tbl>
    <w:p w:rsidR="005A7BBE" w:rsidRDefault="005A7BBE" w:rsidP="00B46582">
      <w:pPr>
        <w:rPr>
          <w:lang w:eastAsia="zh-CN"/>
        </w:rPr>
      </w:pPr>
    </w:p>
    <w:p w:rsidR="00AB7A87" w:rsidRDefault="00AB7A87" w:rsidP="00AB7A87">
      <w:pPr>
        <w:spacing w:after="180"/>
        <w:rPr>
          <w:rFonts w:eastAsia="MS Mincho"/>
          <w:lang w:val="en-GB" w:eastAsia="ja-JP"/>
        </w:rPr>
      </w:pPr>
      <w:r>
        <w:rPr>
          <w:sz w:val="20"/>
          <w:szCs w:val="20"/>
          <w:lang w:val="en-GB"/>
        </w:rPr>
        <w:t>The</w:t>
      </w:r>
      <w:r w:rsidRPr="00C01A43">
        <w:rPr>
          <w:sz w:val="20"/>
          <w:szCs w:val="20"/>
          <w:lang w:val="en-GB"/>
        </w:rPr>
        <w:t xml:space="preserve"> PCG</w:t>
      </w:r>
      <w:r>
        <w:rPr>
          <w:sz w:val="20"/>
          <w:szCs w:val="20"/>
          <w:lang w:val="en-GB"/>
        </w:rPr>
        <w:t>#34 April 2015</w:t>
      </w:r>
      <w:r w:rsidRPr="00C01A43">
        <w:rPr>
          <w:sz w:val="20"/>
          <w:szCs w:val="20"/>
          <w:lang w:val="en-GB"/>
        </w:rPr>
        <w:t xml:space="preserve"> </w:t>
      </w:r>
      <w:r w:rsidRPr="00C01A43">
        <w:rPr>
          <w:rFonts w:eastAsia="MS Mincho"/>
          <w:lang w:val="en-GB" w:eastAsia="ja-JP"/>
        </w:rPr>
        <w:t xml:space="preserve">approved document </w:t>
      </w:r>
      <w:hyperlink r:id="rId5" w:history="1">
        <w:r w:rsidRPr="00C01A43">
          <w:rPr>
            <w:rStyle w:val="Hyperlink"/>
            <w:rFonts w:eastAsia="MS Mincho"/>
            <w:lang w:val="en-GB" w:eastAsia="ja-JP"/>
          </w:rPr>
          <w:t>PCG34_39r2</w:t>
        </w:r>
      </w:hyperlink>
      <w:r w:rsidRPr="00C01A43">
        <w:rPr>
          <w:rFonts w:eastAsia="MS Mincho"/>
          <w:lang w:val="en-GB" w:eastAsia="ja-JP"/>
        </w:rPr>
        <w:t xml:space="preserve"> on the </w:t>
      </w:r>
      <w:r w:rsidRPr="005A7BBE">
        <w:rPr>
          <w:lang w:val="en-GB" w:eastAsia="zh-CN"/>
        </w:rPr>
        <w:t xml:space="preserve">way forward on </w:t>
      </w:r>
      <w:r>
        <w:rPr>
          <w:lang w:val="en-GB" w:eastAsia="zh-CN"/>
        </w:rPr>
        <w:t xml:space="preserve">handling </w:t>
      </w:r>
      <w:r w:rsidRPr="005A7BBE">
        <w:rPr>
          <w:lang w:val="en-GB" w:eastAsia="zh-CN"/>
        </w:rPr>
        <w:t xml:space="preserve">the GERAN Cellular </w:t>
      </w:r>
      <w:proofErr w:type="spellStart"/>
      <w:r w:rsidRPr="005A7BBE">
        <w:rPr>
          <w:lang w:val="en-GB" w:eastAsia="zh-CN"/>
        </w:rPr>
        <w:t>IoT</w:t>
      </w:r>
      <w:proofErr w:type="spellEnd"/>
      <w:r w:rsidRPr="005A7BBE">
        <w:rPr>
          <w:lang w:val="en-GB" w:eastAsia="zh-CN"/>
        </w:rPr>
        <w:t xml:space="preserve"> activities</w:t>
      </w:r>
      <w:r w:rsidRPr="00C01A43">
        <w:rPr>
          <w:rFonts w:eastAsia="MS Mincho"/>
          <w:lang w:val="en-GB" w:eastAsia="ja-JP"/>
        </w:rPr>
        <w:t xml:space="preserve"> </w:t>
      </w:r>
      <w:r>
        <w:rPr>
          <w:rFonts w:eastAsia="MS Mincho"/>
          <w:lang w:val="en-GB" w:eastAsia="ja-JP"/>
        </w:rPr>
        <w:t xml:space="preserve">for both the Clean Slate track and the GSM Evolution track. The PCG decided that </w:t>
      </w:r>
    </w:p>
    <w:p w:rsidR="00AB7A87" w:rsidRDefault="00AB7A87" w:rsidP="00AB7A87">
      <w:pPr>
        <w:pStyle w:val="ListParagraph"/>
        <w:numPr>
          <w:ilvl w:val="0"/>
          <w:numId w:val="9"/>
        </w:numPr>
        <w:spacing w:after="180"/>
      </w:pPr>
      <w:r>
        <w:t>For the Clean Slate Track</w:t>
      </w:r>
    </w:p>
    <w:p w:rsidR="00045FAF" w:rsidRPr="00AB7A87" w:rsidRDefault="009739CE" w:rsidP="00AB7A87">
      <w:pPr>
        <w:pStyle w:val="ListParagraph"/>
        <w:numPr>
          <w:ilvl w:val="1"/>
          <w:numId w:val="9"/>
        </w:numPr>
        <w:spacing w:after="180"/>
      </w:pPr>
      <w:r w:rsidRPr="00AB7A87">
        <w:t xml:space="preserve">At TSG RAN#68, GERAN will present the latest status of the </w:t>
      </w:r>
      <w:r w:rsidR="00AB7A87">
        <w:t>Clean Slate track of activities (</w:t>
      </w:r>
      <w:r w:rsidR="00AB7A87" w:rsidRPr="00AB7A87">
        <w:rPr>
          <w:color w:val="FF0000"/>
        </w:rPr>
        <w:t>done</w:t>
      </w:r>
      <w:r w:rsidR="00AB7A87">
        <w:t>)</w:t>
      </w:r>
    </w:p>
    <w:p w:rsidR="00045FAF" w:rsidRPr="00AB7A87" w:rsidRDefault="009739CE" w:rsidP="00AB7A87">
      <w:pPr>
        <w:pStyle w:val="ListParagraph"/>
        <w:numPr>
          <w:ilvl w:val="1"/>
          <w:numId w:val="9"/>
        </w:numPr>
        <w:spacing w:after="180"/>
      </w:pPr>
      <w:r w:rsidRPr="00AB7A87">
        <w:t xml:space="preserve">TSG GERAN#67 aims to conclude the </w:t>
      </w:r>
      <w:proofErr w:type="spellStart"/>
      <w:r w:rsidRPr="00AB7A87">
        <w:t>FS_IoT_LC</w:t>
      </w:r>
      <w:proofErr w:type="spellEnd"/>
      <w:r w:rsidRPr="00AB7A87">
        <w:t xml:space="preserve"> SI as planned in August, 2015, with conclusions/recommendations for the Clean Slate candidate proposals</w:t>
      </w:r>
      <w:r w:rsidR="00AB7A87">
        <w:t xml:space="preserve"> (</w:t>
      </w:r>
      <w:r w:rsidR="00AB7A87" w:rsidRPr="00AB7A87">
        <w:rPr>
          <w:color w:val="FF0000"/>
        </w:rPr>
        <w:t>done see [3]</w:t>
      </w:r>
      <w:r w:rsidR="00AB7A87">
        <w:t>)</w:t>
      </w:r>
      <w:r w:rsidRPr="00AB7A87">
        <w:t>.</w:t>
      </w:r>
    </w:p>
    <w:p w:rsidR="00045FAF" w:rsidRPr="00AB7A87" w:rsidRDefault="009739CE" w:rsidP="00AB7A87">
      <w:pPr>
        <w:pStyle w:val="ListParagraph"/>
        <w:numPr>
          <w:ilvl w:val="1"/>
          <w:numId w:val="9"/>
        </w:numPr>
        <w:spacing w:after="180"/>
      </w:pPr>
      <w:r w:rsidRPr="00AB7A87">
        <w:t>At TSG RAN#69</w:t>
      </w:r>
    </w:p>
    <w:p w:rsidR="00045FAF" w:rsidRPr="00AB7A87" w:rsidRDefault="009739CE" w:rsidP="00AB7A87">
      <w:pPr>
        <w:pStyle w:val="ListParagraph"/>
        <w:numPr>
          <w:ilvl w:val="2"/>
          <w:numId w:val="9"/>
        </w:numPr>
        <w:spacing w:after="180"/>
      </w:pPr>
      <w:r w:rsidRPr="00AB7A87">
        <w:t xml:space="preserve">TSG GERAN is invited to present the conclusion of the Clean Slate track of activities. </w:t>
      </w:r>
    </w:p>
    <w:p w:rsidR="00045FAF" w:rsidRPr="00AB7A87" w:rsidRDefault="009739CE" w:rsidP="00AB7A87">
      <w:pPr>
        <w:pStyle w:val="ListParagraph"/>
        <w:numPr>
          <w:ilvl w:val="2"/>
          <w:numId w:val="9"/>
        </w:numPr>
        <w:spacing w:after="180"/>
      </w:pPr>
      <w:r w:rsidRPr="00AB7A87">
        <w:t xml:space="preserve">One Clean Slate WI can be proposed for approval (this overrides the previous guidance from RAN that no new items will be approved in RAN#69 except for existing SIs moved to WIs and spectrum related items). </w:t>
      </w:r>
    </w:p>
    <w:p w:rsidR="00045FAF" w:rsidRPr="00AB7A87" w:rsidRDefault="009739CE" w:rsidP="00AB7A87">
      <w:pPr>
        <w:pStyle w:val="ListParagraph"/>
        <w:numPr>
          <w:ilvl w:val="2"/>
          <w:numId w:val="9"/>
        </w:numPr>
        <w:spacing w:after="180"/>
      </w:pPr>
      <w:r w:rsidRPr="00AB7A87">
        <w:t>Such a WI proposal will not be subject to the regular RAN prioritization, it will be done in parallel to the existing RAN WG work/capacity (no TU’s discussion; no schedule constraints due to the existing work).</w:t>
      </w:r>
    </w:p>
    <w:p w:rsidR="00045FAF" w:rsidRPr="00AB7A87" w:rsidRDefault="009739CE" w:rsidP="00AB7A87">
      <w:pPr>
        <w:pStyle w:val="ListParagraph"/>
        <w:numPr>
          <w:ilvl w:val="2"/>
          <w:numId w:val="9"/>
        </w:numPr>
        <w:spacing w:after="180"/>
      </w:pPr>
      <w:r w:rsidRPr="00AB7A87">
        <w:t>TSG RAN should strive to complete the work (if necessary adding AH meetings to keep the work schedule) within R13 as per prior understanding.</w:t>
      </w:r>
    </w:p>
    <w:p w:rsidR="00045FAF" w:rsidRPr="00AB7A87" w:rsidRDefault="009739CE" w:rsidP="00AB7A87">
      <w:pPr>
        <w:pStyle w:val="ListParagraph"/>
        <w:numPr>
          <w:ilvl w:val="2"/>
          <w:numId w:val="9"/>
        </w:numPr>
        <w:spacing w:after="180"/>
      </w:pPr>
      <w:r w:rsidRPr="00AB7A87">
        <w:t xml:space="preserve">GERAN </w:t>
      </w:r>
      <w:proofErr w:type="spellStart"/>
      <w:r w:rsidRPr="00AB7A87">
        <w:t>ToR</w:t>
      </w:r>
      <w:proofErr w:type="spellEnd"/>
      <w:r w:rsidRPr="00AB7A87">
        <w:t xml:space="preserve"> needs no modification.</w:t>
      </w:r>
    </w:p>
    <w:p w:rsidR="00AB7A87" w:rsidRDefault="00AB7A87" w:rsidP="00AB7A87">
      <w:pPr>
        <w:pStyle w:val="ListParagraph"/>
        <w:numPr>
          <w:ilvl w:val="0"/>
          <w:numId w:val="9"/>
        </w:numPr>
        <w:spacing w:after="180"/>
      </w:pPr>
      <w:r>
        <w:t>For the GSM Evolution Track</w:t>
      </w:r>
    </w:p>
    <w:p w:rsidR="00045FAF" w:rsidRPr="00AB7A87" w:rsidRDefault="009739CE" w:rsidP="00AB7A87">
      <w:pPr>
        <w:pStyle w:val="ListParagraph"/>
        <w:numPr>
          <w:ilvl w:val="1"/>
          <w:numId w:val="9"/>
        </w:numPr>
        <w:spacing w:after="180"/>
      </w:pPr>
      <w:r w:rsidRPr="00AB7A87">
        <w:t>GERAN may approve a GERAN Evolution candidate proposal for normative work</w:t>
      </w:r>
      <w:r w:rsidRPr="00AB7A87">
        <w:rPr>
          <w:i/>
          <w:iCs/>
        </w:rPr>
        <w:t xml:space="preserve">. </w:t>
      </w:r>
      <w:r w:rsidRPr="00AB7A87">
        <w:t>GERAN w</w:t>
      </w:r>
      <w:r w:rsidR="00AB7A87">
        <w:t>ill have ownership of this work (</w:t>
      </w:r>
      <w:r w:rsidR="00AB7A87" w:rsidRPr="00AB7A87">
        <w:rPr>
          <w:color w:val="FF0000"/>
        </w:rPr>
        <w:t>done GERAN</w:t>
      </w:r>
      <w:r w:rsidR="00AB7A87">
        <w:rPr>
          <w:color w:val="FF0000"/>
        </w:rPr>
        <w:t>#67</w:t>
      </w:r>
      <w:r w:rsidR="00AB7A87" w:rsidRPr="00AB7A87">
        <w:rPr>
          <w:color w:val="FF0000"/>
        </w:rPr>
        <w:t xml:space="preserve"> approved a work item on EC-GSM evolution</w:t>
      </w:r>
      <w:r w:rsidR="00AB7A87">
        <w:t>)</w:t>
      </w:r>
    </w:p>
    <w:p w:rsidR="00AB7A87" w:rsidRDefault="00AB7A87" w:rsidP="00B46582">
      <w:pPr>
        <w:rPr>
          <w:lang w:eastAsia="zh-CN"/>
        </w:rPr>
      </w:pPr>
    </w:p>
    <w:p w:rsidR="009739CE" w:rsidRDefault="0077057F" w:rsidP="00B46582">
      <w:pPr>
        <w:rPr>
          <w:lang w:eastAsia="zh-CN"/>
        </w:rPr>
      </w:pPr>
      <w:r>
        <w:rPr>
          <w:lang w:eastAsia="zh-CN"/>
        </w:rPr>
        <w:t>As described in [3], t</w:t>
      </w:r>
      <w:r w:rsidR="00AB7A87">
        <w:rPr>
          <w:lang w:eastAsia="zh-CN"/>
        </w:rPr>
        <w:t xml:space="preserve">here were other proposals </w:t>
      </w:r>
      <w:r>
        <w:rPr>
          <w:lang w:eastAsia="zh-CN"/>
        </w:rPr>
        <w:t xml:space="preserve">submitted during the study phase such as </w:t>
      </w:r>
      <w:r>
        <w:rPr>
          <w:color w:val="000000"/>
        </w:rPr>
        <w:t>N-GSM, C-UNB</w:t>
      </w:r>
      <w:r>
        <w:rPr>
          <w:lang w:eastAsia="zh-CN"/>
        </w:rPr>
        <w:t xml:space="preserve"> but they were not completed or fully evaluated by the proponents. These proposals do not meet the objectives of the study item. In addition, in last GERAN meeting#67 a </w:t>
      </w:r>
      <w:r w:rsidR="00E468DE">
        <w:rPr>
          <w:lang w:eastAsia="zh-CN"/>
        </w:rPr>
        <w:t xml:space="preserve">third-track </w:t>
      </w:r>
      <w:r>
        <w:rPr>
          <w:lang w:eastAsia="zh-CN"/>
        </w:rPr>
        <w:t xml:space="preserve">proposal based on LTE Evolution called NB-LTE was submitted but it was very late in the submission process and </w:t>
      </w:r>
      <w:r w:rsidR="009739CE">
        <w:rPr>
          <w:lang w:eastAsia="zh-CN"/>
        </w:rPr>
        <w:t>could</w:t>
      </w:r>
      <w:r>
        <w:rPr>
          <w:lang w:eastAsia="zh-CN"/>
        </w:rPr>
        <w:t xml:space="preserve"> not </w:t>
      </w:r>
      <w:r w:rsidR="009739CE">
        <w:rPr>
          <w:lang w:eastAsia="zh-CN"/>
        </w:rPr>
        <w:t xml:space="preserve">be </w:t>
      </w:r>
      <w:r>
        <w:rPr>
          <w:lang w:eastAsia="zh-CN"/>
        </w:rPr>
        <w:t>fully evaluated</w:t>
      </w:r>
      <w:r w:rsidR="004E58A0">
        <w:rPr>
          <w:lang w:eastAsia="zh-CN"/>
        </w:rPr>
        <w:t>,</w:t>
      </w:r>
      <w:r>
        <w:rPr>
          <w:lang w:eastAsia="zh-CN"/>
        </w:rPr>
        <w:t xml:space="preserve"> nor was </w:t>
      </w:r>
      <w:r w:rsidR="004E58A0">
        <w:rPr>
          <w:lang w:eastAsia="zh-CN"/>
        </w:rPr>
        <w:t xml:space="preserve">it </w:t>
      </w:r>
      <w:r>
        <w:rPr>
          <w:lang w:eastAsia="zh-CN"/>
        </w:rPr>
        <w:t xml:space="preserve">clear how it </w:t>
      </w:r>
      <w:r w:rsidR="004E58A0">
        <w:rPr>
          <w:lang w:eastAsia="zh-CN"/>
        </w:rPr>
        <w:t>could</w:t>
      </w:r>
      <w:r>
        <w:rPr>
          <w:lang w:eastAsia="zh-CN"/>
        </w:rPr>
        <w:t xml:space="preserve"> meet the study phase objectives.</w:t>
      </w:r>
    </w:p>
    <w:p w:rsidR="004E58A0" w:rsidRDefault="004E58A0" w:rsidP="00B46582">
      <w:pPr>
        <w:rPr>
          <w:lang w:eastAsia="zh-CN"/>
        </w:rPr>
      </w:pPr>
    </w:p>
    <w:p w:rsidR="009739CE" w:rsidRDefault="00171DB7" w:rsidP="00B46582">
      <w:pPr>
        <w:rPr>
          <w:lang w:eastAsia="zh-CN"/>
        </w:rPr>
      </w:pPr>
      <w:r>
        <w:rPr>
          <w:lang w:eastAsia="zh-CN"/>
        </w:rPr>
        <w:t>The only Clean Slate candidate proposal for the Clean Slate Track to be complete and compliant with the objectives is NB-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>. Therefore, b</w:t>
      </w:r>
      <w:r w:rsidR="009739CE">
        <w:rPr>
          <w:lang w:eastAsia="zh-CN"/>
        </w:rPr>
        <w:t xml:space="preserve">ased on the PCG directive to have one Clean Slate WI proposed for approval to RAN#69 </w:t>
      </w:r>
      <w:r w:rsidR="00E468DE">
        <w:rPr>
          <w:lang w:eastAsia="zh-CN"/>
        </w:rPr>
        <w:t xml:space="preserve">for the Clean Slate Track, </w:t>
      </w:r>
      <w:r w:rsidR="009739CE">
        <w:rPr>
          <w:lang w:eastAsia="zh-CN"/>
        </w:rPr>
        <w:t xml:space="preserve">the </w:t>
      </w:r>
      <w:r>
        <w:rPr>
          <w:lang w:eastAsia="zh-CN"/>
        </w:rPr>
        <w:t>proposal will be NB-</w:t>
      </w:r>
      <w:proofErr w:type="spellStart"/>
      <w:r>
        <w:rPr>
          <w:lang w:eastAsia="zh-CN"/>
        </w:rPr>
        <w:t>CIoT</w:t>
      </w:r>
      <w:proofErr w:type="spellEnd"/>
      <w:r w:rsidR="009739CE">
        <w:rPr>
          <w:lang w:eastAsia="zh-CN"/>
        </w:rPr>
        <w:t>.</w:t>
      </w:r>
    </w:p>
    <w:p w:rsidR="005A7BBE" w:rsidRDefault="005A7BBE" w:rsidP="005A7BBE">
      <w:pPr>
        <w:pStyle w:val="TH"/>
      </w:pPr>
    </w:p>
    <w:p w:rsidR="00B46582" w:rsidRPr="00723CD4" w:rsidRDefault="009739CE" w:rsidP="009739CE">
      <w:pPr>
        <w:pStyle w:val="Heading1"/>
        <w:keepLines w:val="0"/>
        <w:widowControl/>
        <w:pBdr>
          <w:top w:val="none" w:sz="0" w:space="0" w:color="auto"/>
        </w:pBdr>
        <w:tabs>
          <w:tab w:val="clear" w:pos="432"/>
        </w:tabs>
        <w:spacing w:before="120" w:after="120"/>
        <w:rPr>
          <w:rFonts w:ascii="Times New Roman" w:hAnsi="Times New Roman"/>
          <w:b/>
          <w:sz w:val="28"/>
          <w:szCs w:val="28"/>
        </w:rPr>
      </w:pPr>
      <w:r w:rsidRPr="00723CD4">
        <w:rPr>
          <w:rFonts w:ascii="Times New Roman" w:hAnsi="Times New Roman"/>
          <w:b/>
          <w:sz w:val="28"/>
          <w:szCs w:val="28"/>
        </w:rPr>
        <w:t>Conclusion</w:t>
      </w:r>
    </w:p>
    <w:p w:rsidR="009739CE" w:rsidRDefault="009739CE" w:rsidP="009739CE">
      <w:pPr>
        <w:rPr>
          <w:lang w:eastAsia="zh-CN"/>
        </w:rPr>
      </w:pPr>
      <w:r>
        <w:t>In this paper we explained the outcome of GERAN#67 study item on</w:t>
      </w:r>
      <w:r w:rsidRPr="00557144">
        <w:rPr>
          <w:rFonts w:hint="eastAsia"/>
          <w:lang w:eastAsia="zh-CN"/>
        </w:rPr>
        <w:t xml:space="preserve"> </w:t>
      </w:r>
      <w:r w:rsidRPr="00D91CD3">
        <w:t>Ultra Low Complexity and Low Throughput Internet of Things</w:t>
      </w:r>
      <w:r>
        <w:t xml:space="preserve"> and the relevant PCG decision that was taken at PCG#34. </w:t>
      </w:r>
      <w:r w:rsidR="00171DB7">
        <w:rPr>
          <w:lang w:eastAsia="zh-CN"/>
        </w:rPr>
        <w:t>The only Clean Slate candidate proposal for the Clean Slate Track to be complete and compliant with the objectives is NB-</w:t>
      </w:r>
      <w:proofErr w:type="spellStart"/>
      <w:r w:rsidR="00171DB7">
        <w:rPr>
          <w:lang w:eastAsia="zh-CN"/>
        </w:rPr>
        <w:t>CIoT</w:t>
      </w:r>
      <w:proofErr w:type="spellEnd"/>
      <w:r w:rsidR="00171DB7">
        <w:rPr>
          <w:lang w:eastAsia="zh-CN"/>
        </w:rPr>
        <w:t>. Therefore, based on the PCG directive to have one Clean Slate WI proposed for approval to RAN#69 for the Clean Slate Track, the proposal will be NB-</w:t>
      </w:r>
      <w:proofErr w:type="spellStart"/>
      <w:r w:rsidR="00171DB7">
        <w:rPr>
          <w:lang w:eastAsia="zh-CN"/>
        </w:rPr>
        <w:t>CIoT</w:t>
      </w:r>
      <w:proofErr w:type="spellEnd"/>
      <w:r>
        <w:rPr>
          <w:lang w:eastAsia="zh-CN"/>
        </w:rPr>
        <w:t>.</w:t>
      </w:r>
    </w:p>
    <w:p w:rsidR="009739CE" w:rsidRDefault="009739CE" w:rsidP="00B46582"/>
    <w:p w:rsidR="00B46582" w:rsidRPr="00723CD4" w:rsidRDefault="00B46582" w:rsidP="009739CE">
      <w:pPr>
        <w:pStyle w:val="Heading1"/>
        <w:keepLines w:val="0"/>
        <w:widowControl/>
        <w:pBdr>
          <w:top w:val="none" w:sz="0" w:space="0" w:color="auto"/>
        </w:pBdr>
        <w:tabs>
          <w:tab w:val="clear" w:pos="432"/>
        </w:tabs>
        <w:spacing w:before="120" w:after="120"/>
        <w:rPr>
          <w:rFonts w:ascii="Times New Roman" w:hAnsi="Times New Roman"/>
          <w:b/>
          <w:sz w:val="28"/>
          <w:szCs w:val="28"/>
        </w:rPr>
      </w:pPr>
      <w:r w:rsidRPr="00723CD4">
        <w:rPr>
          <w:rFonts w:ascii="Times New Roman" w:hAnsi="Times New Roman"/>
          <w:b/>
          <w:sz w:val="28"/>
          <w:szCs w:val="28"/>
        </w:rPr>
        <w:t>References</w:t>
      </w:r>
    </w:p>
    <w:p w:rsidR="00B46582" w:rsidRDefault="00B46582" w:rsidP="00B46582">
      <w:pPr>
        <w:pStyle w:val="Reference"/>
        <w:numPr>
          <w:ilvl w:val="1"/>
          <w:numId w:val="5"/>
        </w:numPr>
        <w:spacing w:before="156" w:after="156"/>
        <w:rPr>
          <w:rFonts w:ascii="Times New Roman" w:hAnsi="Times New Roman"/>
          <w:sz w:val="22"/>
          <w:szCs w:val="22"/>
          <w:lang w:val="en-GB" w:eastAsia="zh-CN"/>
        </w:rPr>
      </w:pPr>
      <w:bookmarkStart w:id="2" w:name="_Ref409096150"/>
      <w:r w:rsidRPr="00E11547">
        <w:rPr>
          <w:rFonts w:ascii="Times New Roman" w:hAnsi="Times New Roman"/>
          <w:sz w:val="22"/>
          <w:szCs w:val="22"/>
          <w:lang w:val="en-GB" w:eastAsia="zh-CN"/>
        </w:rPr>
        <w:t>GP-140421, “New Study Item on Cellular System Support for Ultra Low Complexity and Low Throughput Internet of Things (</w:t>
      </w:r>
      <w:proofErr w:type="spellStart"/>
      <w:r w:rsidRPr="00E11547">
        <w:rPr>
          <w:rFonts w:ascii="Times New Roman" w:hAnsi="Times New Roman"/>
          <w:sz w:val="22"/>
          <w:szCs w:val="22"/>
          <w:lang w:val="en-GB" w:eastAsia="zh-CN"/>
        </w:rPr>
        <w:t>FS_IoT_LC</w:t>
      </w:r>
      <w:proofErr w:type="spellEnd"/>
      <w:r w:rsidRPr="00E11547">
        <w:rPr>
          <w:rFonts w:ascii="Times New Roman" w:hAnsi="Times New Roman"/>
          <w:sz w:val="22"/>
          <w:szCs w:val="22"/>
          <w:lang w:val="en-GB" w:eastAsia="zh-CN"/>
        </w:rPr>
        <w:t>) (revision of GP-140418)”, VODAFONE Group Plc., GERAN#62.</w:t>
      </w:r>
      <w:bookmarkEnd w:id="2"/>
    </w:p>
    <w:p w:rsidR="00B46582" w:rsidRDefault="00B46582" w:rsidP="00B46582">
      <w:pPr>
        <w:pStyle w:val="Reference"/>
        <w:numPr>
          <w:ilvl w:val="1"/>
          <w:numId w:val="5"/>
        </w:numPr>
        <w:spacing w:before="156" w:after="156"/>
        <w:rPr>
          <w:rFonts w:ascii="Times New Roman" w:hAnsi="Times New Roman"/>
          <w:sz w:val="22"/>
          <w:szCs w:val="22"/>
          <w:lang w:val="en-GB" w:eastAsia="zh-CN"/>
        </w:rPr>
      </w:pPr>
      <w:r>
        <w:rPr>
          <w:rFonts w:ascii="Times New Roman" w:hAnsi="Times New Roman"/>
          <w:sz w:val="22"/>
          <w:szCs w:val="22"/>
          <w:lang w:val="en-GB" w:eastAsia="zh-CN"/>
        </w:rPr>
        <w:t>PCG</w:t>
      </w:r>
      <w:r w:rsidR="005A7BBE">
        <w:rPr>
          <w:rFonts w:ascii="Times New Roman" w:hAnsi="Times New Roman"/>
          <w:sz w:val="22"/>
          <w:szCs w:val="22"/>
          <w:lang w:val="en-GB" w:eastAsia="zh-CN"/>
        </w:rPr>
        <w:t>#34_39r2,  “</w:t>
      </w:r>
      <w:r w:rsidR="005A7BBE" w:rsidRPr="005A7BBE">
        <w:rPr>
          <w:rFonts w:ascii="Times New Roman" w:hAnsi="Times New Roman"/>
          <w:sz w:val="22"/>
          <w:szCs w:val="22"/>
          <w:lang w:val="en-GB" w:eastAsia="zh-CN"/>
        </w:rPr>
        <w:t xml:space="preserve">Proposed way forward on the GERAN Cellular </w:t>
      </w:r>
      <w:proofErr w:type="spellStart"/>
      <w:r w:rsidR="005A7BBE" w:rsidRPr="005A7BBE">
        <w:rPr>
          <w:rFonts w:ascii="Times New Roman" w:hAnsi="Times New Roman"/>
          <w:sz w:val="22"/>
          <w:szCs w:val="22"/>
          <w:lang w:val="en-GB" w:eastAsia="zh-CN"/>
        </w:rPr>
        <w:t>IoT</w:t>
      </w:r>
      <w:proofErr w:type="spellEnd"/>
      <w:r w:rsidR="005A7BBE" w:rsidRPr="005A7BBE">
        <w:rPr>
          <w:rFonts w:ascii="Times New Roman" w:hAnsi="Times New Roman"/>
          <w:sz w:val="22"/>
          <w:szCs w:val="22"/>
          <w:lang w:val="en-GB" w:eastAsia="zh-CN"/>
        </w:rPr>
        <w:t xml:space="preserve"> activities, and the GERAN &amp; RAN re-organization</w:t>
      </w:r>
      <w:r w:rsidR="005A7BBE">
        <w:rPr>
          <w:rFonts w:ascii="Times New Roman" w:hAnsi="Times New Roman"/>
          <w:sz w:val="22"/>
          <w:szCs w:val="22"/>
          <w:lang w:val="en-GB" w:eastAsia="zh-CN"/>
        </w:rPr>
        <w:t>”</w:t>
      </w:r>
      <w:r>
        <w:rPr>
          <w:rFonts w:ascii="Times New Roman" w:hAnsi="Times New Roman"/>
          <w:sz w:val="22"/>
          <w:szCs w:val="22"/>
          <w:lang w:val="en-GB" w:eastAsia="zh-CN"/>
        </w:rPr>
        <w:t xml:space="preserve"> </w:t>
      </w:r>
    </w:p>
    <w:p w:rsidR="005A7BBE" w:rsidRPr="005A7BBE" w:rsidRDefault="005A7BBE" w:rsidP="005A7BBE">
      <w:pPr>
        <w:pStyle w:val="Reference"/>
        <w:numPr>
          <w:ilvl w:val="1"/>
          <w:numId w:val="5"/>
        </w:numPr>
        <w:spacing w:before="156" w:after="156"/>
        <w:rPr>
          <w:rFonts w:ascii="Times New Roman" w:hAnsi="Times New Roman"/>
          <w:sz w:val="22"/>
          <w:szCs w:val="22"/>
          <w:lang w:val="en-GB" w:eastAsia="zh-CN"/>
        </w:rPr>
      </w:pPr>
      <w:r w:rsidRPr="005A7BBE">
        <w:rPr>
          <w:rFonts w:ascii="Times New Roman" w:hAnsi="Times New Roman"/>
          <w:sz w:val="22"/>
          <w:szCs w:val="22"/>
          <w:lang w:val="en-GB" w:eastAsia="zh-CN"/>
        </w:rPr>
        <w:t xml:space="preserve">GP-151022, ” </w:t>
      </w:r>
      <w:proofErr w:type="spellStart"/>
      <w:r w:rsidRPr="005A7BBE">
        <w:rPr>
          <w:rFonts w:ascii="Times New Roman" w:hAnsi="Times New Roman"/>
          <w:sz w:val="22"/>
          <w:szCs w:val="22"/>
          <w:lang w:val="en-GB" w:eastAsia="zh-CN"/>
        </w:rPr>
        <w:t>pCR</w:t>
      </w:r>
      <w:proofErr w:type="spellEnd"/>
      <w:r w:rsidRPr="005A7BBE">
        <w:rPr>
          <w:rFonts w:ascii="Times New Roman" w:hAnsi="Times New Roman"/>
          <w:sz w:val="22"/>
          <w:szCs w:val="22"/>
          <w:lang w:val="en-GB" w:eastAsia="zh-CN"/>
        </w:rPr>
        <w:t xml:space="preserve"> 45.820 - Over all conclusion the SI “Cellular System Support for Ultra Low Complexity and Low Throughput Internet of Things” study</w:t>
      </w:r>
    </w:p>
    <w:p w:rsidR="005A7BBE" w:rsidRDefault="005A7BBE" w:rsidP="00723CD4">
      <w:pPr>
        <w:pStyle w:val="Reference"/>
        <w:numPr>
          <w:ilvl w:val="0"/>
          <w:numId w:val="0"/>
        </w:numPr>
        <w:spacing w:before="156" w:after="156"/>
        <w:rPr>
          <w:rFonts w:ascii="Times New Roman" w:hAnsi="Times New Roman"/>
          <w:sz w:val="22"/>
          <w:szCs w:val="22"/>
          <w:lang w:val="en-GB" w:eastAsia="zh-CN"/>
        </w:rPr>
      </w:pPr>
    </w:p>
    <w:p w:rsidR="00B46582" w:rsidRPr="00B46582" w:rsidRDefault="00B46582" w:rsidP="00B46582"/>
    <w:sectPr w:rsidR="00B46582" w:rsidRPr="00B46582" w:rsidSect="00FB10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3pt;height:23.65pt" o:bullet="t">
        <v:imagedata r:id="rId1" o:title="artE9EA"/>
      </v:shape>
    </w:pict>
  </w:numPicBullet>
  <w:abstractNum w:abstractNumId="0">
    <w:nsid w:val="FFFFFF7F"/>
    <w:multiLevelType w:val="singleLevel"/>
    <w:tmpl w:val="D27802BC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D212D24"/>
    <w:multiLevelType w:val="hybridMultilevel"/>
    <w:tmpl w:val="DAACAE7E"/>
    <w:lvl w:ilvl="0" w:tplc="B094D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FA56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43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BEF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07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CA7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05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C7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CA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5D804F43"/>
    <w:multiLevelType w:val="hybridMultilevel"/>
    <w:tmpl w:val="0C7EA43E"/>
    <w:lvl w:ilvl="0" w:tplc="6FF80D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F4BF6A">
      <w:start w:val="251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28F1E">
      <w:start w:val="25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488">
      <w:start w:val="251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30B28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0A48A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147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E226A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248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2302315"/>
    <w:multiLevelType w:val="multilevel"/>
    <w:tmpl w:val="A440CB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556"/>
        </w:tabs>
        <w:ind w:left="2556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/>
        <w:sz w:val="26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70996A52"/>
    <w:multiLevelType w:val="hybridMultilevel"/>
    <w:tmpl w:val="96D86EB4"/>
    <w:lvl w:ilvl="0" w:tplc="A1C4548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1"/>
  </w:num>
  <w:num w:numId="8">
    <w:abstractNumId w:val="1"/>
  </w:num>
  <w:num w:numId="9">
    <w:abstractNumId w:val="7"/>
  </w:num>
  <w:num w:numId="10">
    <w:abstractNumId w:val="5"/>
  </w:num>
  <w:num w:numId="11">
    <w:abstractNumId w:val="3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46582"/>
    <w:rsid w:val="000122DB"/>
    <w:rsid w:val="0002704B"/>
    <w:rsid w:val="00033DB7"/>
    <w:rsid w:val="00045FAF"/>
    <w:rsid w:val="00046DA7"/>
    <w:rsid w:val="00050162"/>
    <w:rsid w:val="000558FA"/>
    <w:rsid w:val="00057437"/>
    <w:rsid w:val="0006286A"/>
    <w:rsid w:val="000653DE"/>
    <w:rsid w:val="00067954"/>
    <w:rsid w:val="000704CD"/>
    <w:rsid w:val="00077EA7"/>
    <w:rsid w:val="0009043A"/>
    <w:rsid w:val="000936C0"/>
    <w:rsid w:val="0009701C"/>
    <w:rsid w:val="000A529F"/>
    <w:rsid w:val="000E260D"/>
    <w:rsid w:val="000E4A2D"/>
    <w:rsid w:val="000F1E2C"/>
    <w:rsid w:val="00102FF9"/>
    <w:rsid w:val="0011404B"/>
    <w:rsid w:val="001201C7"/>
    <w:rsid w:val="00121E70"/>
    <w:rsid w:val="0013418B"/>
    <w:rsid w:val="00135381"/>
    <w:rsid w:val="001360A9"/>
    <w:rsid w:val="00137014"/>
    <w:rsid w:val="00141AA7"/>
    <w:rsid w:val="00145171"/>
    <w:rsid w:val="00152DBB"/>
    <w:rsid w:val="00161D13"/>
    <w:rsid w:val="001628E2"/>
    <w:rsid w:val="0017048A"/>
    <w:rsid w:val="00171AFE"/>
    <w:rsid w:val="00171DB7"/>
    <w:rsid w:val="00174BDF"/>
    <w:rsid w:val="00185033"/>
    <w:rsid w:val="00195D57"/>
    <w:rsid w:val="001B6FEC"/>
    <w:rsid w:val="001C6E3E"/>
    <w:rsid w:val="001D72A0"/>
    <w:rsid w:val="001D7314"/>
    <w:rsid w:val="002002BE"/>
    <w:rsid w:val="00213818"/>
    <w:rsid w:val="00215A10"/>
    <w:rsid w:val="00221A52"/>
    <w:rsid w:val="00230707"/>
    <w:rsid w:val="00237C13"/>
    <w:rsid w:val="00240E3F"/>
    <w:rsid w:val="002445F2"/>
    <w:rsid w:val="0025110A"/>
    <w:rsid w:val="002544D4"/>
    <w:rsid w:val="00261885"/>
    <w:rsid w:val="00262E55"/>
    <w:rsid w:val="00282D04"/>
    <w:rsid w:val="002959C1"/>
    <w:rsid w:val="002B3BC4"/>
    <w:rsid w:val="002B7982"/>
    <w:rsid w:val="002E0202"/>
    <w:rsid w:val="002E0265"/>
    <w:rsid w:val="002E11C4"/>
    <w:rsid w:val="002E34B3"/>
    <w:rsid w:val="002E7A6F"/>
    <w:rsid w:val="002F030D"/>
    <w:rsid w:val="00302912"/>
    <w:rsid w:val="00303AF0"/>
    <w:rsid w:val="00305195"/>
    <w:rsid w:val="00307521"/>
    <w:rsid w:val="00335232"/>
    <w:rsid w:val="00337A26"/>
    <w:rsid w:val="0034053E"/>
    <w:rsid w:val="00365FBE"/>
    <w:rsid w:val="00373586"/>
    <w:rsid w:val="003C00F3"/>
    <w:rsid w:val="003D0023"/>
    <w:rsid w:val="003D46A4"/>
    <w:rsid w:val="003D4A5C"/>
    <w:rsid w:val="003D5B83"/>
    <w:rsid w:val="003E164F"/>
    <w:rsid w:val="003E28E4"/>
    <w:rsid w:val="00413D41"/>
    <w:rsid w:val="00424F21"/>
    <w:rsid w:val="00432748"/>
    <w:rsid w:val="00433E94"/>
    <w:rsid w:val="00435128"/>
    <w:rsid w:val="00454786"/>
    <w:rsid w:val="00482826"/>
    <w:rsid w:val="004A082C"/>
    <w:rsid w:val="004B4F5D"/>
    <w:rsid w:val="004C3BA5"/>
    <w:rsid w:val="004D671F"/>
    <w:rsid w:val="004E286E"/>
    <w:rsid w:val="004E58A0"/>
    <w:rsid w:val="004F46B4"/>
    <w:rsid w:val="004F5301"/>
    <w:rsid w:val="0050279C"/>
    <w:rsid w:val="00504D37"/>
    <w:rsid w:val="005260AC"/>
    <w:rsid w:val="00533028"/>
    <w:rsid w:val="005344B9"/>
    <w:rsid w:val="005356F9"/>
    <w:rsid w:val="00543FF7"/>
    <w:rsid w:val="00550F18"/>
    <w:rsid w:val="00566A4D"/>
    <w:rsid w:val="00572CAC"/>
    <w:rsid w:val="005841AA"/>
    <w:rsid w:val="00584E7E"/>
    <w:rsid w:val="0058738C"/>
    <w:rsid w:val="00593A06"/>
    <w:rsid w:val="0059417D"/>
    <w:rsid w:val="005A7BBE"/>
    <w:rsid w:val="005C0EB6"/>
    <w:rsid w:val="005C175A"/>
    <w:rsid w:val="005C5774"/>
    <w:rsid w:val="005C5C22"/>
    <w:rsid w:val="005F00F5"/>
    <w:rsid w:val="005F7546"/>
    <w:rsid w:val="006219B0"/>
    <w:rsid w:val="00635006"/>
    <w:rsid w:val="00644DDD"/>
    <w:rsid w:val="0066086C"/>
    <w:rsid w:val="00660A76"/>
    <w:rsid w:val="006779C9"/>
    <w:rsid w:val="006840CF"/>
    <w:rsid w:val="006D1045"/>
    <w:rsid w:val="006D15C0"/>
    <w:rsid w:val="006D419D"/>
    <w:rsid w:val="006E0E25"/>
    <w:rsid w:val="006E3100"/>
    <w:rsid w:val="006E7B15"/>
    <w:rsid w:val="006F50DB"/>
    <w:rsid w:val="00715556"/>
    <w:rsid w:val="00723CD4"/>
    <w:rsid w:val="0073580A"/>
    <w:rsid w:val="0074194D"/>
    <w:rsid w:val="00741CCD"/>
    <w:rsid w:val="00746F07"/>
    <w:rsid w:val="00752D94"/>
    <w:rsid w:val="00753894"/>
    <w:rsid w:val="0077057F"/>
    <w:rsid w:val="00786CB5"/>
    <w:rsid w:val="007870A7"/>
    <w:rsid w:val="00791551"/>
    <w:rsid w:val="0079504A"/>
    <w:rsid w:val="007B4E57"/>
    <w:rsid w:val="007C0814"/>
    <w:rsid w:val="007F32DC"/>
    <w:rsid w:val="00802445"/>
    <w:rsid w:val="00811868"/>
    <w:rsid w:val="008132EF"/>
    <w:rsid w:val="00815D27"/>
    <w:rsid w:val="00843623"/>
    <w:rsid w:val="0084403C"/>
    <w:rsid w:val="00845EF7"/>
    <w:rsid w:val="00851984"/>
    <w:rsid w:val="008536A6"/>
    <w:rsid w:val="008549E8"/>
    <w:rsid w:val="008553DA"/>
    <w:rsid w:val="00873CE1"/>
    <w:rsid w:val="00885AE4"/>
    <w:rsid w:val="00887DD7"/>
    <w:rsid w:val="008A69BC"/>
    <w:rsid w:val="008B25C0"/>
    <w:rsid w:val="008B3DCB"/>
    <w:rsid w:val="008B48B2"/>
    <w:rsid w:val="008B6B14"/>
    <w:rsid w:val="008C1E78"/>
    <w:rsid w:val="008E2C01"/>
    <w:rsid w:val="008E515D"/>
    <w:rsid w:val="008F0A87"/>
    <w:rsid w:val="00900862"/>
    <w:rsid w:val="0090461A"/>
    <w:rsid w:val="009058B2"/>
    <w:rsid w:val="00917781"/>
    <w:rsid w:val="00927573"/>
    <w:rsid w:val="0093092C"/>
    <w:rsid w:val="009312BB"/>
    <w:rsid w:val="00934006"/>
    <w:rsid w:val="00943502"/>
    <w:rsid w:val="00943A87"/>
    <w:rsid w:val="009469E4"/>
    <w:rsid w:val="00947A7A"/>
    <w:rsid w:val="00950100"/>
    <w:rsid w:val="0095420D"/>
    <w:rsid w:val="009546DD"/>
    <w:rsid w:val="00962D58"/>
    <w:rsid w:val="0096642D"/>
    <w:rsid w:val="0097302C"/>
    <w:rsid w:val="009739CE"/>
    <w:rsid w:val="0097793F"/>
    <w:rsid w:val="00977B89"/>
    <w:rsid w:val="00981658"/>
    <w:rsid w:val="0098295D"/>
    <w:rsid w:val="0099126C"/>
    <w:rsid w:val="0099203E"/>
    <w:rsid w:val="009A273C"/>
    <w:rsid w:val="009A46B5"/>
    <w:rsid w:val="009B4DB0"/>
    <w:rsid w:val="009C312F"/>
    <w:rsid w:val="009E2A4C"/>
    <w:rsid w:val="009E51FF"/>
    <w:rsid w:val="009F379C"/>
    <w:rsid w:val="009F645A"/>
    <w:rsid w:val="00A003DA"/>
    <w:rsid w:val="00A00C56"/>
    <w:rsid w:val="00A045E3"/>
    <w:rsid w:val="00A121C7"/>
    <w:rsid w:val="00A14562"/>
    <w:rsid w:val="00A17893"/>
    <w:rsid w:val="00A3368D"/>
    <w:rsid w:val="00A37017"/>
    <w:rsid w:val="00A47BA4"/>
    <w:rsid w:val="00A53DA1"/>
    <w:rsid w:val="00A56200"/>
    <w:rsid w:val="00A61C5B"/>
    <w:rsid w:val="00A63967"/>
    <w:rsid w:val="00A7171E"/>
    <w:rsid w:val="00A80067"/>
    <w:rsid w:val="00A958D3"/>
    <w:rsid w:val="00A97D88"/>
    <w:rsid w:val="00AA04A8"/>
    <w:rsid w:val="00AA337D"/>
    <w:rsid w:val="00AB0219"/>
    <w:rsid w:val="00AB7A87"/>
    <w:rsid w:val="00AC13CA"/>
    <w:rsid w:val="00AC33E5"/>
    <w:rsid w:val="00AD1715"/>
    <w:rsid w:val="00AD1E1F"/>
    <w:rsid w:val="00AE5E12"/>
    <w:rsid w:val="00AF28D3"/>
    <w:rsid w:val="00AF7B0D"/>
    <w:rsid w:val="00B00D80"/>
    <w:rsid w:val="00B03A9C"/>
    <w:rsid w:val="00B0575D"/>
    <w:rsid w:val="00B07A15"/>
    <w:rsid w:val="00B16CDE"/>
    <w:rsid w:val="00B214D3"/>
    <w:rsid w:val="00B23D8D"/>
    <w:rsid w:val="00B337F4"/>
    <w:rsid w:val="00B3545C"/>
    <w:rsid w:val="00B36F3E"/>
    <w:rsid w:val="00B45938"/>
    <w:rsid w:val="00B46582"/>
    <w:rsid w:val="00B54CE6"/>
    <w:rsid w:val="00B569AC"/>
    <w:rsid w:val="00B84F79"/>
    <w:rsid w:val="00B911AD"/>
    <w:rsid w:val="00B91AA5"/>
    <w:rsid w:val="00B96BF7"/>
    <w:rsid w:val="00BA2F83"/>
    <w:rsid w:val="00BB1E3B"/>
    <w:rsid w:val="00BC0E34"/>
    <w:rsid w:val="00BC31FA"/>
    <w:rsid w:val="00BC5460"/>
    <w:rsid w:val="00BD79DE"/>
    <w:rsid w:val="00BF1D15"/>
    <w:rsid w:val="00BF2946"/>
    <w:rsid w:val="00BF54F5"/>
    <w:rsid w:val="00C07141"/>
    <w:rsid w:val="00C07912"/>
    <w:rsid w:val="00C3586B"/>
    <w:rsid w:val="00C35D50"/>
    <w:rsid w:val="00C45543"/>
    <w:rsid w:val="00C561E8"/>
    <w:rsid w:val="00C72EB5"/>
    <w:rsid w:val="00CA53A2"/>
    <w:rsid w:val="00CB14C3"/>
    <w:rsid w:val="00CB63A1"/>
    <w:rsid w:val="00CC12B9"/>
    <w:rsid w:val="00CC2FEA"/>
    <w:rsid w:val="00CD0FB9"/>
    <w:rsid w:val="00CD6F06"/>
    <w:rsid w:val="00D1116A"/>
    <w:rsid w:val="00D12689"/>
    <w:rsid w:val="00D17BA7"/>
    <w:rsid w:val="00D40A31"/>
    <w:rsid w:val="00D47811"/>
    <w:rsid w:val="00D53C93"/>
    <w:rsid w:val="00D56A96"/>
    <w:rsid w:val="00D6351E"/>
    <w:rsid w:val="00D67DD5"/>
    <w:rsid w:val="00D77D0F"/>
    <w:rsid w:val="00D846FC"/>
    <w:rsid w:val="00DB43C2"/>
    <w:rsid w:val="00DC397D"/>
    <w:rsid w:val="00DD3261"/>
    <w:rsid w:val="00DD3DFB"/>
    <w:rsid w:val="00DD5B00"/>
    <w:rsid w:val="00DE4ECC"/>
    <w:rsid w:val="00E10F69"/>
    <w:rsid w:val="00E27D11"/>
    <w:rsid w:val="00E31CB9"/>
    <w:rsid w:val="00E468DE"/>
    <w:rsid w:val="00E52252"/>
    <w:rsid w:val="00E5252F"/>
    <w:rsid w:val="00E62F61"/>
    <w:rsid w:val="00E746C5"/>
    <w:rsid w:val="00E76FF7"/>
    <w:rsid w:val="00EA1914"/>
    <w:rsid w:val="00EB4153"/>
    <w:rsid w:val="00EB6F30"/>
    <w:rsid w:val="00ED47D5"/>
    <w:rsid w:val="00F178F1"/>
    <w:rsid w:val="00F21908"/>
    <w:rsid w:val="00F343EC"/>
    <w:rsid w:val="00F357C1"/>
    <w:rsid w:val="00F36CF8"/>
    <w:rsid w:val="00F428A6"/>
    <w:rsid w:val="00F436F8"/>
    <w:rsid w:val="00F44EC6"/>
    <w:rsid w:val="00F47EBA"/>
    <w:rsid w:val="00F55155"/>
    <w:rsid w:val="00F70EC2"/>
    <w:rsid w:val="00F73458"/>
    <w:rsid w:val="00F77A69"/>
    <w:rsid w:val="00F84522"/>
    <w:rsid w:val="00F9511B"/>
    <w:rsid w:val="00FB008C"/>
    <w:rsid w:val="00FB1035"/>
    <w:rsid w:val="00FC7215"/>
    <w:rsid w:val="00FD07F8"/>
    <w:rsid w:val="00FD4A83"/>
    <w:rsid w:val="00FE2BBD"/>
    <w:rsid w:val="00FE5085"/>
    <w:rsid w:val="00FE53E7"/>
    <w:rsid w:val="00FF3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582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B46582"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B46582"/>
    <w:pPr>
      <w:keepNext/>
      <w:keepLines/>
      <w:widowControl w:val="0"/>
      <w:numPr>
        <w:ilvl w:val="1"/>
        <w:numId w:val="1"/>
      </w:numPr>
      <w:spacing w:before="180" w:after="180"/>
      <w:outlineLvl w:val="1"/>
    </w:pPr>
    <w:rPr>
      <w:rFonts w:ascii="Arial" w:hAnsi="Arial"/>
      <w:sz w:val="32"/>
      <w:szCs w:val="20"/>
      <w:lang w:val="en-GB"/>
    </w:rPr>
  </w:style>
  <w:style w:type="paragraph" w:styleId="Heading3">
    <w:name w:val="heading 3"/>
    <w:basedOn w:val="Normal"/>
    <w:next w:val="Normal"/>
    <w:link w:val="Heading3Char"/>
    <w:qFormat/>
    <w:rsid w:val="00B46582"/>
    <w:pPr>
      <w:keepNext/>
      <w:keepLines/>
      <w:widowControl w:val="0"/>
      <w:numPr>
        <w:ilvl w:val="2"/>
        <w:numId w:val="1"/>
      </w:numPr>
      <w:spacing w:before="120" w:after="180"/>
      <w:outlineLvl w:val="2"/>
    </w:pPr>
    <w:rPr>
      <w:rFonts w:ascii="Arial" w:hAnsi="Arial"/>
      <w:sz w:val="28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B46582"/>
    <w:pPr>
      <w:keepNext/>
      <w:keepLines/>
      <w:widowControl w:val="0"/>
      <w:numPr>
        <w:ilvl w:val="3"/>
        <w:numId w:val="1"/>
      </w:numPr>
      <w:spacing w:before="120" w:after="180"/>
      <w:outlineLvl w:val="3"/>
    </w:pPr>
    <w:rPr>
      <w:rFonts w:ascii="Arial" w:hAnsi="Arial"/>
      <w:sz w:val="24"/>
      <w:szCs w:val="20"/>
      <w:lang w:val="en-GB"/>
    </w:rPr>
  </w:style>
  <w:style w:type="paragraph" w:styleId="Heading5">
    <w:name w:val="heading 5"/>
    <w:basedOn w:val="Normal"/>
    <w:next w:val="Normal"/>
    <w:link w:val="Heading5Char"/>
    <w:qFormat/>
    <w:rsid w:val="00B46582"/>
    <w:pPr>
      <w:keepNext/>
      <w:keepLines/>
      <w:widowControl w:val="0"/>
      <w:numPr>
        <w:ilvl w:val="4"/>
        <w:numId w:val="1"/>
      </w:numPr>
      <w:spacing w:before="120" w:after="180"/>
      <w:outlineLvl w:val="4"/>
    </w:pPr>
    <w:rPr>
      <w:rFonts w:ascii="Arial" w:hAnsi="Arial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B46582"/>
    <w:pPr>
      <w:keepNext/>
      <w:keepLines/>
      <w:widowControl w:val="0"/>
      <w:numPr>
        <w:ilvl w:val="5"/>
        <w:numId w:val="1"/>
      </w:numPr>
      <w:spacing w:before="120" w:after="180"/>
      <w:outlineLvl w:val="5"/>
    </w:pPr>
    <w:rPr>
      <w:rFonts w:ascii="Arial" w:hAnsi="Arial"/>
      <w:sz w:val="20"/>
      <w:szCs w:val="20"/>
      <w:lang w:val="en-GB"/>
    </w:rPr>
  </w:style>
  <w:style w:type="paragraph" w:styleId="Heading7">
    <w:name w:val="heading 7"/>
    <w:basedOn w:val="Heading6"/>
    <w:next w:val="Normal"/>
    <w:link w:val="Heading7Char"/>
    <w:qFormat/>
    <w:rsid w:val="00B4658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46582"/>
    <w:pPr>
      <w:numPr>
        <w:ilvl w:val="7"/>
      </w:numPr>
      <w:pBdr>
        <w:top w:val="none" w:sz="0" w:space="0" w:color="auto"/>
      </w:pBdr>
      <w:outlineLvl w:val="7"/>
    </w:pPr>
    <w:rPr>
      <w:sz w:val="20"/>
    </w:rPr>
  </w:style>
  <w:style w:type="paragraph" w:styleId="Heading9">
    <w:name w:val="heading 9"/>
    <w:basedOn w:val="Heading8"/>
    <w:next w:val="Normal"/>
    <w:link w:val="Heading9Char"/>
    <w:qFormat/>
    <w:rsid w:val="00B465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65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B4658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4658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46582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B46582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B4658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4658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B4658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B46582"/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s">
    <w:name w:val="References"/>
    <w:basedOn w:val="Normal"/>
    <w:rsid w:val="00B46582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Number2">
    <w:name w:val="List Number 2"/>
    <w:basedOn w:val="Normal"/>
    <w:rsid w:val="00B46582"/>
    <w:pPr>
      <w:numPr>
        <w:numId w:val="3"/>
      </w:numPr>
      <w:autoSpaceDE/>
      <w:autoSpaceDN/>
      <w:adjustRightInd/>
      <w:snapToGrid/>
      <w:spacing w:after="0"/>
      <w:jc w:val="left"/>
    </w:pPr>
    <w:rPr>
      <w:sz w:val="24"/>
      <w:szCs w:val="24"/>
      <w:lang w:val="en-GB"/>
    </w:rPr>
  </w:style>
  <w:style w:type="paragraph" w:customStyle="1" w:styleId="Reference">
    <w:name w:val="Reference"/>
    <w:basedOn w:val="Normal"/>
    <w:rsid w:val="00B465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styleId="Hyperlink">
    <w:name w:val="Hyperlink"/>
    <w:basedOn w:val="DefaultParagraphFont"/>
    <w:uiPriority w:val="99"/>
    <w:unhideWhenUsed/>
    <w:rsid w:val="00B46582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5A7BBE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rFonts w:eastAsia="Times New Roman"/>
      <w:b/>
      <w:kern w:val="28"/>
      <w:sz w:val="32"/>
      <w:szCs w:val="24"/>
    </w:rPr>
  </w:style>
  <w:style w:type="character" w:customStyle="1" w:styleId="TitleChar">
    <w:name w:val="Title Char"/>
    <w:basedOn w:val="DefaultParagraphFont"/>
    <w:link w:val="Title"/>
    <w:rsid w:val="005A7BBE"/>
    <w:rPr>
      <w:rFonts w:ascii="Times New Roman" w:eastAsia="Times New Roman" w:hAnsi="Times New Roman" w:cs="Times New Roman"/>
      <w:b/>
      <w:kern w:val="28"/>
      <w:sz w:val="32"/>
      <w:szCs w:val="24"/>
    </w:rPr>
  </w:style>
  <w:style w:type="paragraph" w:customStyle="1" w:styleId="TAL">
    <w:name w:val="TAL"/>
    <w:basedOn w:val="Normal"/>
    <w:link w:val="TALChar"/>
    <w:rsid w:val="005A7BBE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5A7BBE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5A7BB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5A7BB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5A7BBE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5A7BBE"/>
    <w:rPr>
      <w:rFonts w:ascii="Arial" w:eastAsia="Times New Roman" w:hAnsi="Arial" w:cs="Times New Roman"/>
      <w:sz w:val="18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A7BBE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B7A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032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7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5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516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6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60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60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3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84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29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26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tp://ftp.3gpp.org/PCG/PCG_34/docs/PCG34_39r2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722</Words>
  <Characters>4120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edits</dc:creator>
  <cp:lastModifiedBy>edits</cp:lastModifiedBy>
  <cp:revision>2</cp:revision>
  <dcterms:created xsi:type="dcterms:W3CDTF">2015-08-15T05:34:00Z</dcterms:created>
  <dcterms:modified xsi:type="dcterms:W3CDTF">2015-08-15T05:34:00Z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(3)Zf42+DZ1yT5mXq2LNWB8p0nNPRO/kUVX2JeMYkABB9vuA0hANh6/0UUEGj5Cxz4gCPjJNeQs
6cMcXEdzxEhjpvP9noX/chjviysD1O83DFmXQcx+P6qwMUpPaXci31I+GPhuuaksi/XtJgPC
C++yBmB29dGSrQszIMle8Yzr5jlQU42IX1AHU/o/xOMIcULzp62LtsYU2T5WI++bVvp/ynN7
dlXLfv/DR/yfsEcwN1</vt:lpwstr>
  </property>
  <property fmtid="{D5CDD505-2E9C-101B-9397-08002B2CF9AE}" pid="3" name="_new_ms_pID_725431">
    <vt:lpwstr>BtjiMr3s+ZiVz67hYvS+dkhgRO3qrDi4RHpy3CFB+R9K9lPdyXIfZR
VmxD1dV7OKCyBZSLW0ozff4FQnqqLiW/teyC10FjHCDDTNVyjWIw5EUlg/HzxEH/lbcHEKrU
0LCtPw9G/vbtiBtR1bwHXZW8cGF6fT8XZzL5R9Ys1CSYg4PF6In5awMOCb4tYI2y1ZYEH2DZ
A5CN/Ek74KKpugZtp0ZV4eRq3+CmzY3Q2EbR</vt:lpwstr>
  </property>
  <property fmtid="{D5CDD505-2E9C-101B-9397-08002B2CF9AE}" pid="4" name="_new_ms_pID_725432">
    <vt:lpwstr>zXXDu0EgITnl0yJpI012SLN1ucS5XhRoVP0X
Z4mpZTbtS8nDmwE3VPwJCXmp43z72g==</vt:lpwstr>
  </property>
  <property fmtid="{D5CDD505-2E9C-101B-9397-08002B2CF9AE}" pid="5" name="sflag">
    <vt:lpwstr>1439616833</vt:lpwstr>
  </property>
</Properties>
</file>