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425" w:rsidRPr="004F7D4C" w:rsidRDefault="00BC1425" w:rsidP="00BC1425">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3GPP TSG RAN WG1 Meeting #81                                                                                 R1-15</w:t>
      </w:r>
      <w:r w:rsidR="00A65162">
        <w:rPr>
          <w:rFonts w:ascii="Arial" w:eastAsia="Times New Roman" w:hAnsi="Arial" w:cs="Arial"/>
          <w:b/>
          <w:bCs/>
          <w:noProof/>
          <w:szCs w:val="18"/>
          <w:lang w:eastAsia="zh-CN"/>
        </w:rPr>
        <w:t>3135</w:t>
      </w:r>
    </w:p>
    <w:p w:rsidR="00BC1425" w:rsidRPr="00A81A0C" w:rsidRDefault="00BC1425" w:rsidP="00BC1425">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Fukuoka</w:t>
      </w:r>
      <w:r w:rsidRPr="007C0284">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Japan, 25th - 29</w:t>
      </w:r>
      <w:r w:rsidRPr="007C0284">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May</w:t>
      </w:r>
      <w:r w:rsidRPr="007C0284">
        <w:rPr>
          <w:rFonts w:ascii="Arial" w:eastAsia="Times New Roman" w:hAnsi="Arial" w:cs="Arial"/>
          <w:b/>
          <w:bCs/>
          <w:noProof/>
          <w:szCs w:val="18"/>
          <w:lang w:eastAsia="zh-CN"/>
        </w:rPr>
        <w:t xml:space="preserve">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BC1425" w:rsidRPr="00BC1425">
        <w:rPr>
          <w:sz w:val="20"/>
          <w:lang w:val="en-US"/>
        </w:rPr>
        <w:t>On Scheduling in LAA with Downlink and Uplink Transmissions</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BC1425">
        <w:rPr>
          <w:sz w:val="20"/>
          <w:lang w:val="en-US"/>
        </w:rPr>
        <w:t>6.2.4.3</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BC1425" w:rsidRDefault="00BC1425" w:rsidP="00B04133">
      <w:pPr>
        <w:jc w:val="both"/>
        <w:rPr>
          <w:rFonts w:ascii="Times New Roman" w:hAnsi="Times New Roman" w:cs="Times New Roman"/>
          <w:iCs/>
        </w:rPr>
      </w:pPr>
      <w:r>
        <w:rPr>
          <w:rFonts w:ascii="Times New Roman" w:hAnsi="Times New Roman" w:cs="Times New Roman"/>
          <w:iCs/>
        </w:rPr>
        <w:t>The supported modes of scheduling was discussed at RAN1 80bis. It was concluded that option 1,</w:t>
      </w:r>
      <w:r w:rsidR="00D82B12">
        <w:rPr>
          <w:rFonts w:ascii="Times New Roman" w:hAnsi="Times New Roman" w:cs="Times New Roman"/>
          <w:iCs/>
        </w:rPr>
        <w:t xml:space="preserve"> </w:t>
      </w:r>
      <w:r>
        <w:rPr>
          <w:rFonts w:ascii="Times New Roman" w:hAnsi="Times New Roman" w:cs="Times New Roman"/>
          <w:iCs/>
        </w:rPr>
        <w:t>2 and 4 would be considered for further down-selection from the below list</w:t>
      </w:r>
      <w:r w:rsidR="002E3D25">
        <w:rPr>
          <w:rFonts w:ascii="Times New Roman" w:hAnsi="Times New Roman" w:cs="Times New Roman"/>
          <w:iCs/>
        </w:rPr>
        <w:t xml:space="preserve"> </w:t>
      </w:r>
      <w:r w:rsidR="002E3D25">
        <w:rPr>
          <w:rFonts w:ascii="Times New Roman" w:hAnsi="Times New Roman" w:cs="Times New Roman"/>
          <w:iCs/>
        </w:rPr>
        <w:fldChar w:fldCharType="begin"/>
      </w:r>
      <w:r w:rsidR="002E3D25">
        <w:rPr>
          <w:rFonts w:ascii="Times New Roman" w:hAnsi="Times New Roman" w:cs="Times New Roman"/>
          <w:iCs/>
        </w:rPr>
        <w:instrText xml:space="preserve"> REF _Ref419322666 \r \h </w:instrText>
      </w:r>
      <w:r w:rsidR="002E3D25">
        <w:rPr>
          <w:rFonts w:ascii="Times New Roman" w:hAnsi="Times New Roman" w:cs="Times New Roman"/>
          <w:iCs/>
        </w:rPr>
      </w:r>
      <w:r w:rsidR="002E3D25">
        <w:rPr>
          <w:rFonts w:ascii="Times New Roman" w:hAnsi="Times New Roman" w:cs="Times New Roman"/>
          <w:iCs/>
        </w:rPr>
        <w:fldChar w:fldCharType="separate"/>
      </w:r>
      <w:r w:rsidR="004C656F">
        <w:rPr>
          <w:rFonts w:ascii="Times New Roman" w:hAnsi="Times New Roman" w:cs="Times New Roman"/>
          <w:iCs/>
        </w:rPr>
        <w:t>[1]</w:t>
      </w:r>
      <w:r w:rsidR="002E3D25">
        <w:rPr>
          <w:rFonts w:ascii="Times New Roman" w:hAnsi="Times New Roman" w:cs="Times New Roman"/>
          <w:iCs/>
        </w:rPr>
        <w:fldChar w:fldCharType="end"/>
      </w:r>
      <w:r>
        <w:rPr>
          <w:rFonts w:ascii="Times New Roman" w:hAnsi="Times New Roman" w:cs="Times New Roman"/>
          <w:iCs/>
        </w:rPr>
        <w:t xml:space="preserve">. </w:t>
      </w:r>
    </w:p>
    <w:p w:rsidR="00BC1425" w:rsidRPr="00BC1425" w:rsidRDefault="00BC1425" w:rsidP="00BC1425">
      <w:pPr>
        <w:spacing w:after="0"/>
        <w:jc w:val="both"/>
        <w:rPr>
          <w:rFonts w:ascii="Times New Roman" w:hAnsi="Times New Roman" w:cs="Times New Roman"/>
          <w:iCs/>
        </w:rPr>
      </w:pPr>
      <w:r w:rsidRPr="00BC1425">
        <w:rPr>
          <w:rFonts w:ascii="Times New Roman" w:hAnsi="Times New Roman" w:cs="Times New Roman"/>
          <w:iCs/>
        </w:rPr>
        <w:t>•</w:t>
      </w:r>
      <w:r w:rsidRPr="00BC1425">
        <w:rPr>
          <w:rFonts w:ascii="Times New Roman" w:hAnsi="Times New Roman" w:cs="Times New Roman"/>
          <w:iCs/>
        </w:rPr>
        <w:tab/>
        <w:t>Combination 1: Self-scheduling on both DL and UL</w:t>
      </w:r>
    </w:p>
    <w:p w:rsidR="00BC1425" w:rsidRPr="00BC1425" w:rsidRDefault="00BC1425" w:rsidP="00BC1425">
      <w:pPr>
        <w:spacing w:after="0"/>
        <w:jc w:val="both"/>
        <w:rPr>
          <w:rFonts w:ascii="Times New Roman" w:hAnsi="Times New Roman" w:cs="Times New Roman"/>
          <w:iCs/>
        </w:rPr>
      </w:pPr>
      <w:r w:rsidRPr="00BC1425">
        <w:rPr>
          <w:rFonts w:ascii="Times New Roman" w:hAnsi="Times New Roman" w:cs="Times New Roman"/>
          <w:iCs/>
        </w:rPr>
        <w:t>•</w:t>
      </w:r>
      <w:r w:rsidRPr="00BC1425">
        <w:rPr>
          <w:rFonts w:ascii="Times New Roman" w:hAnsi="Times New Roman" w:cs="Times New Roman"/>
          <w:iCs/>
        </w:rPr>
        <w:tab/>
        <w:t>Combination 2: Self-scheduling on DL and cross-carrier scheduling on UL</w:t>
      </w:r>
    </w:p>
    <w:p w:rsidR="00BC1425" w:rsidRPr="00BC1425" w:rsidRDefault="00BC1425" w:rsidP="00BC1425">
      <w:pPr>
        <w:spacing w:after="0"/>
        <w:jc w:val="both"/>
        <w:rPr>
          <w:rFonts w:ascii="Times New Roman" w:hAnsi="Times New Roman" w:cs="Times New Roman"/>
          <w:iCs/>
        </w:rPr>
      </w:pPr>
      <w:r w:rsidRPr="00BC1425">
        <w:rPr>
          <w:rFonts w:ascii="Times New Roman" w:hAnsi="Times New Roman" w:cs="Times New Roman"/>
          <w:iCs/>
        </w:rPr>
        <w:t>•</w:t>
      </w:r>
      <w:r w:rsidRPr="00BC1425">
        <w:rPr>
          <w:rFonts w:ascii="Times New Roman" w:hAnsi="Times New Roman" w:cs="Times New Roman"/>
          <w:iCs/>
        </w:rPr>
        <w:tab/>
        <w:t>Combination 3: Cross-carrier scheduling on DL and self-scheduling on UL</w:t>
      </w:r>
    </w:p>
    <w:p w:rsidR="00BC1425" w:rsidRDefault="00BC1425" w:rsidP="00BC1425">
      <w:pPr>
        <w:spacing w:after="0"/>
        <w:jc w:val="both"/>
        <w:rPr>
          <w:rFonts w:ascii="Times New Roman" w:hAnsi="Times New Roman" w:cs="Times New Roman"/>
          <w:iCs/>
        </w:rPr>
      </w:pPr>
      <w:r w:rsidRPr="00BC1425">
        <w:rPr>
          <w:rFonts w:ascii="Times New Roman" w:hAnsi="Times New Roman" w:cs="Times New Roman"/>
          <w:iCs/>
        </w:rPr>
        <w:t>•</w:t>
      </w:r>
      <w:r w:rsidRPr="00BC1425">
        <w:rPr>
          <w:rFonts w:ascii="Times New Roman" w:hAnsi="Times New Roman" w:cs="Times New Roman"/>
          <w:iCs/>
        </w:rPr>
        <w:tab/>
        <w:t>Combination 4: Cross-carrier scheduling from the same scheduling carrier for both DL and</w:t>
      </w:r>
      <w:r w:rsidR="009E421A">
        <w:rPr>
          <w:rFonts w:ascii="Times New Roman" w:hAnsi="Times New Roman" w:cs="Times New Roman"/>
          <w:iCs/>
        </w:rPr>
        <w:t xml:space="preserve"> </w:t>
      </w:r>
      <w:r w:rsidRPr="00BC1425">
        <w:rPr>
          <w:rFonts w:ascii="Times New Roman" w:hAnsi="Times New Roman" w:cs="Times New Roman"/>
          <w:iCs/>
        </w:rPr>
        <w:t>UL</w:t>
      </w:r>
    </w:p>
    <w:p w:rsidR="00BC1425" w:rsidRDefault="00BC1425" w:rsidP="00BC1425">
      <w:pPr>
        <w:spacing w:after="0"/>
        <w:jc w:val="both"/>
        <w:rPr>
          <w:rFonts w:ascii="Times New Roman" w:hAnsi="Times New Roman" w:cs="Times New Roman"/>
          <w:iCs/>
        </w:rPr>
      </w:pPr>
    </w:p>
    <w:p w:rsidR="00BC1425" w:rsidRDefault="00BC1425" w:rsidP="00BC1425">
      <w:pPr>
        <w:spacing w:after="0"/>
        <w:jc w:val="both"/>
        <w:rPr>
          <w:rFonts w:ascii="Times New Roman" w:hAnsi="Times New Roman" w:cs="Times New Roman"/>
          <w:iCs/>
        </w:rPr>
      </w:pPr>
      <w:r>
        <w:rPr>
          <w:rFonts w:ascii="Times New Roman" w:hAnsi="Times New Roman" w:cs="Times New Roman"/>
          <w:iCs/>
        </w:rPr>
        <w:t>In this contribution we discuss these three options further</w:t>
      </w:r>
      <w:r w:rsidR="00F95F04">
        <w:rPr>
          <w:rFonts w:ascii="Times New Roman" w:hAnsi="Times New Roman" w:cs="Times New Roman"/>
          <w:iCs/>
        </w:rPr>
        <w:t xml:space="preserve"> and try to down-select within the list</w:t>
      </w:r>
      <w:r>
        <w:rPr>
          <w:rFonts w:ascii="Times New Roman" w:hAnsi="Times New Roman" w:cs="Times New Roman"/>
          <w:iCs/>
        </w:rPr>
        <w:t xml:space="preserve">. </w:t>
      </w:r>
    </w:p>
    <w:p w:rsidR="00A66F08" w:rsidRPr="00A66F08" w:rsidRDefault="00063E53" w:rsidP="00A66F08">
      <w:pPr>
        <w:pStyle w:val="Heading1"/>
      </w:pPr>
      <w:r>
        <w:t>Scheduling</w:t>
      </w:r>
    </w:p>
    <w:p w:rsidR="004B26B6" w:rsidRDefault="00D73540"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The LTE design supports in general</w:t>
      </w:r>
      <w:r w:rsidR="00B01964">
        <w:rPr>
          <w:rFonts w:ascii="Times New Roman" w:eastAsia="Times New Roman" w:hAnsi="Times New Roman" w:cs="Times New Roman"/>
        </w:rPr>
        <w:t>,</w:t>
      </w:r>
      <w:r>
        <w:rPr>
          <w:rFonts w:ascii="Times New Roman" w:eastAsia="Times New Roman" w:hAnsi="Times New Roman" w:cs="Times New Roman"/>
        </w:rPr>
        <w:t xml:space="preserve"> two different scheduling approaches, i.e. cross-carrier scheduling and self-scheduling. The supported set of scheduling design</w:t>
      </w:r>
      <w:r w:rsidR="00B01964">
        <w:rPr>
          <w:rFonts w:ascii="Times New Roman" w:eastAsia="Times New Roman" w:hAnsi="Times New Roman" w:cs="Times New Roman"/>
        </w:rPr>
        <w:t>s</w:t>
      </w:r>
      <w:r>
        <w:rPr>
          <w:rFonts w:ascii="Times New Roman" w:eastAsia="Times New Roman" w:hAnsi="Times New Roman" w:cs="Times New Roman"/>
        </w:rPr>
        <w:t xml:space="preserve"> needs some consideration for </w:t>
      </w:r>
      <w:r w:rsidR="009E421A">
        <w:rPr>
          <w:rFonts w:ascii="Times New Roman" w:eastAsia="Times New Roman" w:hAnsi="Times New Roman" w:cs="Times New Roman"/>
        </w:rPr>
        <w:t xml:space="preserve">an </w:t>
      </w:r>
      <w:r>
        <w:rPr>
          <w:rFonts w:ascii="Times New Roman" w:eastAsia="Times New Roman" w:hAnsi="Times New Roman" w:cs="Times New Roman"/>
        </w:rPr>
        <w:t xml:space="preserve">LAA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due to the LBT requirements on an LAA SCell, </w:t>
      </w:r>
      <w:r w:rsidR="004B26B6">
        <w:rPr>
          <w:rFonts w:ascii="Times New Roman" w:eastAsia="Times New Roman" w:hAnsi="Times New Roman" w:cs="Times New Roman"/>
        </w:rPr>
        <w:t>which</w:t>
      </w:r>
      <w:r>
        <w:rPr>
          <w:rFonts w:ascii="Times New Roman" w:eastAsia="Times New Roman" w:hAnsi="Times New Roman" w:cs="Times New Roman"/>
        </w:rPr>
        <w:t xml:space="preserve"> differs from previous LTE designs. We will </w:t>
      </w:r>
      <w:r w:rsidR="004B26B6">
        <w:rPr>
          <w:rFonts w:ascii="Times New Roman" w:eastAsia="Times New Roman" w:hAnsi="Times New Roman" w:cs="Times New Roman"/>
        </w:rPr>
        <w:t xml:space="preserve">first </w:t>
      </w:r>
      <w:r>
        <w:rPr>
          <w:rFonts w:ascii="Times New Roman" w:eastAsia="Times New Roman" w:hAnsi="Times New Roman" w:cs="Times New Roman"/>
        </w:rPr>
        <w:t>describe a</w:t>
      </w:r>
      <w:r w:rsidR="004B26B6">
        <w:rPr>
          <w:rFonts w:ascii="Times New Roman" w:eastAsia="Times New Roman" w:hAnsi="Times New Roman" w:cs="Times New Roman"/>
        </w:rPr>
        <w:t xml:space="preserve"> design </w:t>
      </w:r>
      <w:r w:rsidR="00B01964">
        <w:rPr>
          <w:rFonts w:ascii="Times New Roman" w:eastAsia="Times New Roman" w:hAnsi="Times New Roman" w:cs="Times New Roman"/>
        </w:rPr>
        <w:t>for</w:t>
      </w:r>
      <w:r>
        <w:rPr>
          <w:rFonts w:ascii="Times New Roman" w:eastAsia="Times New Roman" w:hAnsi="Times New Roman" w:cs="Times New Roman"/>
        </w:rPr>
        <w:t xml:space="preserve"> self-scheduling and further describe </w:t>
      </w:r>
      <w:r w:rsidR="00B01964">
        <w:rPr>
          <w:rFonts w:ascii="Times New Roman" w:eastAsia="Times New Roman" w:hAnsi="Times New Roman" w:cs="Times New Roman"/>
        </w:rPr>
        <w:t>a</w:t>
      </w:r>
      <w:r w:rsidR="004B26B6">
        <w:rPr>
          <w:rFonts w:ascii="Times New Roman" w:eastAsia="Times New Roman" w:hAnsi="Times New Roman" w:cs="Times New Roman"/>
        </w:rPr>
        <w:t xml:space="preserve"> design</w:t>
      </w:r>
      <w:r>
        <w:rPr>
          <w:rFonts w:ascii="Times New Roman" w:eastAsia="Times New Roman" w:hAnsi="Times New Roman" w:cs="Times New Roman"/>
        </w:rPr>
        <w:t xml:space="preserve"> for cross-carrier scheduling. </w:t>
      </w:r>
    </w:p>
    <w:p w:rsidR="00D73540" w:rsidRDefault="004B26B6" w:rsidP="00CD61C7">
      <w:pPr>
        <w:pStyle w:val="Heading2"/>
      </w:pPr>
      <w:r>
        <w:t>Self-scheduling</w:t>
      </w:r>
    </w:p>
    <w:p w:rsidR="00D73540" w:rsidRDefault="00D73540"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For the case of a DL-only LAA SCell that operates self-scheduling, the assumption is that the DCI message is provided by EPDCCH. If the UE finds an applicable EPDCCH it would know that it has been assigned a PDSCH within that subframe. On the eNB side</w:t>
      </w:r>
      <w:r w:rsidR="00517CBE">
        <w:rPr>
          <w:rFonts w:ascii="Times New Roman" w:eastAsia="Times New Roman" w:hAnsi="Times New Roman" w:cs="Times New Roman"/>
        </w:rPr>
        <w:t>,</w:t>
      </w:r>
      <w:r>
        <w:rPr>
          <w:rFonts w:ascii="Times New Roman" w:eastAsia="Times New Roman" w:hAnsi="Times New Roman" w:cs="Times New Roman"/>
        </w:rPr>
        <w:t xml:space="preserve"> this type of operation is rather straightforward as either the eNB succ</w:t>
      </w:r>
      <w:r w:rsidR="00D401EE">
        <w:rPr>
          <w:rFonts w:ascii="Times New Roman" w:eastAsia="Times New Roman" w:hAnsi="Times New Roman" w:cs="Times New Roman"/>
        </w:rPr>
        <w:t>e</w:t>
      </w:r>
      <w:r>
        <w:rPr>
          <w:rFonts w:ascii="Times New Roman" w:eastAsia="Times New Roman" w:hAnsi="Times New Roman" w:cs="Times New Roman"/>
        </w:rPr>
        <w:t xml:space="preserve">eds with its LBT operations or it does not. If the eNB succeeds with the LBT operation the eNB would </w:t>
      </w:r>
      <w:r w:rsidR="00C853EC">
        <w:rPr>
          <w:rFonts w:ascii="Times New Roman" w:eastAsia="Times New Roman" w:hAnsi="Times New Roman" w:cs="Times New Roman"/>
        </w:rPr>
        <w:t xml:space="preserve">transmit both EPDCCH and PDSCH. For subframes that do not require a new LBT procedure </w:t>
      </w:r>
      <w:r w:rsidR="00517CBE">
        <w:rPr>
          <w:rFonts w:ascii="Times New Roman" w:eastAsia="Times New Roman" w:hAnsi="Times New Roman" w:cs="Times New Roman"/>
        </w:rPr>
        <w:t xml:space="preserve">(not the first subframe after successful LBT) </w:t>
      </w:r>
      <w:r w:rsidR="00C853EC">
        <w:rPr>
          <w:rFonts w:ascii="Times New Roman" w:eastAsia="Times New Roman" w:hAnsi="Times New Roman" w:cs="Times New Roman"/>
        </w:rPr>
        <w:t xml:space="preserve">the eNB will simply transmit EPDCCH and PDSCH. </w:t>
      </w:r>
      <w:r w:rsidR="00F95F04">
        <w:rPr>
          <w:rFonts w:ascii="Times New Roman" w:eastAsia="Times New Roman" w:hAnsi="Times New Roman" w:cs="Times New Roman"/>
        </w:rPr>
        <w:t xml:space="preserve">The available possible starting positions for EPDCCH and PDSCH </w:t>
      </w:r>
      <w:r w:rsidR="00D82B12">
        <w:rPr>
          <w:rFonts w:ascii="Times New Roman" w:eastAsia="Times New Roman" w:hAnsi="Times New Roman" w:cs="Times New Roman"/>
        </w:rPr>
        <w:t>are</w:t>
      </w:r>
      <w:r w:rsidR="00F95F04">
        <w:rPr>
          <w:rFonts w:ascii="Times New Roman" w:eastAsia="Times New Roman" w:hAnsi="Times New Roman" w:cs="Times New Roman"/>
        </w:rPr>
        <w:t xml:space="preserve"> further discussed in </w:t>
      </w:r>
      <w:r w:rsidR="00E11DB7">
        <w:rPr>
          <w:rFonts w:ascii="Times New Roman" w:eastAsia="Times New Roman" w:hAnsi="Times New Roman" w:cs="Times New Roman"/>
        </w:rPr>
        <w:fldChar w:fldCharType="begin"/>
      </w:r>
      <w:r w:rsidR="00E11DB7">
        <w:rPr>
          <w:rFonts w:ascii="Times New Roman" w:eastAsia="Times New Roman" w:hAnsi="Times New Roman" w:cs="Times New Roman"/>
        </w:rPr>
        <w:instrText xml:space="preserve"> REF _Ref416440909 \r \h </w:instrText>
      </w:r>
      <w:r w:rsidR="00E11DB7">
        <w:rPr>
          <w:rFonts w:ascii="Times New Roman" w:eastAsia="Times New Roman" w:hAnsi="Times New Roman" w:cs="Times New Roman"/>
        </w:rPr>
      </w:r>
      <w:r w:rsidR="00E11DB7">
        <w:rPr>
          <w:rFonts w:ascii="Times New Roman" w:eastAsia="Times New Roman" w:hAnsi="Times New Roman" w:cs="Times New Roman"/>
        </w:rPr>
        <w:fldChar w:fldCharType="separate"/>
      </w:r>
      <w:r w:rsidR="004C656F">
        <w:rPr>
          <w:rFonts w:ascii="Times New Roman" w:eastAsia="Times New Roman" w:hAnsi="Times New Roman" w:cs="Times New Roman"/>
        </w:rPr>
        <w:t>[2]</w:t>
      </w:r>
      <w:r w:rsidR="00E11DB7">
        <w:rPr>
          <w:rFonts w:ascii="Times New Roman" w:eastAsia="Times New Roman" w:hAnsi="Times New Roman" w:cs="Times New Roman"/>
        </w:rPr>
        <w:fldChar w:fldCharType="end"/>
      </w:r>
      <w:r w:rsidR="0083115C">
        <w:rPr>
          <w:rFonts w:ascii="Times New Roman" w:eastAsia="Times New Roman" w:hAnsi="Times New Roman" w:cs="Times New Roman"/>
        </w:rPr>
        <w:t xml:space="preserve">. Moreover </w:t>
      </w:r>
      <w:r w:rsidR="00C853EC">
        <w:rPr>
          <w:rFonts w:ascii="Times New Roman" w:eastAsia="Times New Roman" w:hAnsi="Times New Roman" w:cs="Times New Roman"/>
        </w:rPr>
        <w:t xml:space="preserve">the PDSCH </w:t>
      </w:r>
      <w:r w:rsidR="009872EE">
        <w:rPr>
          <w:rFonts w:ascii="Times New Roman" w:eastAsia="Times New Roman" w:hAnsi="Times New Roman" w:cs="Times New Roman"/>
        </w:rPr>
        <w:t xml:space="preserve">should be allowed </w:t>
      </w:r>
      <w:r w:rsidR="00C853EC">
        <w:rPr>
          <w:rFonts w:ascii="Times New Roman" w:eastAsia="Times New Roman" w:hAnsi="Times New Roman" w:cs="Times New Roman"/>
        </w:rPr>
        <w:t>to start from the first OFDM symbol</w:t>
      </w:r>
      <w:r w:rsidR="009872EE">
        <w:rPr>
          <w:rFonts w:ascii="Times New Roman" w:eastAsia="Times New Roman" w:hAnsi="Times New Roman" w:cs="Times New Roman"/>
        </w:rPr>
        <w:t>,</w:t>
      </w:r>
      <w:r w:rsidR="00C853EC">
        <w:rPr>
          <w:rFonts w:ascii="Times New Roman" w:eastAsia="Times New Roman" w:hAnsi="Times New Roman" w:cs="Times New Roman"/>
        </w:rPr>
        <w:t xml:space="preserve"> </w:t>
      </w:r>
      <w:r w:rsidR="0083115C">
        <w:rPr>
          <w:rFonts w:ascii="Times New Roman" w:eastAsia="Times New Roman" w:hAnsi="Times New Roman" w:cs="Times New Roman"/>
        </w:rPr>
        <w:t>or with the same offset as the EPDCCH</w:t>
      </w:r>
      <w:r w:rsidR="00C853EC">
        <w:rPr>
          <w:rFonts w:ascii="Times New Roman" w:eastAsia="Times New Roman" w:hAnsi="Times New Roman" w:cs="Times New Roman"/>
        </w:rPr>
        <w:t xml:space="preserve">. </w:t>
      </w:r>
    </w:p>
    <w:p w:rsidR="00D401EE" w:rsidRDefault="00D401EE" w:rsidP="00CD61C7">
      <w:pPr>
        <w:spacing w:after="0" w:line="240" w:lineRule="auto"/>
        <w:rPr>
          <w:rFonts w:ascii="Times New Roman" w:eastAsia="Times New Roman" w:hAnsi="Times New Roman" w:cs="Times New Roman"/>
        </w:rPr>
      </w:pPr>
    </w:p>
    <w:p w:rsidR="00C853EC" w:rsidRDefault="00BE664D"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66BCEEF7" wp14:editId="79286733">
            <wp:extent cx="3096884" cy="10889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duling.emf"/>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99332" cy="1089761"/>
                    </a:xfrm>
                    <a:prstGeom prst="rect">
                      <a:avLst/>
                    </a:prstGeom>
                  </pic:spPr>
                </pic:pic>
              </a:graphicData>
            </a:graphic>
          </wp:inline>
        </w:drawing>
      </w:r>
    </w:p>
    <w:p w:rsidR="00C853EC" w:rsidRDefault="00C853EC" w:rsidP="00CD61C7">
      <w:pPr>
        <w:pStyle w:val="Caption"/>
        <w:jc w:val="center"/>
      </w:pPr>
      <w:r>
        <w:t>F</w:t>
      </w:r>
      <w:bookmarkStart w:id="4" w:name="_GoBack"/>
      <w:bookmarkEnd w:id="4"/>
      <w:r>
        <w:t xml:space="preserve">igure </w:t>
      </w:r>
      <w:r>
        <w:fldChar w:fldCharType="begin"/>
      </w:r>
      <w:r>
        <w:instrText xml:space="preserve"> SEQ Figure \* ARABIC </w:instrText>
      </w:r>
      <w:r>
        <w:fldChar w:fldCharType="separate"/>
      </w:r>
      <w:r w:rsidR="004C656F">
        <w:rPr>
          <w:noProof/>
        </w:rPr>
        <w:t>1</w:t>
      </w:r>
      <w:r>
        <w:fldChar w:fldCharType="end"/>
      </w:r>
      <w:r>
        <w:t>: DL-only LAA SCell self-scheduling</w:t>
      </w:r>
    </w:p>
    <w:p w:rsidR="00D73540" w:rsidRPr="00CD61C7" w:rsidRDefault="00C853EC" w:rsidP="00CD61C7">
      <w:pPr>
        <w:spacing w:after="0" w:line="240" w:lineRule="auto"/>
        <w:rPr>
          <w:rFonts w:ascii="Times New Roman" w:eastAsia="Times New Roman" w:hAnsi="Times New Roman" w:cs="Times New Roman"/>
          <w:b/>
        </w:rPr>
      </w:pPr>
      <w:r w:rsidRPr="00CD61C7">
        <w:rPr>
          <w:rFonts w:ascii="Times New Roman" w:eastAsia="Times New Roman" w:hAnsi="Times New Roman" w:cs="Times New Roman"/>
          <w:b/>
        </w:rPr>
        <w:t>Proposal:</w:t>
      </w:r>
    </w:p>
    <w:p w:rsidR="00C853EC" w:rsidRDefault="00C853EC" w:rsidP="00CD61C7">
      <w:pPr>
        <w:pStyle w:val="ListParagraph"/>
        <w:numPr>
          <w:ilvl w:val="0"/>
          <w:numId w:val="17"/>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For DL-only LAA SCell</w:t>
      </w:r>
      <w:r w:rsidR="009872EE">
        <w:rPr>
          <w:rFonts w:ascii="Times New Roman" w:eastAsia="Times New Roman" w:hAnsi="Times New Roman" w:cs="Times New Roman"/>
          <w:i/>
        </w:rPr>
        <w:t>,</w:t>
      </w:r>
      <w:r w:rsidRPr="00CD61C7">
        <w:rPr>
          <w:rFonts w:ascii="Times New Roman" w:eastAsia="Times New Roman" w:hAnsi="Times New Roman" w:cs="Times New Roman"/>
          <w:i/>
        </w:rPr>
        <w:t xml:space="preserve"> self-scheduling based on EPDCCH </w:t>
      </w:r>
      <w:r w:rsidR="00D22EB4">
        <w:rPr>
          <w:rFonts w:ascii="Times New Roman" w:eastAsia="Times New Roman" w:hAnsi="Times New Roman" w:cs="Times New Roman"/>
          <w:i/>
        </w:rPr>
        <w:t xml:space="preserve">is </w:t>
      </w:r>
      <w:r w:rsidRPr="00CD61C7">
        <w:rPr>
          <w:rFonts w:ascii="Times New Roman" w:eastAsia="Times New Roman" w:hAnsi="Times New Roman" w:cs="Times New Roman"/>
          <w:i/>
        </w:rPr>
        <w:t>supported</w:t>
      </w:r>
      <w:r w:rsidR="00561BDB">
        <w:rPr>
          <w:rFonts w:ascii="Times New Roman" w:eastAsia="Times New Roman" w:hAnsi="Times New Roman" w:cs="Times New Roman"/>
          <w:i/>
        </w:rPr>
        <w:t>.</w:t>
      </w:r>
    </w:p>
    <w:p w:rsidR="00D82B12" w:rsidRPr="00D82B12" w:rsidRDefault="00D82B12" w:rsidP="003360C6">
      <w:pPr>
        <w:pStyle w:val="ListParagraph"/>
        <w:spacing w:after="0" w:line="240" w:lineRule="auto"/>
        <w:rPr>
          <w:rFonts w:ascii="Times New Roman" w:eastAsia="Times New Roman" w:hAnsi="Times New Roman" w:cs="Times New Roman"/>
          <w:i/>
        </w:rPr>
      </w:pPr>
    </w:p>
    <w:p w:rsidR="00BC1425" w:rsidRDefault="00BC1425" w:rsidP="00BC142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For the case when LAA SCell operates both UL+DL, the DL </w:t>
      </w:r>
      <w:r w:rsidR="002E3D25">
        <w:rPr>
          <w:rFonts w:ascii="Times New Roman" w:eastAsia="Times New Roman" w:hAnsi="Times New Roman" w:cs="Times New Roman"/>
        </w:rPr>
        <w:t xml:space="preserve">self-carrier </w:t>
      </w:r>
      <w:r>
        <w:rPr>
          <w:rFonts w:ascii="Times New Roman" w:eastAsia="Times New Roman" w:hAnsi="Times New Roman" w:cs="Times New Roman"/>
        </w:rPr>
        <w:t xml:space="preserve">scheduling with EPDCCH approach can be reused. </w:t>
      </w:r>
      <w:r w:rsidR="00B6189F">
        <w:rPr>
          <w:rFonts w:ascii="Times New Roman" w:eastAsia="Times New Roman" w:hAnsi="Times New Roman" w:cs="Times New Roman"/>
        </w:rPr>
        <w:t xml:space="preserve">It is </w:t>
      </w:r>
      <w:r w:rsidR="00B6189F" w:rsidRPr="000E34C9">
        <w:rPr>
          <w:rFonts w:ascii="Times New Roman" w:eastAsia="Times New Roman" w:hAnsi="Times New Roman" w:cs="Times New Roman"/>
        </w:rPr>
        <w:t xml:space="preserve">shown in </w:t>
      </w:r>
      <w:r w:rsidR="000E34C9" w:rsidRPr="00654BE9">
        <w:rPr>
          <w:rFonts w:ascii="Times New Roman" w:eastAsia="Times New Roman" w:hAnsi="Times New Roman" w:cs="Times New Roman"/>
        </w:rPr>
        <w:fldChar w:fldCharType="begin"/>
      </w:r>
      <w:r w:rsidR="000E34C9" w:rsidRPr="000E34C9">
        <w:rPr>
          <w:rFonts w:ascii="Times New Roman" w:eastAsia="Times New Roman" w:hAnsi="Times New Roman" w:cs="Times New Roman"/>
        </w:rPr>
        <w:instrText xml:space="preserve"> REF _Ref419455001 \r \h </w:instrText>
      </w:r>
      <w:r w:rsidR="000E34C9">
        <w:rPr>
          <w:rFonts w:ascii="Times New Roman" w:eastAsia="Times New Roman" w:hAnsi="Times New Roman" w:cs="Times New Roman"/>
        </w:rPr>
        <w:instrText xml:space="preserve"> \* MERGEFORMAT </w:instrText>
      </w:r>
      <w:r w:rsidR="000E34C9" w:rsidRPr="00654BE9">
        <w:rPr>
          <w:rFonts w:ascii="Times New Roman" w:eastAsia="Times New Roman" w:hAnsi="Times New Roman" w:cs="Times New Roman"/>
        </w:rPr>
      </w:r>
      <w:r w:rsidR="000E34C9" w:rsidRPr="00654BE9">
        <w:rPr>
          <w:rFonts w:ascii="Times New Roman" w:eastAsia="Times New Roman" w:hAnsi="Times New Roman" w:cs="Times New Roman"/>
        </w:rPr>
        <w:fldChar w:fldCharType="separate"/>
      </w:r>
      <w:r w:rsidR="004C656F">
        <w:rPr>
          <w:rFonts w:ascii="Times New Roman" w:eastAsia="Times New Roman" w:hAnsi="Times New Roman" w:cs="Times New Roman"/>
        </w:rPr>
        <w:t>[3</w:t>
      </w:r>
      <w:proofErr w:type="gramStart"/>
      <w:r w:rsidR="004C656F">
        <w:rPr>
          <w:rFonts w:ascii="Times New Roman" w:eastAsia="Times New Roman" w:hAnsi="Times New Roman" w:cs="Times New Roman"/>
        </w:rPr>
        <w:t>]</w:t>
      </w:r>
      <w:proofErr w:type="gramEnd"/>
      <w:r w:rsidR="000E34C9" w:rsidRPr="00654BE9">
        <w:rPr>
          <w:rFonts w:ascii="Times New Roman" w:eastAsia="Times New Roman" w:hAnsi="Times New Roman" w:cs="Times New Roman"/>
        </w:rPr>
        <w:fldChar w:fldCharType="end"/>
      </w:r>
      <w:r w:rsidR="000E34C9" w:rsidRPr="00654BE9">
        <w:rPr>
          <w:rFonts w:ascii="Times New Roman" w:eastAsia="Times New Roman" w:hAnsi="Times New Roman" w:cs="Times New Roman"/>
        </w:rPr>
        <w:fldChar w:fldCharType="begin"/>
      </w:r>
      <w:r w:rsidR="000E34C9" w:rsidRPr="00654BE9">
        <w:rPr>
          <w:rFonts w:ascii="Times New Roman" w:eastAsia="Times New Roman" w:hAnsi="Times New Roman" w:cs="Times New Roman"/>
        </w:rPr>
        <w:instrText xml:space="preserve"> REF _Ref419455005 \r \h </w:instrText>
      </w:r>
      <w:r w:rsidR="000E34C9">
        <w:rPr>
          <w:rFonts w:ascii="Times New Roman" w:eastAsia="Times New Roman" w:hAnsi="Times New Roman" w:cs="Times New Roman"/>
        </w:rPr>
        <w:instrText xml:space="preserve"> \* MERGEFORMAT </w:instrText>
      </w:r>
      <w:r w:rsidR="000E34C9" w:rsidRPr="00654BE9">
        <w:rPr>
          <w:rFonts w:ascii="Times New Roman" w:eastAsia="Times New Roman" w:hAnsi="Times New Roman" w:cs="Times New Roman"/>
        </w:rPr>
      </w:r>
      <w:r w:rsidR="000E34C9" w:rsidRPr="00654BE9">
        <w:rPr>
          <w:rFonts w:ascii="Times New Roman" w:eastAsia="Times New Roman" w:hAnsi="Times New Roman" w:cs="Times New Roman"/>
        </w:rPr>
        <w:fldChar w:fldCharType="separate"/>
      </w:r>
      <w:r w:rsidR="004C656F">
        <w:rPr>
          <w:rFonts w:ascii="Times New Roman" w:eastAsia="Times New Roman" w:hAnsi="Times New Roman" w:cs="Times New Roman"/>
        </w:rPr>
        <w:t>[4]</w:t>
      </w:r>
      <w:r w:rsidR="000E34C9" w:rsidRPr="00654BE9">
        <w:rPr>
          <w:rFonts w:ascii="Times New Roman" w:eastAsia="Times New Roman" w:hAnsi="Times New Roman" w:cs="Times New Roman"/>
        </w:rPr>
        <w:fldChar w:fldCharType="end"/>
      </w:r>
      <w:r w:rsidR="000E34C9" w:rsidRPr="00654BE9">
        <w:rPr>
          <w:rFonts w:ascii="Times New Roman" w:eastAsia="Times New Roman" w:hAnsi="Times New Roman" w:cs="Times New Roman"/>
        </w:rPr>
        <w:fldChar w:fldCharType="begin"/>
      </w:r>
      <w:r w:rsidR="000E34C9" w:rsidRPr="00654BE9">
        <w:rPr>
          <w:rFonts w:ascii="Times New Roman" w:eastAsia="Times New Roman" w:hAnsi="Times New Roman" w:cs="Times New Roman"/>
        </w:rPr>
        <w:instrText xml:space="preserve"> REF _Ref419455007 \r \h </w:instrText>
      </w:r>
      <w:r w:rsidR="000E34C9">
        <w:rPr>
          <w:rFonts w:ascii="Times New Roman" w:eastAsia="Times New Roman" w:hAnsi="Times New Roman" w:cs="Times New Roman"/>
        </w:rPr>
        <w:instrText xml:space="preserve"> \* MERGEFORMAT </w:instrText>
      </w:r>
      <w:r w:rsidR="000E34C9" w:rsidRPr="00654BE9">
        <w:rPr>
          <w:rFonts w:ascii="Times New Roman" w:eastAsia="Times New Roman" w:hAnsi="Times New Roman" w:cs="Times New Roman"/>
        </w:rPr>
      </w:r>
      <w:r w:rsidR="000E34C9" w:rsidRPr="00654BE9">
        <w:rPr>
          <w:rFonts w:ascii="Times New Roman" w:eastAsia="Times New Roman" w:hAnsi="Times New Roman" w:cs="Times New Roman"/>
        </w:rPr>
        <w:fldChar w:fldCharType="separate"/>
      </w:r>
      <w:r w:rsidR="004C656F">
        <w:rPr>
          <w:rFonts w:ascii="Times New Roman" w:eastAsia="Times New Roman" w:hAnsi="Times New Roman" w:cs="Times New Roman"/>
        </w:rPr>
        <w:t>[5]</w:t>
      </w:r>
      <w:r w:rsidR="000E34C9" w:rsidRPr="00654BE9">
        <w:rPr>
          <w:rFonts w:ascii="Times New Roman" w:eastAsia="Times New Roman" w:hAnsi="Times New Roman" w:cs="Times New Roman"/>
        </w:rPr>
        <w:fldChar w:fldCharType="end"/>
      </w:r>
      <w:r w:rsidR="000E34C9" w:rsidRPr="00654BE9">
        <w:rPr>
          <w:rFonts w:ascii="Times New Roman" w:eastAsia="Times New Roman" w:hAnsi="Times New Roman" w:cs="Times New Roman"/>
        </w:rPr>
        <w:fldChar w:fldCharType="begin"/>
      </w:r>
      <w:r w:rsidR="000E34C9" w:rsidRPr="00654BE9">
        <w:rPr>
          <w:rFonts w:ascii="Times New Roman" w:eastAsia="Times New Roman" w:hAnsi="Times New Roman" w:cs="Times New Roman"/>
        </w:rPr>
        <w:instrText xml:space="preserve"> REF _Ref419455009 \r \h </w:instrText>
      </w:r>
      <w:r w:rsidR="000E34C9">
        <w:rPr>
          <w:rFonts w:ascii="Times New Roman" w:eastAsia="Times New Roman" w:hAnsi="Times New Roman" w:cs="Times New Roman"/>
        </w:rPr>
        <w:instrText xml:space="preserve"> \* MERGEFORMAT </w:instrText>
      </w:r>
      <w:r w:rsidR="000E34C9" w:rsidRPr="00654BE9">
        <w:rPr>
          <w:rFonts w:ascii="Times New Roman" w:eastAsia="Times New Roman" w:hAnsi="Times New Roman" w:cs="Times New Roman"/>
        </w:rPr>
      </w:r>
      <w:r w:rsidR="000E34C9" w:rsidRPr="00654BE9">
        <w:rPr>
          <w:rFonts w:ascii="Times New Roman" w:eastAsia="Times New Roman" w:hAnsi="Times New Roman" w:cs="Times New Roman"/>
        </w:rPr>
        <w:fldChar w:fldCharType="separate"/>
      </w:r>
      <w:r w:rsidR="004C656F">
        <w:rPr>
          <w:rFonts w:ascii="Times New Roman" w:eastAsia="Times New Roman" w:hAnsi="Times New Roman" w:cs="Times New Roman"/>
        </w:rPr>
        <w:t>[6]</w:t>
      </w:r>
      <w:r w:rsidR="000E34C9" w:rsidRPr="00654BE9">
        <w:rPr>
          <w:rFonts w:ascii="Times New Roman" w:eastAsia="Times New Roman" w:hAnsi="Times New Roman" w:cs="Times New Roman"/>
        </w:rPr>
        <w:fldChar w:fldCharType="end"/>
      </w:r>
      <w:r w:rsidR="00B6189F" w:rsidRPr="000E34C9">
        <w:rPr>
          <w:rFonts w:ascii="Times New Roman" w:eastAsia="Times New Roman" w:hAnsi="Times New Roman" w:cs="Times New Roman"/>
        </w:rPr>
        <w:t xml:space="preserve"> that</w:t>
      </w:r>
      <w:r w:rsidR="00B6189F">
        <w:rPr>
          <w:rFonts w:ascii="Times New Roman" w:eastAsia="Times New Roman" w:hAnsi="Times New Roman" w:cs="Times New Roman"/>
        </w:rPr>
        <w:t xml:space="preserve"> such a scheduling solution provides good LAA performance and can also coexist well with Wi</w:t>
      </w:r>
      <w:r w:rsidR="00D82B12">
        <w:rPr>
          <w:rFonts w:ascii="Times New Roman" w:eastAsia="Times New Roman" w:hAnsi="Times New Roman" w:cs="Times New Roman"/>
        </w:rPr>
        <w:t>-</w:t>
      </w:r>
      <w:r w:rsidR="00B6189F">
        <w:rPr>
          <w:rFonts w:ascii="Times New Roman" w:eastAsia="Times New Roman" w:hAnsi="Times New Roman" w:cs="Times New Roman"/>
        </w:rPr>
        <w:t xml:space="preserve">Fi. It is further noted that a self-scheduling solution is a solution that would scale well if the amount of carriers operated in </w:t>
      </w:r>
      <w:r w:rsidR="00D82B12">
        <w:rPr>
          <w:rFonts w:ascii="Times New Roman" w:eastAsia="Times New Roman" w:hAnsi="Times New Roman" w:cs="Times New Roman"/>
        </w:rPr>
        <w:t xml:space="preserve">the </w:t>
      </w:r>
      <w:r w:rsidR="00B6189F">
        <w:rPr>
          <w:rFonts w:ascii="Times New Roman" w:eastAsia="Times New Roman" w:hAnsi="Times New Roman" w:cs="Times New Roman"/>
        </w:rPr>
        <w:t xml:space="preserve">unlicensed spectrum </w:t>
      </w:r>
      <w:r w:rsidR="00D82B12">
        <w:rPr>
          <w:rFonts w:ascii="Times New Roman" w:eastAsia="Times New Roman" w:hAnsi="Times New Roman" w:cs="Times New Roman"/>
        </w:rPr>
        <w:t>are</w:t>
      </w:r>
      <w:r w:rsidR="00B6189F">
        <w:rPr>
          <w:rFonts w:ascii="Times New Roman" w:eastAsia="Times New Roman" w:hAnsi="Times New Roman" w:cs="Times New Roman"/>
        </w:rPr>
        <w:t xml:space="preserve"> large</w:t>
      </w:r>
      <w:r w:rsidR="00D82B12">
        <w:rPr>
          <w:rFonts w:ascii="Times New Roman" w:eastAsia="Times New Roman" w:hAnsi="Times New Roman" w:cs="Times New Roman"/>
        </w:rPr>
        <w:t>r</w:t>
      </w:r>
      <w:r w:rsidR="00B6189F">
        <w:rPr>
          <w:rFonts w:ascii="Times New Roman" w:eastAsia="Times New Roman" w:hAnsi="Times New Roman" w:cs="Times New Roman"/>
        </w:rPr>
        <w:t xml:space="preserve"> </w:t>
      </w:r>
      <w:r w:rsidR="00D82B12">
        <w:rPr>
          <w:rFonts w:ascii="Times New Roman" w:eastAsia="Times New Roman" w:hAnsi="Times New Roman" w:cs="Times New Roman"/>
        </w:rPr>
        <w:t xml:space="preserve">as </w:t>
      </w:r>
      <w:r w:rsidR="00B6189F">
        <w:rPr>
          <w:rFonts w:ascii="Times New Roman" w:eastAsia="Times New Roman" w:hAnsi="Times New Roman" w:cs="Times New Roman"/>
        </w:rPr>
        <w:t xml:space="preserve">compared </w:t>
      </w:r>
      <w:r w:rsidR="00A507A6">
        <w:rPr>
          <w:rFonts w:ascii="Times New Roman" w:eastAsia="Times New Roman" w:hAnsi="Times New Roman" w:cs="Times New Roman"/>
        </w:rPr>
        <w:t xml:space="preserve">to </w:t>
      </w:r>
      <w:r w:rsidR="00B6189F">
        <w:rPr>
          <w:rFonts w:ascii="Times New Roman" w:eastAsia="Times New Roman" w:hAnsi="Times New Roman" w:cs="Times New Roman"/>
        </w:rPr>
        <w:t xml:space="preserve">the amount of </w:t>
      </w:r>
      <w:r w:rsidR="00A507A6">
        <w:rPr>
          <w:rFonts w:ascii="Times New Roman" w:eastAsia="Times New Roman" w:hAnsi="Times New Roman" w:cs="Times New Roman"/>
        </w:rPr>
        <w:t xml:space="preserve">carriers </w:t>
      </w:r>
      <w:r w:rsidR="00B6189F">
        <w:rPr>
          <w:rFonts w:ascii="Times New Roman" w:eastAsia="Times New Roman" w:hAnsi="Times New Roman" w:cs="Times New Roman"/>
        </w:rPr>
        <w:t xml:space="preserve">in </w:t>
      </w:r>
      <w:r w:rsidR="00D82B12">
        <w:rPr>
          <w:rFonts w:ascii="Times New Roman" w:eastAsia="Times New Roman" w:hAnsi="Times New Roman" w:cs="Times New Roman"/>
        </w:rPr>
        <w:t xml:space="preserve">the </w:t>
      </w:r>
      <w:r w:rsidR="00B6189F">
        <w:rPr>
          <w:rFonts w:ascii="Times New Roman" w:eastAsia="Times New Roman" w:hAnsi="Times New Roman" w:cs="Times New Roman"/>
        </w:rPr>
        <w:t>licensed spectrum. Due to this scaling aspect</w:t>
      </w:r>
      <w:r w:rsidR="00A507A6">
        <w:rPr>
          <w:rFonts w:ascii="Times New Roman" w:eastAsia="Times New Roman" w:hAnsi="Times New Roman" w:cs="Times New Roman"/>
        </w:rPr>
        <w:t xml:space="preserve"> </w:t>
      </w:r>
      <w:r w:rsidR="00B6189F">
        <w:rPr>
          <w:rFonts w:ascii="Times New Roman" w:eastAsia="Times New Roman" w:hAnsi="Times New Roman" w:cs="Times New Roman"/>
        </w:rPr>
        <w:t>it</w:t>
      </w:r>
      <w:r w:rsidR="00A507A6">
        <w:rPr>
          <w:rFonts w:ascii="Times New Roman" w:eastAsia="Times New Roman" w:hAnsi="Times New Roman" w:cs="Times New Roman"/>
        </w:rPr>
        <w:t xml:space="preserve"> is</w:t>
      </w:r>
      <w:r w:rsidR="00B6189F">
        <w:rPr>
          <w:rFonts w:ascii="Times New Roman" w:eastAsia="Times New Roman" w:hAnsi="Times New Roman" w:cs="Times New Roman"/>
        </w:rPr>
        <w:t xml:space="preserve"> recommended that self-scheduling for UL is supported. </w:t>
      </w:r>
      <w:r w:rsidR="00665364">
        <w:rPr>
          <w:rFonts w:ascii="Times New Roman" w:eastAsia="Times New Roman" w:hAnsi="Times New Roman" w:cs="Times New Roman"/>
        </w:rPr>
        <w:t xml:space="preserve">It is however noted that it </w:t>
      </w:r>
      <w:r w:rsidR="00F95F04">
        <w:rPr>
          <w:rFonts w:ascii="Times New Roman" w:eastAsia="Times New Roman" w:hAnsi="Times New Roman" w:cs="Times New Roman"/>
        </w:rPr>
        <w:t>may</w:t>
      </w:r>
      <w:r w:rsidR="00665364">
        <w:rPr>
          <w:rFonts w:ascii="Times New Roman" w:eastAsia="Times New Roman" w:hAnsi="Times New Roman" w:cs="Times New Roman"/>
        </w:rPr>
        <w:t xml:space="preserve"> be possible to increase the performance for the LAA system by allowing cross</w:t>
      </w:r>
      <w:r w:rsidR="00A507A6">
        <w:rPr>
          <w:rFonts w:ascii="Times New Roman" w:eastAsia="Times New Roman" w:hAnsi="Times New Roman" w:cs="Times New Roman"/>
        </w:rPr>
        <w:t>-</w:t>
      </w:r>
      <w:r w:rsidR="00665364">
        <w:rPr>
          <w:rFonts w:ascii="Times New Roman" w:eastAsia="Times New Roman" w:hAnsi="Times New Roman" w:cs="Times New Roman"/>
        </w:rPr>
        <w:t xml:space="preserve">carrier scheduling </w:t>
      </w:r>
      <w:r w:rsidR="003360C6">
        <w:rPr>
          <w:rFonts w:ascii="Times New Roman" w:eastAsia="Times New Roman" w:hAnsi="Times New Roman" w:cs="Times New Roman"/>
        </w:rPr>
        <w:t xml:space="preserve">for the </w:t>
      </w:r>
      <w:r w:rsidR="00665364">
        <w:rPr>
          <w:rFonts w:ascii="Times New Roman" w:eastAsia="Times New Roman" w:hAnsi="Times New Roman" w:cs="Times New Roman"/>
        </w:rPr>
        <w:t xml:space="preserve">UL. </w:t>
      </w:r>
      <w:r w:rsidR="00F95F04">
        <w:rPr>
          <w:rFonts w:ascii="Times New Roman" w:eastAsia="Times New Roman" w:hAnsi="Times New Roman" w:cs="Times New Roman"/>
        </w:rPr>
        <w:t>Why and h</w:t>
      </w:r>
      <w:r w:rsidR="00665364">
        <w:rPr>
          <w:rFonts w:ascii="Times New Roman" w:eastAsia="Times New Roman" w:hAnsi="Times New Roman" w:cs="Times New Roman"/>
        </w:rPr>
        <w:t xml:space="preserve">ow to allow this is discussed </w:t>
      </w:r>
      <w:r w:rsidR="00F95F04">
        <w:rPr>
          <w:rFonts w:ascii="Times New Roman" w:eastAsia="Times New Roman" w:hAnsi="Times New Roman" w:cs="Times New Roman"/>
        </w:rPr>
        <w:t xml:space="preserve">in the next section </w:t>
      </w:r>
      <w:r w:rsidR="00665364">
        <w:rPr>
          <w:rFonts w:ascii="Times New Roman" w:eastAsia="Times New Roman" w:hAnsi="Times New Roman" w:cs="Times New Roman"/>
        </w:rPr>
        <w:t xml:space="preserve">below. </w:t>
      </w:r>
    </w:p>
    <w:p w:rsidR="00BC1425" w:rsidRDefault="00BC1425" w:rsidP="00BC1425">
      <w:pPr>
        <w:spacing w:after="0" w:line="240" w:lineRule="auto"/>
        <w:jc w:val="both"/>
        <w:rPr>
          <w:rFonts w:ascii="Times New Roman" w:eastAsia="Times New Roman" w:hAnsi="Times New Roman" w:cs="Times New Roman"/>
        </w:rPr>
      </w:pPr>
    </w:p>
    <w:p w:rsidR="00BC1425" w:rsidRDefault="00BC1425" w:rsidP="00BC1425">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1537313B" wp14:editId="016862C7">
            <wp:extent cx="3019245" cy="1115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1430" cy="1116662"/>
                    </a:xfrm>
                    <a:prstGeom prst="rect">
                      <a:avLst/>
                    </a:prstGeom>
                    <a:noFill/>
                  </pic:spPr>
                </pic:pic>
              </a:graphicData>
            </a:graphic>
          </wp:inline>
        </w:drawing>
      </w:r>
    </w:p>
    <w:p w:rsidR="00BC1425" w:rsidRDefault="00BC1425" w:rsidP="00BC1425">
      <w:pPr>
        <w:pStyle w:val="Caption"/>
        <w:jc w:val="center"/>
      </w:pPr>
      <w:r>
        <w:t xml:space="preserve">Figure </w:t>
      </w:r>
      <w:r>
        <w:fldChar w:fldCharType="begin"/>
      </w:r>
      <w:r>
        <w:instrText xml:space="preserve"> SEQ Figure \* ARABIC </w:instrText>
      </w:r>
      <w:r>
        <w:fldChar w:fldCharType="separate"/>
      </w:r>
      <w:r w:rsidR="004C656F">
        <w:rPr>
          <w:noProof/>
        </w:rPr>
        <w:t>2</w:t>
      </w:r>
      <w:r>
        <w:fldChar w:fldCharType="end"/>
      </w:r>
      <w:r>
        <w:t xml:space="preserve">: UL+DL LAA </w:t>
      </w:r>
      <w:proofErr w:type="spellStart"/>
      <w:r>
        <w:t>SCell</w:t>
      </w:r>
      <w:proofErr w:type="spellEnd"/>
      <w:r>
        <w:t xml:space="preserve"> self-scheduling</w:t>
      </w:r>
    </w:p>
    <w:p w:rsidR="00BC1425" w:rsidRPr="00BC1425" w:rsidRDefault="00BC1425" w:rsidP="00CD61C7">
      <w:pPr>
        <w:spacing w:after="0" w:line="240" w:lineRule="auto"/>
        <w:rPr>
          <w:rFonts w:ascii="Times New Roman" w:eastAsia="Times New Roman" w:hAnsi="Times New Roman" w:cs="Times New Roman"/>
          <w:lang w:val="en-GB"/>
        </w:rPr>
      </w:pPr>
    </w:p>
    <w:p w:rsidR="00BC1425" w:rsidRPr="00CD61C7" w:rsidRDefault="00BC1425" w:rsidP="00BC1425">
      <w:pPr>
        <w:spacing w:after="0" w:line="240" w:lineRule="auto"/>
        <w:rPr>
          <w:rFonts w:ascii="Times New Roman" w:eastAsia="Times New Roman" w:hAnsi="Times New Roman" w:cs="Times New Roman"/>
          <w:b/>
        </w:rPr>
      </w:pPr>
      <w:r w:rsidRPr="00CD61C7">
        <w:rPr>
          <w:rFonts w:ascii="Times New Roman" w:eastAsia="Times New Roman" w:hAnsi="Times New Roman" w:cs="Times New Roman"/>
          <w:b/>
        </w:rPr>
        <w:t>Proposal</w:t>
      </w:r>
    </w:p>
    <w:p w:rsidR="00BC1425" w:rsidRPr="00665364" w:rsidRDefault="00665364" w:rsidP="00665364">
      <w:pPr>
        <w:pStyle w:val="ListParagraph"/>
        <w:numPr>
          <w:ilvl w:val="0"/>
          <w:numId w:val="17"/>
        </w:numPr>
        <w:spacing w:after="0" w:line="240" w:lineRule="auto"/>
        <w:rPr>
          <w:rFonts w:ascii="Times New Roman" w:eastAsia="Times New Roman" w:hAnsi="Times New Roman" w:cs="Times New Roman"/>
        </w:rPr>
      </w:pPr>
      <w:r>
        <w:rPr>
          <w:rFonts w:ascii="Times New Roman" w:eastAsia="Times New Roman" w:hAnsi="Times New Roman" w:cs="Times New Roman"/>
          <w:i/>
        </w:rPr>
        <w:t>It is recommended that scheduling combination 1 is supported for an LAA SCell</w:t>
      </w:r>
    </w:p>
    <w:p w:rsidR="00BC1425" w:rsidRDefault="00BC1425" w:rsidP="00CD61C7">
      <w:pPr>
        <w:spacing w:after="0" w:line="240" w:lineRule="auto"/>
        <w:rPr>
          <w:rFonts w:ascii="Times New Roman" w:eastAsia="Times New Roman" w:hAnsi="Times New Roman" w:cs="Times New Roman"/>
        </w:rPr>
      </w:pPr>
    </w:p>
    <w:p w:rsidR="00BC51DA" w:rsidRDefault="00BC51DA" w:rsidP="00CD61C7">
      <w:pPr>
        <w:pStyle w:val="Heading2"/>
      </w:pPr>
      <w:r>
        <w:t>Cross-carrier scheduling</w:t>
      </w:r>
    </w:p>
    <w:p w:rsidR="000460AE" w:rsidRDefault="00D1454E" w:rsidP="00CD61C7">
      <w:pPr>
        <w:spacing w:before="120" w:after="0" w:line="240" w:lineRule="auto"/>
        <w:jc w:val="both"/>
        <w:rPr>
          <w:rFonts w:ascii="Times New Roman" w:eastAsia="Times New Roman" w:hAnsi="Times New Roman" w:cs="Times New Roman"/>
        </w:rPr>
      </w:pPr>
      <w:r>
        <w:rPr>
          <w:rFonts w:ascii="Times New Roman" w:eastAsia="Times New Roman" w:hAnsi="Times New Roman" w:cs="Times New Roman"/>
        </w:rPr>
        <w:t>Regarding</w:t>
      </w:r>
      <w:r w:rsidR="008F6EF0">
        <w:rPr>
          <w:rFonts w:ascii="Times New Roman" w:eastAsia="Times New Roman" w:hAnsi="Times New Roman" w:cs="Times New Roman"/>
        </w:rPr>
        <w:t xml:space="preserve"> </w:t>
      </w:r>
      <w:r w:rsidR="00F166F4">
        <w:rPr>
          <w:rFonts w:ascii="Times New Roman" w:eastAsia="Times New Roman" w:hAnsi="Times New Roman" w:cs="Times New Roman"/>
        </w:rPr>
        <w:t>cross-carrier</w:t>
      </w:r>
      <w:r>
        <w:rPr>
          <w:rFonts w:ascii="Times New Roman" w:eastAsia="Times New Roman" w:hAnsi="Times New Roman" w:cs="Times New Roman"/>
        </w:rPr>
        <w:t xml:space="preserve"> scheduling</w:t>
      </w:r>
      <w:r w:rsidR="00F166F4">
        <w:rPr>
          <w:rFonts w:ascii="Times New Roman" w:eastAsia="Times New Roman" w:hAnsi="Times New Roman" w:cs="Times New Roman"/>
        </w:rPr>
        <w:t>, we first ass</w:t>
      </w:r>
      <w:r w:rsidR="005812D6">
        <w:rPr>
          <w:rFonts w:ascii="Times New Roman" w:eastAsia="Times New Roman" w:hAnsi="Times New Roman" w:cs="Times New Roman"/>
        </w:rPr>
        <w:t>ume</w:t>
      </w:r>
      <w:r w:rsidR="00364D61">
        <w:rPr>
          <w:rFonts w:ascii="Times New Roman" w:eastAsia="Times New Roman" w:hAnsi="Times New Roman" w:cs="Times New Roman"/>
        </w:rPr>
        <w:t xml:space="preserve"> here</w:t>
      </w:r>
      <w:r w:rsidR="005812D6">
        <w:rPr>
          <w:rFonts w:ascii="Times New Roman" w:eastAsia="Times New Roman" w:hAnsi="Times New Roman" w:cs="Times New Roman"/>
        </w:rPr>
        <w:t xml:space="preserve"> that the LAA SCell is scheduled from a carrier</w:t>
      </w:r>
      <w:r w:rsidR="00B6189F">
        <w:rPr>
          <w:rFonts w:ascii="Times New Roman" w:eastAsia="Times New Roman" w:hAnsi="Times New Roman" w:cs="Times New Roman"/>
        </w:rPr>
        <w:t xml:space="preserve"> in</w:t>
      </w:r>
      <w:r w:rsidR="008F6EF0">
        <w:rPr>
          <w:rFonts w:ascii="Times New Roman" w:eastAsia="Times New Roman" w:hAnsi="Times New Roman" w:cs="Times New Roman"/>
        </w:rPr>
        <w:t xml:space="preserve"> </w:t>
      </w:r>
      <w:r w:rsidR="00B6189F">
        <w:rPr>
          <w:rFonts w:ascii="Times New Roman" w:eastAsia="Times New Roman" w:hAnsi="Times New Roman" w:cs="Times New Roman"/>
        </w:rPr>
        <w:t>licensed spectrum</w:t>
      </w:r>
      <w:r w:rsidR="005812D6">
        <w:rPr>
          <w:rFonts w:ascii="Times New Roman" w:eastAsia="Times New Roman" w:hAnsi="Times New Roman" w:cs="Times New Roman"/>
        </w:rPr>
        <w:t xml:space="preserve"> and further below </w:t>
      </w:r>
      <w:r w:rsidR="00364D61">
        <w:rPr>
          <w:rFonts w:ascii="Times New Roman" w:eastAsia="Times New Roman" w:hAnsi="Times New Roman" w:cs="Times New Roman"/>
        </w:rPr>
        <w:t>we</w:t>
      </w:r>
      <w:r w:rsidR="005812D6">
        <w:rPr>
          <w:rFonts w:ascii="Times New Roman" w:eastAsia="Times New Roman" w:hAnsi="Times New Roman" w:cs="Times New Roman"/>
        </w:rPr>
        <w:t xml:space="preserve"> </w:t>
      </w:r>
      <w:r w:rsidR="00364D61">
        <w:rPr>
          <w:rFonts w:ascii="Times New Roman" w:eastAsia="Times New Roman" w:hAnsi="Times New Roman" w:cs="Times New Roman"/>
        </w:rPr>
        <w:t>analyze</w:t>
      </w:r>
      <w:r w:rsidR="005812D6">
        <w:rPr>
          <w:rFonts w:ascii="Times New Roman" w:eastAsia="Times New Roman" w:hAnsi="Times New Roman" w:cs="Times New Roman"/>
        </w:rPr>
        <w:t xml:space="preserve"> if there </w:t>
      </w:r>
      <w:r w:rsidR="00CF5893">
        <w:rPr>
          <w:rFonts w:ascii="Times New Roman" w:eastAsia="Times New Roman" w:hAnsi="Times New Roman" w:cs="Times New Roman"/>
        </w:rPr>
        <w:t>are</w:t>
      </w:r>
      <w:r w:rsidR="005812D6">
        <w:rPr>
          <w:rFonts w:ascii="Times New Roman" w:eastAsia="Times New Roman" w:hAnsi="Times New Roman" w:cs="Times New Roman"/>
        </w:rPr>
        <w:t xml:space="preserve"> any additional benefits </w:t>
      </w:r>
      <w:r w:rsidR="00CF5893">
        <w:rPr>
          <w:rFonts w:ascii="Times New Roman" w:eastAsia="Times New Roman" w:hAnsi="Times New Roman" w:cs="Times New Roman"/>
        </w:rPr>
        <w:t>in</w:t>
      </w:r>
      <w:r w:rsidR="005812D6">
        <w:rPr>
          <w:rFonts w:ascii="Times New Roman" w:eastAsia="Times New Roman" w:hAnsi="Times New Roman" w:cs="Times New Roman"/>
        </w:rPr>
        <w:t xml:space="preserve"> providing the possibility for scheduling an LAA SCell from another LAA SCell. </w:t>
      </w:r>
      <w:r w:rsidR="007C1E85">
        <w:rPr>
          <w:rFonts w:ascii="Times New Roman" w:eastAsia="Times New Roman" w:hAnsi="Times New Roman" w:cs="Times New Roman"/>
        </w:rPr>
        <w:t xml:space="preserve">There are basically two different operational modes to study. The first is assuming that the PDCCH is used to schedule the LAA SCell and the second is that EPDCCH is used to schedule the LAA SCell. </w:t>
      </w:r>
    </w:p>
    <w:p w:rsidR="000460AE" w:rsidRDefault="007C1E85" w:rsidP="00CD61C7">
      <w:pPr>
        <w:spacing w:before="120"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Assuming that the PDCCH is used, there will be a </w:t>
      </w:r>
      <w:r w:rsidR="00CD61C7">
        <w:rPr>
          <w:rFonts w:ascii="Times New Roman" w:eastAsia="Times New Roman" w:hAnsi="Times New Roman" w:cs="Times New Roman"/>
        </w:rPr>
        <w:t xml:space="preserve">potential </w:t>
      </w:r>
      <w:r>
        <w:rPr>
          <w:rFonts w:ascii="Times New Roman" w:eastAsia="Times New Roman" w:hAnsi="Times New Roman" w:cs="Times New Roman"/>
        </w:rPr>
        <w:t xml:space="preserve">issue in the first </w:t>
      </w:r>
      <w:proofErr w:type="spellStart"/>
      <w:r>
        <w:rPr>
          <w:rFonts w:ascii="Times New Roman" w:eastAsia="Times New Roman" w:hAnsi="Times New Roman" w:cs="Times New Roman"/>
        </w:rPr>
        <w:t>subframe</w:t>
      </w:r>
      <w:proofErr w:type="spellEnd"/>
      <w:r>
        <w:rPr>
          <w:rFonts w:ascii="Times New Roman" w:eastAsia="Times New Roman" w:hAnsi="Times New Roman" w:cs="Times New Roman"/>
        </w:rPr>
        <w:t xml:space="preserve"> of</w:t>
      </w:r>
      <w:r w:rsidR="004C656F">
        <w:rPr>
          <w:rFonts w:ascii="Times New Roman" w:eastAsia="Times New Roman" w:hAnsi="Times New Roman" w:cs="Times New Roman"/>
        </w:rPr>
        <w:t xml:space="preserve"> the</w:t>
      </w:r>
      <w:r>
        <w:rPr>
          <w:rFonts w:ascii="Times New Roman" w:eastAsia="Times New Roman" w:hAnsi="Times New Roman" w:cs="Times New Roman"/>
        </w:rPr>
        <w:t xml:space="preserve"> </w:t>
      </w:r>
      <w:r w:rsidR="00665364">
        <w:rPr>
          <w:rFonts w:ascii="Times New Roman" w:eastAsia="Times New Roman" w:hAnsi="Times New Roman" w:cs="Times New Roman"/>
        </w:rPr>
        <w:t>transmission</w:t>
      </w:r>
      <w:r w:rsidR="00D22EB4">
        <w:rPr>
          <w:rFonts w:ascii="Times New Roman" w:eastAsia="Times New Roman" w:hAnsi="Times New Roman" w:cs="Times New Roman"/>
        </w:rPr>
        <w:t xml:space="preserve"> duration</w:t>
      </w:r>
      <w:r>
        <w:rPr>
          <w:rFonts w:ascii="Times New Roman" w:eastAsia="Times New Roman" w:hAnsi="Times New Roman" w:cs="Times New Roman"/>
        </w:rPr>
        <w:t>. The reason is that the eNB would need to transmit the PDCCH either before or at the same time as the PDSCH start</w:t>
      </w:r>
      <w:r w:rsidR="00D1454E">
        <w:rPr>
          <w:rFonts w:ascii="Times New Roman" w:eastAsia="Times New Roman" w:hAnsi="Times New Roman" w:cs="Times New Roman"/>
        </w:rPr>
        <w:t>s</w:t>
      </w:r>
      <w:r>
        <w:rPr>
          <w:rFonts w:ascii="Times New Roman" w:eastAsia="Times New Roman" w:hAnsi="Times New Roman" w:cs="Times New Roman"/>
        </w:rPr>
        <w:t xml:space="preserve"> to be transmitted towards the UE. </w:t>
      </w:r>
      <w:r w:rsidR="003D7D3E">
        <w:rPr>
          <w:rFonts w:ascii="Times New Roman" w:eastAsia="Times New Roman" w:hAnsi="Times New Roman" w:cs="Times New Roman"/>
        </w:rPr>
        <w:t xml:space="preserve">Since LBT needs to be done on </w:t>
      </w:r>
      <w:r w:rsidR="004C656F">
        <w:rPr>
          <w:rFonts w:ascii="Times New Roman" w:eastAsia="Times New Roman" w:hAnsi="Times New Roman" w:cs="Times New Roman"/>
        </w:rPr>
        <w:t xml:space="preserve">an </w:t>
      </w:r>
      <w:r w:rsidR="003D7D3E">
        <w:rPr>
          <w:rFonts w:ascii="Times New Roman" w:eastAsia="Times New Roman" w:hAnsi="Times New Roman" w:cs="Times New Roman"/>
        </w:rPr>
        <w:t xml:space="preserve">LAA </w:t>
      </w:r>
      <w:proofErr w:type="spellStart"/>
      <w:r w:rsidR="003D7D3E">
        <w:rPr>
          <w:rFonts w:ascii="Times New Roman" w:eastAsia="Times New Roman" w:hAnsi="Times New Roman" w:cs="Times New Roman"/>
        </w:rPr>
        <w:t>SCell</w:t>
      </w:r>
      <w:proofErr w:type="spellEnd"/>
      <w:r w:rsidR="003D7D3E">
        <w:rPr>
          <w:rFonts w:ascii="Times New Roman" w:eastAsia="Times New Roman" w:hAnsi="Times New Roman" w:cs="Times New Roman"/>
        </w:rPr>
        <w:t xml:space="preserve"> </w:t>
      </w:r>
      <w:r w:rsidR="008F6EF0">
        <w:rPr>
          <w:rFonts w:ascii="Times New Roman" w:eastAsia="Times New Roman" w:hAnsi="Times New Roman" w:cs="Times New Roman"/>
        </w:rPr>
        <w:t>at</w:t>
      </w:r>
      <w:r w:rsidR="003D7D3E">
        <w:rPr>
          <w:rFonts w:ascii="Times New Roman" w:eastAsia="Times New Roman" w:hAnsi="Times New Roman" w:cs="Times New Roman"/>
        </w:rPr>
        <w:t xml:space="preserve"> the beginning of the first subframe of </w:t>
      </w:r>
      <w:r w:rsidR="00D22EB4">
        <w:rPr>
          <w:rFonts w:ascii="Times New Roman" w:eastAsia="Times New Roman" w:hAnsi="Times New Roman" w:cs="Times New Roman"/>
        </w:rPr>
        <w:t xml:space="preserve">the transmission </w:t>
      </w:r>
      <w:r w:rsidR="008F6EF0">
        <w:rPr>
          <w:rFonts w:ascii="Times New Roman" w:eastAsia="Times New Roman" w:hAnsi="Times New Roman" w:cs="Times New Roman"/>
        </w:rPr>
        <w:t>burst</w:t>
      </w:r>
      <w:r w:rsidR="003D7D3E" w:rsidRPr="003D7D3E">
        <w:rPr>
          <w:rFonts w:ascii="Times New Roman" w:eastAsia="Times New Roman" w:hAnsi="Times New Roman" w:cs="Times New Roman"/>
        </w:rPr>
        <w:t xml:space="preserve">, </w:t>
      </w:r>
      <w:r w:rsidR="003D7D3E">
        <w:rPr>
          <w:rFonts w:ascii="Times New Roman" w:eastAsia="Times New Roman" w:hAnsi="Times New Roman" w:cs="Times New Roman"/>
        </w:rPr>
        <w:t xml:space="preserve">it is uncertain if PDSCH will be transmitted on </w:t>
      </w:r>
      <w:r w:rsidR="004C656F">
        <w:rPr>
          <w:rFonts w:ascii="Times New Roman" w:eastAsia="Times New Roman" w:hAnsi="Times New Roman" w:cs="Times New Roman"/>
        </w:rPr>
        <w:t xml:space="preserve">an </w:t>
      </w:r>
      <w:r w:rsidR="003D7D3E">
        <w:rPr>
          <w:rFonts w:ascii="Times New Roman" w:eastAsia="Times New Roman" w:hAnsi="Times New Roman" w:cs="Times New Roman"/>
        </w:rPr>
        <w:t xml:space="preserve">LAA </w:t>
      </w:r>
      <w:proofErr w:type="spellStart"/>
      <w:r w:rsidR="003D7D3E">
        <w:rPr>
          <w:rFonts w:ascii="Times New Roman" w:eastAsia="Times New Roman" w:hAnsi="Times New Roman" w:cs="Times New Roman"/>
        </w:rPr>
        <w:t>SCell</w:t>
      </w:r>
      <w:proofErr w:type="spellEnd"/>
      <w:r w:rsidR="003D7D3E">
        <w:rPr>
          <w:rFonts w:ascii="Times New Roman" w:eastAsia="Times New Roman" w:hAnsi="Times New Roman" w:cs="Times New Roman"/>
        </w:rPr>
        <w:t xml:space="preserve"> when PDCCH is transmitted on PCell</w:t>
      </w:r>
      <w:r w:rsidR="00591658">
        <w:rPr>
          <w:rFonts w:ascii="Times New Roman" w:eastAsia="Times New Roman" w:hAnsi="Times New Roman" w:cs="Times New Roman"/>
        </w:rPr>
        <w:t xml:space="preserve"> as shown in </w:t>
      </w:r>
      <w:r w:rsidR="00591658" w:rsidRPr="003D7D3E">
        <w:rPr>
          <w:rFonts w:ascii="Times New Roman" w:eastAsia="Times New Roman" w:hAnsi="Times New Roman" w:cs="Times New Roman"/>
        </w:rPr>
        <w:fldChar w:fldCharType="begin"/>
      </w:r>
      <w:r w:rsidR="00591658" w:rsidRPr="003D7D3E">
        <w:rPr>
          <w:rFonts w:ascii="Times New Roman" w:eastAsia="Times New Roman" w:hAnsi="Times New Roman" w:cs="Times New Roman"/>
        </w:rPr>
        <w:instrText xml:space="preserve"> REF _Ref414279467 \h </w:instrText>
      </w:r>
      <w:r w:rsidR="00591658">
        <w:rPr>
          <w:rFonts w:ascii="Times New Roman" w:eastAsia="Times New Roman" w:hAnsi="Times New Roman" w:cs="Times New Roman"/>
        </w:rPr>
        <w:instrText xml:space="preserve"> \* MERGEFORMAT </w:instrText>
      </w:r>
      <w:r w:rsidR="00591658" w:rsidRPr="003D7D3E">
        <w:rPr>
          <w:rFonts w:ascii="Times New Roman" w:eastAsia="Times New Roman" w:hAnsi="Times New Roman" w:cs="Times New Roman"/>
        </w:rPr>
      </w:r>
      <w:r w:rsidR="00591658" w:rsidRPr="003D7D3E">
        <w:rPr>
          <w:rFonts w:ascii="Times New Roman" w:eastAsia="Times New Roman" w:hAnsi="Times New Roman" w:cs="Times New Roman"/>
        </w:rPr>
        <w:fldChar w:fldCharType="separate"/>
      </w:r>
      <w:r w:rsidR="004C656F" w:rsidRPr="004765DD">
        <w:rPr>
          <w:rFonts w:ascii="Times New Roman" w:hAnsi="Times New Roman" w:cs="Times New Roman"/>
        </w:rPr>
        <w:t xml:space="preserve">Figure </w:t>
      </w:r>
      <w:r w:rsidR="004C656F" w:rsidRPr="004765DD">
        <w:rPr>
          <w:rFonts w:ascii="Times New Roman" w:hAnsi="Times New Roman" w:cs="Times New Roman"/>
          <w:noProof/>
        </w:rPr>
        <w:t>3</w:t>
      </w:r>
      <w:r w:rsidR="00591658" w:rsidRPr="003D7D3E">
        <w:rPr>
          <w:rFonts w:ascii="Times New Roman" w:eastAsia="Times New Roman" w:hAnsi="Times New Roman" w:cs="Times New Roman"/>
        </w:rPr>
        <w:fldChar w:fldCharType="end"/>
      </w:r>
      <w:r w:rsidR="003D7D3E">
        <w:rPr>
          <w:rFonts w:ascii="Times New Roman" w:eastAsia="Times New Roman" w:hAnsi="Times New Roman" w:cs="Times New Roman"/>
        </w:rPr>
        <w:t xml:space="preserve">. </w:t>
      </w:r>
      <w:r w:rsidRPr="003D7D3E">
        <w:rPr>
          <w:rFonts w:ascii="Times New Roman" w:eastAsia="Times New Roman" w:hAnsi="Times New Roman" w:cs="Times New Roman"/>
        </w:rPr>
        <w:t>The</w:t>
      </w:r>
      <w:r>
        <w:rPr>
          <w:rFonts w:ascii="Times New Roman" w:eastAsia="Times New Roman" w:hAnsi="Times New Roman" w:cs="Times New Roman"/>
        </w:rPr>
        <w:t xml:space="preserve"> PDCCH can therefore not indicate whether or not the PDSCH is actually transmitted to the UE. The UE would therefore need to blindly detect the presence of the PDSCH on the LAA SCell based </w:t>
      </w:r>
      <w:r w:rsidR="003D7D3E">
        <w:rPr>
          <w:rFonts w:ascii="Times New Roman" w:eastAsia="Times New Roman" w:hAnsi="Times New Roman" w:cs="Times New Roman"/>
        </w:rPr>
        <w:t xml:space="preserve">on </w:t>
      </w:r>
      <w:r>
        <w:rPr>
          <w:rFonts w:ascii="Times New Roman" w:eastAsia="Times New Roman" w:hAnsi="Times New Roman" w:cs="Times New Roman"/>
        </w:rPr>
        <w:t xml:space="preserve">detecting some form of signal on the LAA SCell. </w:t>
      </w:r>
    </w:p>
    <w:p w:rsidR="000460AE" w:rsidRDefault="007C1E85" w:rsidP="00670E2E">
      <w:pPr>
        <w:pStyle w:val="ListParagraph"/>
        <w:numPr>
          <w:ilvl w:val="0"/>
          <w:numId w:val="17"/>
        </w:numPr>
        <w:spacing w:before="120" w:after="0" w:line="240" w:lineRule="auto"/>
        <w:jc w:val="both"/>
        <w:rPr>
          <w:rFonts w:ascii="Times New Roman" w:eastAsia="Times New Roman" w:hAnsi="Times New Roman" w:cs="Times New Roman"/>
        </w:rPr>
      </w:pPr>
      <w:r w:rsidRPr="00670E2E">
        <w:rPr>
          <w:rFonts w:ascii="Times New Roman" w:eastAsia="Times New Roman" w:hAnsi="Times New Roman" w:cs="Times New Roman"/>
        </w:rPr>
        <w:t>A potential option to support this would be that the UE should detect the presence of the initial signal</w:t>
      </w:r>
      <w:r w:rsidR="008F6EF0">
        <w:rPr>
          <w:rFonts w:ascii="Times New Roman" w:eastAsia="Times New Roman" w:hAnsi="Times New Roman" w:cs="Times New Roman"/>
        </w:rPr>
        <w:t>.</w:t>
      </w:r>
      <w:r w:rsidRPr="00670E2E">
        <w:rPr>
          <w:rFonts w:ascii="Times New Roman" w:eastAsia="Times New Roman" w:hAnsi="Times New Roman" w:cs="Times New Roman"/>
        </w:rPr>
        <w:t xml:space="preserve"> </w:t>
      </w:r>
      <w:r w:rsidR="008F6EF0">
        <w:rPr>
          <w:rFonts w:ascii="Times New Roman" w:eastAsia="Times New Roman" w:hAnsi="Times New Roman" w:cs="Times New Roman"/>
        </w:rPr>
        <w:t>T</w:t>
      </w:r>
      <w:r w:rsidRPr="00670E2E">
        <w:rPr>
          <w:rFonts w:ascii="Times New Roman" w:eastAsia="Times New Roman" w:hAnsi="Times New Roman" w:cs="Times New Roman"/>
        </w:rPr>
        <w:t xml:space="preserve">his </w:t>
      </w:r>
      <w:r w:rsidR="008F6EF0">
        <w:rPr>
          <w:rFonts w:ascii="Times New Roman" w:eastAsia="Times New Roman" w:hAnsi="Times New Roman" w:cs="Times New Roman"/>
        </w:rPr>
        <w:t xml:space="preserve">approach </w:t>
      </w:r>
      <w:r w:rsidRPr="00670E2E">
        <w:rPr>
          <w:rFonts w:ascii="Times New Roman" w:eastAsia="Times New Roman" w:hAnsi="Times New Roman" w:cs="Times New Roman"/>
        </w:rPr>
        <w:t xml:space="preserve">would however require that the </w:t>
      </w:r>
      <w:r w:rsidR="00893256" w:rsidRPr="00670E2E">
        <w:rPr>
          <w:rFonts w:ascii="Times New Roman" w:eastAsia="Times New Roman" w:hAnsi="Times New Roman" w:cs="Times New Roman"/>
        </w:rPr>
        <w:t xml:space="preserve">duration of the </w:t>
      </w:r>
      <w:r w:rsidRPr="00670E2E">
        <w:rPr>
          <w:rFonts w:ascii="Times New Roman" w:eastAsia="Times New Roman" w:hAnsi="Times New Roman" w:cs="Times New Roman"/>
        </w:rPr>
        <w:t>initial signal is long</w:t>
      </w:r>
      <w:r w:rsidR="00893256" w:rsidRPr="00670E2E">
        <w:rPr>
          <w:rFonts w:ascii="Times New Roman" w:eastAsia="Times New Roman" w:hAnsi="Times New Roman" w:cs="Times New Roman"/>
        </w:rPr>
        <w:t xml:space="preserve"> enough</w:t>
      </w:r>
      <w:r w:rsidRPr="00670E2E">
        <w:rPr>
          <w:rFonts w:ascii="Times New Roman" w:eastAsia="Times New Roman" w:hAnsi="Times New Roman" w:cs="Times New Roman"/>
        </w:rPr>
        <w:t xml:space="preserve"> to allow a reliable detection at the UE. </w:t>
      </w:r>
    </w:p>
    <w:p w:rsidR="000460AE" w:rsidRDefault="007C1E85" w:rsidP="00670E2E">
      <w:pPr>
        <w:pStyle w:val="ListParagraph"/>
        <w:numPr>
          <w:ilvl w:val="0"/>
          <w:numId w:val="17"/>
        </w:numPr>
        <w:spacing w:before="120" w:after="0" w:line="240" w:lineRule="auto"/>
        <w:jc w:val="both"/>
        <w:rPr>
          <w:rFonts w:ascii="Times New Roman" w:eastAsia="Times New Roman" w:hAnsi="Times New Roman" w:cs="Times New Roman"/>
        </w:rPr>
      </w:pPr>
      <w:r w:rsidRPr="00670E2E">
        <w:rPr>
          <w:rFonts w:ascii="Times New Roman" w:eastAsia="Times New Roman" w:hAnsi="Times New Roman" w:cs="Times New Roman"/>
        </w:rPr>
        <w:t xml:space="preserve">Another alternative is that some signal is embedded in the beginning of the first PDSCH. </w:t>
      </w:r>
      <w:r w:rsidR="000460AE" w:rsidRPr="003810A0">
        <w:rPr>
          <w:rFonts w:ascii="Times New Roman" w:eastAsia="Times New Roman" w:hAnsi="Times New Roman" w:cs="Times New Roman"/>
        </w:rPr>
        <w:t>The UE could potentially use reference signals that are part of the subframe such as the CRS to detect the presence of the burst, but the reliability of this needs</w:t>
      </w:r>
      <w:r w:rsidR="000460AE">
        <w:rPr>
          <w:rFonts w:ascii="Times New Roman" w:eastAsia="Times New Roman" w:hAnsi="Times New Roman" w:cs="Times New Roman"/>
        </w:rPr>
        <w:t xml:space="preserve"> further study to ensure </w:t>
      </w:r>
      <w:r w:rsidR="004C656F">
        <w:rPr>
          <w:rFonts w:ascii="Times New Roman" w:eastAsia="Times New Roman" w:hAnsi="Times New Roman" w:cs="Times New Roman"/>
        </w:rPr>
        <w:t xml:space="preserve">that the UE </w:t>
      </w:r>
      <w:r w:rsidR="000460AE">
        <w:rPr>
          <w:rFonts w:ascii="Times New Roman" w:eastAsia="Times New Roman" w:hAnsi="Times New Roman" w:cs="Times New Roman"/>
        </w:rPr>
        <w:t>soft buffer is not corrupted.</w:t>
      </w:r>
    </w:p>
    <w:p w:rsidR="007C1E85" w:rsidRPr="00670E2E" w:rsidRDefault="007C1E85" w:rsidP="00670E2E">
      <w:pPr>
        <w:spacing w:before="120" w:after="0" w:line="240" w:lineRule="auto"/>
        <w:jc w:val="both"/>
        <w:rPr>
          <w:rFonts w:ascii="Times New Roman" w:eastAsia="Times New Roman" w:hAnsi="Times New Roman" w:cs="Times New Roman"/>
        </w:rPr>
      </w:pPr>
      <w:r w:rsidRPr="00670E2E">
        <w:rPr>
          <w:rFonts w:ascii="Times New Roman" w:eastAsia="Times New Roman" w:hAnsi="Times New Roman" w:cs="Times New Roman"/>
        </w:rPr>
        <w:t>The</w:t>
      </w:r>
      <w:r w:rsidR="000460AE">
        <w:rPr>
          <w:rFonts w:ascii="Times New Roman" w:eastAsia="Times New Roman" w:hAnsi="Times New Roman" w:cs="Times New Roman"/>
        </w:rPr>
        <w:t>se</w:t>
      </w:r>
      <w:r w:rsidRPr="00670E2E">
        <w:rPr>
          <w:rFonts w:ascii="Times New Roman" w:eastAsia="Times New Roman" w:hAnsi="Times New Roman" w:cs="Times New Roman"/>
        </w:rPr>
        <w:t xml:space="preserve"> two approaches have a</w:t>
      </w:r>
      <w:r w:rsidR="000460AE">
        <w:rPr>
          <w:rFonts w:ascii="Times New Roman" w:eastAsia="Times New Roman" w:hAnsi="Times New Roman" w:cs="Times New Roman"/>
        </w:rPr>
        <w:t xml:space="preserve"> common</w:t>
      </w:r>
      <w:r w:rsidRPr="00670E2E">
        <w:rPr>
          <w:rFonts w:ascii="Times New Roman" w:eastAsia="Times New Roman" w:hAnsi="Times New Roman" w:cs="Times New Roman"/>
        </w:rPr>
        <w:t xml:space="preserve"> issue with the case </w:t>
      </w:r>
      <w:r w:rsidR="00CF5893" w:rsidRPr="00670E2E">
        <w:rPr>
          <w:rFonts w:ascii="Times New Roman" w:eastAsia="Times New Roman" w:hAnsi="Times New Roman" w:cs="Times New Roman"/>
        </w:rPr>
        <w:t>where</w:t>
      </w:r>
      <w:r w:rsidRPr="00670E2E">
        <w:rPr>
          <w:rFonts w:ascii="Times New Roman" w:eastAsia="Times New Roman" w:hAnsi="Times New Roman" w:cs="Times New Roman"/>
        </w:rPr>
        <w:t xml:space="preserve"> the UE</w:t>
      </w:r>
      <w:r w:rsidR="00725801" w:rsidRPr="00670E2E">
        <w:rPr>
          <w:rFonts w:ascii="Times New Roman" w:eastAsia="Times New Roman" w:hAnsi="Times New Roman" w:cs="Times New Roman"/>
        </w:rPr>
        <w:t>’</w:t>
      </w:r>
      <w:r w:rsidRPr="00670E2E">
        <w:rPr>
          <w:rFonts w:ascii="Times New Roman" w:eastAsia="Times New Roman" w:hAnsi="Times New Roman" w:cs="Times New Roman"/>
        </w:rPr>
        <w:t xml:space="preserve">s ON duration of the DRX procedure </w:t>
      </w:r>
      <w:r w:rsidR="00D22EB4" w:rsidRPr="00670E2E">
        <w:rPr>
          <w:rFonts w:ascii="Times New Roman" w:eastAsia="Times New Roman" w:hAnsi="Times New Roman" w:cs="Times New Roman"/>
        </w:rPr>
        <w:t>are</w:t>
      </w:r>
      <w:r w:rsidRPr="00670E2E">
        <w:rPr>
          <w:rFonts w:ascii="Times New Roman" w:eastAsia="Times New Roman" w:hAnsi="Times New Roman" w:cs="Times New Roman"/>
        </w:rPr>
        <w:t xml:space="preserve"> not aligned with </w:t>
      </w:r>
      <w:r w:rsidR="00D22EB4" w:rsidRPr="00670E2E">
        <w:rPr>
          <w:rFonts w:ascii="Times New Roman" w:eastAsia="Times New Roman" w:hAnsi="Times New Roman" w:cs="Times New Roman"/>
        </w:rPr>
        <w:t>transmission</w:t>
      </w:r>
      <w:r w:rsidR="004B5767" w:rsidRPr="00670E2E">
        <w:rPr>
          <w:rFonts w:ascii="Times New Roman" w:eastAsia="Times New Roman" w:hAnsi="Times New Roman" w:cs="Times New Roman"/>
        </w:rPr>
        <w:t xml:space="preserve"> duration </w:t>
      </w:r>
      <w:r w:rsidR="008F6EF0">
        <w:rPr>
          <w:rFonts w:ascii="Times New Roman" w:eastAsia="Times New Roman" w:hAnsi="Times New Roman" w:cs="Times New Roman"/>
        </w:rPr>
        <w:t xml:space="preserve">as discussed </w:t>
      </w:r>
      <w:r w:rsidR="000E34C9">
        <w:rPr>
          <w:rFonts w:ascii="Times New Roman" w:eastAsia="Times New Roman" w:hAnsi="Times New Roman" w:cs="Times New Roman"/>
        </w:rPr>
        <w:t xml:space="preserve">in </w:t>
      </w:r>
      <w:r w:rsidR="000E34C9">
        <w:rPr>
          <w:rFonts w:ascii="Times New Roman" w:eastAsia="Times New Roman" w:hAnsi="Times New Roman" w:cs="Times New Roman"/>
        </w:rPr>
        <w:fldChar w:fldCharType="begin"/>
      </w:r>
      <w:r w:rsidR="000E34C9">
        <w:rPr>
          <w:rFonts w:ascii="Times New Roman" w:eastAsia="Times New Roman" w:hAnsi="Times New Roman" w:cs="Times New Roman"/>
        </w:rPr>
        <w:instrText xml:space="preserve"> REF _Ref419455050 \r \h </w:instrText>
      </w:r>
      <w:r w:rsidR="000E34C9">
        <w:rPr>
          <w:rFonts w:ascii="Times New Roman" w:eastAsia="Times New Roman" w:hAnsi="Times New Roman" w:cs="Times New Roman"/>
        </w:rPr>
      </w:r>
      <w:r w:rsidR="000E34C9">
        <w:rPr>
          <w:rFonts w:ascii="Times New Roman" w:eastAsia="Times New Roman" w:hAnsi="Times New Roman" w:cs="Times New Roman"/>
        </w:rPr>
        <w:fldChar w:fldCharType="separate"/>
      </w:r>
      <w:r w:rsidR="004C656F">
        <w:rPr>
          <w:rFonts w:ascii="Times New Roman" w:eastAsia="Times New Roman" w:hAnsi="Times New Roman" w:cs="Times New Roman"/>
        </w:rPr>
        <w:t>[7]</w:t>
      </w:r>
      <w:r w:rsidR="000E34C9">
        <w:rPr>
          <w:rFonts w:ascii="Times New Roman" w:eastAsia="Times New Roman" w:hAnsi="Times New Roman" w:cs="Times New Roman"/>
        </w:rPr>
        <w:fldChar w:fldCharType="end"/>
      </w:r>
      <w:r w:rsidR="000E34C9">
        <w:rPr>
          <w:rFonts w:ascii="Times New Roman" w:eastAsia="Times New Roman" w:hAnsi="Times New Roman" w:cs="Times New Roman"/>
        </w:rPr>
        <w:t xml:space="preserve"> </w:t>
      </w:r>
      <w:r w:rsidR="004B5767" w:rsidRPr="00670E2E">
        <w:rPr>
          <w:rFonts w:ascii="Times New Roman" w:eastAsia="Times New Roman" w:hAnsi="Times New Roman" w:cs="Times New Roman"/>
        </w:rPr>
        <w:t xml:space="preserve">and hence would not be preferred from this perspective. Detecting the PDSCH blindly would also require some further study if this is feasible </w:t>
      </w:r>
      <w:r w:rsidR="000460AE">
        <w:rPr>
          <w:rFonts w:ascii="Times New Roman" w:eastAsia="Times New Roman" w:hAnsi="Times New Roman" w:cs="Times New Roman"/>
        </w:rPr>
        <w:t xml:space="preserve">particularly considering </w:t>
      </w:r>
      <w:r w:rsidR="004B5767" w:rsidRPr="00670E2E">
        <w:rPr>
          <w:rFonts w:ascii="Times New Roman" w:eastAsia="Times New Roman" w:hAnsi="Times New Roman" w:cs="Times New Roman"/>
        </w:rPr>
        <w:t xml:space="preserve">a low </w:t>
      </w:r>
      <w:r w:rsidR="000460AE">
        <w:rPr>
          <w:rFonts w:ascii="Times New Roman" w:eastAsia="Times New Roman" w:hAnsi="Times New Roman" w:cs="Times New Roman"/>
        </w:rPr>
        <w:t xml:space="preserve">false alarm </w:t>
      </w:r>
      <w:r w:rsidR="004B5767" w:rsidRPr="00670E2E">
        <w:rPr>
          <w:rFonts w:ascii="Times New Roman" w:eastAsia="Times New Roman" w:hAnsi="Times New Roman" w:cs="Times New Roman"/>
        </w:rPr>
        <w:t xml:space="preserve">rate </w:t>
      </w:r>
      <w:r w:rsidR="000460AE">
        <w:rPr>
          <w:rFonts w:ascii="Times New Roman" w:eastAsia="Times New Roman" w:hAnsi="Times New Roman" w:cs="Times New Roman"/>
        </w:rPr>
        <w:t xml:space="preserve">is required </w:t>
      </w:r>
      <w:r w:rsidR="004B5767" w:rsidRPr="00670E2E">
        <w:rPr>
          <w:rFonts w:ascii="Times New Roman" w:eastAsia="Times New Roman" w:hAnsi="Times New Roman" w:cs="Times New Roman"/>
        </w:rPr>
        <w:t xml:space="preserve">to avoid corrupting the soft buffer. </w:t>
      </w:r>
    </w:p>
    <w:p w:rsidR="004B5767" w:rsidRDefault="004B5767" w:rsidP="00CD61C7">
      <w:pPr>
        <w:spacing w:after="0" w:line="240" w:lineRule="auto"/>
        <w:rPr>
          <w:rFonts w:ascii="Times New Roman" w:eastAsia="Times New Roman" w:hAnsi="Times New Roman" w:cs="Times New Roman"/>
        </w:rPr>
      </w:pPr>
    </w:p>
    <w:p w:rsidR="007C1E85" w:rsidRDefault="004B5767"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lastRenderedPageBreak/>
        <w:drawing>
          <wp:inline distT="0" distB="0" distL="0" distR="0" wp14:anchorId="4F656124" wp14:editId="7F4C9324">
            <wp:extent cx="3209026" cy="11224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2591" cy="1123650"/>
                    </a:xfrm>
                    <a:prstGeom prst="rect">
                      <a:avLst/>
                    </a:prstGeom>
                    <a:noFill/>
                  </pic:spPr>
                </pic:pic>
              </a:graphicData>
            </a:graphic>
          </wp:inline>
        </w:drawing>
      </w:r>
    </w:p>
    <w:p w:rsidR="007C1E85" w:rsidRDefault="004B5767" w:rsidP="00CD61C7">
      <w:pPr>
        <w:pStyle w:val="Caption"/>
        <w:jc w:val="center"/>
      </w:pPr>
      <w:bookmarkStart w:id="5" w:name="_Ref414279467"/>
      <w:r>
        <w:t xml:space="preserve">Figure </w:t>
      </w:r>
      <w:r>
        <w:fldChar w:fldCharType="begin"/>
      </w:r>
      <w:r>
        <w:instrText xml:space="preserve"> SEQ Figure \* ARABIC </w:instrText>
      </w:r>
      <w:r>
        <w:fldChar w:fldCharType="separate"/>
      </w:r>
      <w:r w:rsidR="004C656F">
        <w:rPr>
          <w:noProof/>
        </w:rPr>
        <w:t>3</w:t>
      </w:r>
      <w:r>
        <w:fldChar w:fldCharType="end"/>
      </w:r>
      <w:bookmarkEnd w:id="5"/>
      <w:r>
        <w:t>: DL-only LAA cross-carrier scheduling based on PDCCH</w:t>
      </w:r>
      <w:r w:rsidR="009220B3" w:rsidRPr="009220B3">
        <w:t xml:space="preserve"> </w:t>
      </w:r>
      <w:r w:rsidR="009220B3">
        <w:t>as in combination 4</w:t>
      </w:r>
    </w:p>
    <w:p w:rsidR="004B5767" w:rsidRDefault="004B5767" w:rsidP="00CD61C7">
      <w:pPr>
        <w:spacing w:after="0" w:line="240" w:lineRule="auto"/>
        <w:rPr>
          <w:rFonts w:ascii="Times New Roman" w:eastAsia="Times New Roman" w:hAnsi="Times New Roman" w:cs="Times New Roman"/>
        </w:rPr>
      </w:pPr>
    </w:p>
    <w:p w:rsidR="008B44E3" w:rsidRPr="00CD61C7" w:rsidRDefault="008B44E3" w:rsidP="00CD61C7">
      <w:pPr>
        <w:spacing w:after="0" w:line="240" w:lineRule="auto"/>
        <w:rPr>
          <w:rFonts w:ascii="Times New Roman" w:eastAsia="Times New Roman" w:hAnsi="Times New Roman" w:cs="Times New Roman"/>
          <w:b/>
        </w:rPr>
      </w:pPr>
      <w:r w:rsidRPr="00CD61C7">
        <w:rPr>
          <w:rFonts w:ascii="Times New Roman" w:eastAsia="Times New Roman" w:hAnsi="Times New Roman" w:cs="Times New Roman"/>
          <w:b/>
        </w:rPr>
        <w:t>Proposal</w:t>
      </w:r>
      <w:r w:rsidR="008F6EF0">
        <w:rPr>
          <w:rFonts w:ascii="Times New Roman" w:eastAsia="Times New Roman" w:hAnsi="Times New Roman" w:cs="Times New Roman"/>
          <w:b/>
        </w:rPr>
        <w:t>:</w:t>
      </w:r>
    </w:p>
    <w:p w:rsidR="008B44E3" w:rsidRPr="00CD61C7" w:rsidRDefault="008B44E3" w:rsidP="00CD61C7">
      <w:pPr>
        <w:pStyle w:val="ListParagraph"/>
        <w:numPr>
          <w:ilvl w:val="0"/>
          <w:numId w:val="20"/>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 xml:space="preserve">Further study is needed </w:t>
      </w:r>
      <w:r w:rsidR="00591658">
        <w:rPr>
          <w:rFonts w:ascii="Times New Roman" w:eastAsia="Times New Roman" w:hAnsi="Times New Roman" w:cs="Times New Roman"/>
          <w:i/>
        </w:rPr>
        <w:t xml:space="preserve">on </w:t>
      </w:r>
      <w:r w:rsidRPr="00CD61C7">
        <w:rPr>
          <w:rFonts w:ascii="Times New Roman" w:eastAsia="Times New Roman" w:hAnsi="Times New Roman" w:cs="Times New Roman"/>
          <w:i/>
        </w:rPr>
        <w:t>how to support DL cross-carrier schedul</w:t>
      </w:r>
      <w:r w:rsidR="008462E4">
        <w:rPr>
          <w:rFonts w:ascii="Times New Roman" w:eastAsia="Times New Roman" w:hAnsi="Times New Roman" w:cs="Times New Roman"/>
          <w:i/>
        </w:rPr>
        <w:t>ing</w:t>
      </w:r>
      <w:r w:rsidRPr="00CD61C7">
        <w:rPr>
          <w:rFonts w:ascii="Times New Roman" w:eastAsia="Times New Roman" w:hAnsi="Times New Roman" w:cs="Times New Roman"/>
          <w:i/>
        </w:rPr>
        <w:t xml:space="preserve"> from PDCCH on a carrier operating </w:t>
      </w:r>
      <w:r w:rsidR="00CD61C7">
        <w:rPr>
          <w:rFonts w:ascii="Times New Roman" w:eastAsia="Times New Roman" w:hAnsi="Times New Roman" w:cs="Times New Roman"/>
          <w:i/>
        </w:rPr>
        <w:t>in licensed spectrum</w:t>
      </w:r>
    </w:p>
    <w:p w:rsidR="008B44E3" w:rsidRDefault="008B44E3" w:rsidP="00CD61C7">
      <w:pPr>
        <w:spacing w:after="0" w:line="240" w:lineRule="auto"/>
        <w:rPr>
          <w:rFonts w:ascii="Times New Roman" w:eastAsia="Times New Roman" w:hAnsi="Times New Roman" w:cs="Times New Roman"/>
        </w:rPr>
      </w:pPr>
    </w:p>
    <w:p w:rsidR="008B44E3" w:rsidRDefault="004B5767"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continue the discussion by considering cross-carrier scheduling based on EPDCCH. For EPDCCH it </w:t>
      </w:r>
      <w:r w:rsidR="008B44E3">
        <w:rPr>
          <w:rFonts w:ascii="Times New Roman" w:eastAsia="Times New Roman" w:hAnsi="Times New Roman" w:cs="Times New Roman"/>
        </w:rPr>
        <w:t>may be</w:t>
      </w:r>
      <w:r>
        <w:rPr>
          <w:rFonts w:ascii="Times New Roman" w:eastAsia="Times New Roman" w:hAnsi="Times New Roman" w:cs="Times New Roman"/>
        </w:rPr>
        <w:t xml:space="preserve"> possible to avoid the case that</w:t>
      </w:r>
      <w:r w:rsidR="008B44E3">
        <w:rPr>
          <w:rFonts w:ascii="Times New Roman" w:eastAsia="Times New Roman" w:hAnsi="Times New Roman" w:cs="Times New Roman"/>
        </w:rPr>
        <w:t xml:space="preserve"> EPDCCH </w:t>
      </w:r>
      <w:r w:rsidR="00CA3E8A">
        <w:rPr>
          <w:rFonts w:ascii="Times New Roman" w:eastAsia="Times New Roman" w:hAnsi="Times New Roman" w:cs="Times New Roman"/>
        </w:rPr>
        <w:t>needs</w:t>
      </w:r>
      <w:r w:rsidR="008B44E3">
        <w:rPr>
          <w:rFonts w:ascii="Times New Roman" w:eastAsia="Times New Roman" w:hAnsi="Times New Roman" w:cs="Times New Roman"/>
        </w:rPr>
        <w:t xml:space="preserve"> to be provided before or at the same time as the corresponding PDSCH. This </w:t>
      </w:r>
      <w:r w:rsidR="00591658">
        <w:rPr>
          <w:rFonts w:ascii="Times New Roman" w:eastAsia="Times New Roman" w:hAnsi="Times New Roman" w:cs="Times New Roman"/>
        </w:rPr>
        <w:t>i</w:t>
      </w:r>
      <w:r w:rsidR="00851019">
        <w:rPr>
          <w:rFonts w:ascii="Times New Roman" w:eastAsia="Times New Roman" w:hAnsi="Times New Roman" w:cs="Times New Roman"/>
        </w:rPr>
        <w:t xml:space="preserve">s achieved </w:t>
      </w:r>
      <w:r w:rsidR="008B44E3">
        <w:rPr>
          <w:rFonts w:ascii="Times New Roman" w:eastAsia="Times New Roman" w:hAnsi="Times New Roman" w:cs="Times New Roman"/>
        </w:rPr>
        <w:t xml:space="preserve">by configuring the EPDCCH to start later in the subframe than the PDSCH would start on the LAA SCell. </w:t>
      </w:r>
      <w:r w:rsidR="004C656F">
        <w:rPr>
          <w:rFonts w:ascii="Times New Roman" w:eastAsia="Times New Roman" w:hAnsi="Times New Roman" w:cs="Times New Roman"/>
        </w:rPr>
        <w:t>However, t</w:t>
      </w:r>
      <w:r w:rsidR="00CD61C7">
        <w:rPr>
          <w:rFonts w:ascii="Times New Roman" w:eastAsia="Times New Roman" w:hAnsi="Times New Roman" w:cs="Times New Roman"/>
        </w:rPr>
        <w:t>his needs to be studied more, specifically to understand the corresponding eNB complexity better</w:t>
      </w:r>
      <w:r w:rsidR="008F6EF0">
        <w:rPr>
          <w:rFonts w:ascii="Times New Roman" w:eastAsia="Times New Roman" w:hAnsi="Times New Roman" w:cs="Times New Roman"/>
        </w:rPr>
        <w:t xml:space="preserve"> as discussed </w:t>
      </w:r>
      <w:r w:rsidR="008F6EF0" w:rsidRPr="000E34C9">
        <w:rPr>
          <w:rFonts w:ascii="Times New Roman" w:eastAsia="Times New Roman" w:hAnsi="Times New Roman" w:cs="Times New Roman"/>
        </w:rPr>
        <w:t xml:space="preserve">in </w:t>
      </w:r>
      <w:r w:rsidR="000E34C9" w:rsidRPr="00913A0D">
        <w:rPr>
          <w:rFonts w:ascii="Times New Roman" w:eastAsia="Times New Roman" w:hAnsi="Times New Roman" w:cs="Times New Roman"/>
        </w:rPr>
        <w:fldChar w:fldCharType="begin"/>
      </w:r>
      <w:r w:rsidR="000E34C9" w:rsidRPr="000E34C9">
        <w:rPr>
          <w:rFonts w:ascii="Times New Roman" w:eastAsia="Times New Roman" w:hAnsi="Times New Roman" w:cs="Times New Roman"/>
        </w:rPr>
        <w:instrText xml:space="preserve"> REF _Ref414111204 \r \h </w:instrText>
      </w:r>
      <w:r w:rsidR="000E34C9">
        <w:rPr>
          <w:rFonts w:ascii="Times New Roman" w:eastAsia="Times New Roman" w:hAnsi="Times New Roman" w:cs="Times New Roman"/>
        </w:rPr>
        <w:instrText xml:space="preserve"> \* MERGEFORMAT </w:instrText>
      </w:r>
      <w:r w:rsidR="000E34C9" w:rsidRPr="00913A0D">
        <w:rPr>
          <w:rFonts w:ascii="Times New Roman" w:eastAsia="Times New Roman" w:hAnsi="Times New Roman" w:cs="Times New Roman"/>
        </w:rPr>
      </w:r>
      <w:r w:rsidR="000E34C9" w:rsidRPr="00913A0D">
        <w:rPr>
          <w:rFonts w:ascii="Times New Roman" w:eastAsia="Times New Roman" w:hAnsi="Times New Roman" w:cs="Times New Roman"/>
        </w:rPr>
        <w:fldChar w:fldCharType="separate"/>
      </w:r>
      <w:r w:rsidR="000E34C9" w:rsidRPr="000E34C9">
        <w:rPr>
          <w:rFonts w:ascii="Times New Roman" w:eastAsia="Times New Roman" w:hAnsi="Times New Roman" w:cs="Times New Roman"/>
        </w:rPr>
        <w:t>[2]</w:t>
      </w:r>
      <w:r w:rsidR="000E34C9" w:rsidRPr="00913A0D">
        <w:rPr>
          <w:rFonts w:ascii="Times New Roman" w:eastAsia="Times New Roman" w:hAnsi="Times New Roman" w:cs="Times New Roman"/>
        </w:rPr>
        <w:fldChar w:fldCharType="end"/>
      </w:r>
      <w:r w:rsidR="00CD61C7" w:rsidRPr="000E34C9">
        <w:rPr>
          <w:rFonts w:ascii="Times New Roman" w:eastAsia="Times New Roman" w:hAnsi="Times New Roman" w:cs="Times New Roman"/>
        </w:rPr>
        <w:t>.</w:t>
      </w:r>
      <w:r w:rsidR="00CD61C7">
        <w:rPr>
          <w:rFonts w:ascii="Times New Roman" w:eastAsia="Times New Roman" w:hAnsi="Times New Roman" w:cs="Times New Roman"/>
        </w:rPr>
        <w:t xml:space="preserve"> </w:t>
      </w:r>
    </w:p>
    <w:p w:rsidR="008B44E3" w:rsidRDefault="008B44E3" w:rsidP="00CD61C7">
      <w:pPr>
        <w:spacing w:after="0" w:line="240" w:lineRule="auto"/>
        <w:rPr>
          <w:rFonts w:ascii="Times New Roman" w:eastAsia="Times New Roman" w:hAnsi="Times New Roman" w:cs="Times New Roman"/>
        </w:rPr>
      </w:pPr>
    </w:p>
    <w:p w:rsidR="008B44E3" w:rsidRDefault="008B44E3"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523FB522" wp14:editId="7114C399">
            <wp:extent cx="2914650" cy="1019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7105" cy="1023796"/>
                    </a:xfrm>
                    <a:prstGeom prst="rect">
                      <a:avLst/>
                    </a:prstGeom>
                    <a:noFill/>
                  </pic:spPr>
                </pic:pic>
              </a:graphicData>
            </a:graphic>
          </wp:inline>
        </w:drawing>
      </w:r>
    </w:p>
    <w:p w:rsidR="008B44E3" w:rsidRDefault="008B44E3" w:rsidP="008B44E3">
      <w:pPr>
        <w:pStyle w:val="Caption"/>
        <w:jc w:val="center"/>
      </w:pPr>
      <w:r>
        <w:t xml:space="preserve">Figure </w:t>
      </w:r>
      <w:r>
        <w:fldChar w:fldCharType="begin"/>
      </w:r>
      <w:r>
        <w:instrText xml:space="preserve"> SEQ Figure \* ARABIC </w:instrText>
      </w:r>
      <w:r>
        <w:fldChar w:fldCharType="separate"/>
      </w:r>
      <w:r w:rsidR="004C656F">
        <w:rPr>
          <w:noProof/>
        </w:rPr>
        <w:t>4</w:t>
      </w:r>
      <w:r>
        <w:fldChar w:fldCharType="end"/>
      </w:r>
      <w:r>
        <w:t>: DL-only LAA cross-carrier scheduling based on EPDCCH</w:t>
      </w:r>
      <w:r w:rsidR="009220B3">
        <w:t xml:space="preserve"> as in combination 4</w:t>
      </w:r>
    </w:p>
    <w:p w:rsidR="008B44E3" w:rsidRPr="004B26B6" w:rsidRDefault="008B44E3" w:rsidP="00CD61C7">
      <w:pPr>
        <w:pStyle w:val="Caption"/>
      </w:pPr>
      <w:r w:rsidRPr="00CD61C7">
        <w:rPr>
          <w:bCs w:val="0"/>
          <w:sz w:val="22"/>
          <w:szCs w:val="22"/>
          <w:lang w:val="en-US" w:eastAsia="en-US"/>
        </w:rPr>
        <w:t>Proposal:</w:t>
      </w:r>
    </w:p>
    <w:p w:rsidR="008B44E3" w:rsidRPr="00CD61C7" w:rsidRDefault="008B44E3" w:rsidP="00CD61C7">
      <w:pPr>
        <w:pStyle w:val="ListParagraph"/>
        <w:numPr>
          <w:ilvl w:val="0"/>
          <w:numId w:val="20"/>
        </w:numPr>
        <w:rPr>
          <w:rFonts w:ascii="Times New Roman" w:eastAsia="Times New Roman" w:hAnsi="Times New Roman" w:cs="Times New Roman"/>
          <w:i/>
        </w:rPr>
      </w:pPr>
      <w:r w:rsidRPr="00CD61C7">
        <w:rPr>
          <w:rFonts w:ascii="Times New Roman" w:eastAsia="Times New Roman" w:hAnsi="Times New Roman" w:cs="Times New Roman"/>
          <w:i/>
        </w:rPr>
        <w:t>Further study is needed to assess the complexity of  supporting DL cross-carrier scheduling based on EPDCCH</w:t>
      </w:r>
    </w:p>
    <w:p w:rsidR="00B6189F" w:rsidRDefault="00B6189F" w:rsidP="00B6189F">
      <w:pPr>
        <w:pStyle w:val="BodyText"/>
      </w:pPr>
      <w:r>
        <w:t>Many of the</w:t>
      </w:r>
      <w:r w:rsidR="00665364">
        <w:t>se</w:t>
      </w:r>
      <w:r>
        <w:t xml:space="preserve"> problems </w:t>
      </w:r>
      <w:r w:rsidR="00CA3E8A">
        <w:t xml:space="preserve">discussed above for DL cross-carrier scheduling </w:t>
      </w:r>
      <w:r>
        <w:t>are not there for UL cross</w:t>
      </w:r>
      <w:r w:rsidR="00CA3E8A">
        <w:t>-</w:t>
      </w:r>
      <w:r>
        <w:t>carrier scheduling</w:t>
      </w:r>
      <w:r w:rsidR="00F95F04">
        <w:t xml:space="preserve">. The reason for UL cross-carrier scheduling being beneficial is that if the UL is scheduled from an LAA SCell which requires DL LBT at eNB and further if it is so that the UL transmission on the UE side requires UL LBT, the actual PUSCH transmission in this case requires two successive LBT procedures. More specifically, if the probability of a successful LBT is </w:t>
      </w:r>
      <w:r w:rsidR="00F95F04" w:rsidRPr="00E14542">
        <w:rPr>
          <w:i/>
        </w:rPr>
        <w:t>p</w:t>
      </w:r>
      <w:r w:rsidR="00F95F04">
        <w:t xml:space="preserve">, the probability of a successful UL grant and a successful UL transmission is then </w:t>
      </w:r>
      <w:r w:rsidR="00F95F04" w:rsidRPr="00E14542">
        <w:rPr>
          <w:i/>
        </w:rPr>
        <w:t>p</w:t>
      </w:r>
      <w:r w:rsidR="00F95F04" w:rsidRPr="00E14542">
        <w:rPr>
          <w:vertAlign w:val="superscript"/>
        </w:rPr>
        <w:t>2</w:t>
      </w:r>
      <w:r w:rsidR="00F95F04">
        <w:t>. Therefore, the design of the DL LBT algorithms needs to take this UL factor into consideration. Extensive DL+UL LAA coexistence evaluation results are provided and discussed in</w:t>
      </w:r>
      <w:r w:rsidR="00890D6B">
        <w:t xml:space="preserve"> </w:t>
      </w:r>
      <w:r w:rsidR="00F95F04" w:rsidRPr="00913A0D">
        <w:fldChar w:fldCharType="begin"/>
      </w:r>
      <w:r w:rsidR="00F95F04" w:rsidRPr="000E34C9">
        <w:instrText xml:space="preserve"> REF _Ref419387289 \r \h </w:instrText>
      </w:r>
      <w:r w:rsidR="00890D6B" w:rsidRPr="00654BE9">
        <w:instrText xml:space="preserve"> \* MERGEFORMAT </w:instrText>
      </w:r>
      <w:r w:rsidR="004C656F">
        <w:fldChar w:fldCharType="separate"/>
      </w:r>
      <w:r w:rsidR="00F95F04" w:rsidRPr="00913A0D">
        <w:fldChar w:fldCharType="end"/>
      </w:r>
      <w:r w:rsidR="000E34C9">
        <w:fldChar w:fldCharType="begin"/>
      </w:r>
      <w:r w:rsidR="000E34C9">
        <w:instrText xml:space="preserve"> REF _Ref419455001 \r \h </w:instrText>
      </w:r>
      <w:r w:rsidR="000E34C9">
        <w:fldChar w:fldCharType="separate"/>
      </w:r>
      <w:r w:rsidR="004C656F">
        <w:t>[3</w:t>
      </w:r>
      <w:proofErr w:type="gramStart"/>
      <w:r w:rsidR="004C656F">
        <w:t>]</w:t>
      </w:r>
      <w:proofErr w:type="gramEnd"/>
      <w:r w:rsidR="000E34C9">
        <w:fldChar w:fldCharType="end"/>
      </w:r>
      <w:r w:rsidR="000E34C9">
        <w:fldChar w:fldCharType="begin"/>
      </w:r>
      <w:r w:rsidR="000E34C9">
        <w:instrText xml:space="preserve"> REF _Ref419455005 \r \h </w:instrText>
      </w:r>
      <w:r w:rsidR="000E34C9">
        <w:fldChar w:fldCharType="separate"/>
      </w:r>
      <w:r w:rsidR="004C656F">
        <w:t>[4]</w:t>
      </w:r>
      <w:r w:rsidR="000E34C9">
        <w:fldChar w:fldCharType="end"/>
      </w:r>
      <w:r w:rsidR="000E34C9">
        <w:fldChar w:fldCharType="begin"/>
      </w:r>
      <w:r w:rsidR="000E34C9">
        <w:instrText xml:space="preserve"> REF _Ref419455007 \r \h </w:instrText>
      </w:r>
      <w:r w:rsidR="000E34C9">
        <w:fldChar w:fldCharType="separate"/>
      </w:r>
      <w:r w:rsidR="004C656F">
        <w:t>[5]</w:t>
      </w:r>
      <w:r w:rsidR="000E34C9">
        <w:fldChar w:fldCharType="end"/>
      </w:r>
      <w:r w:rsidR="000E34C9">
        <w:fldChar w:fldCharType="begin"/>
      </w:r>
      <w:r w:rsidR="000E34C9">
        <w:instrText xml:space="preserve"> REF _Ref419455009 \r \h </w:instrText>
      </w:r>
      <w:r w:rsidR="000E34C9">
        <w:fldChar w:fldCharType="separate"/>
      </w:r>
      <w:r w:rsidR="004C656F">
        <w:t>[6]</w:t>
      </w:r>
      <w:r w:rsidR="000E34C9">
        <w:fldChar w:fldCharType="end"/>
      </w:r>
      <w:r w:rsidR="00F95F04" w:rsidRPr="000E34C9">
        <w:t>.</w:t>
      </w:r>
      <w:r w:rsidR="00F95F04">
        <w:t xml:space="preserve"> Consideration o</w:t>
      </w:r>
      <w:r w:rsidR="008F6EF0">
        <w:t>n</w:t>
      </w:r>
      <w:r w:rsidR="00F95F04">
        <w:t xml:space="preserve"> this fact should be taken into account when designing the channel access scheme for UL.</w:t>
      </w:r>
      <w:r w:rsidR="00CA3E8A">
        <w:t xml:space="preserve"> </w:t>
      </w:r>
      <w:r w:rsidR="00665364">
        <w:t>A</w:t>
      </w:r>
      <w:r>
        <w:t xml:space="preserve">llowing UL </w:t>
      </w:r>
      <w:r w:rsidR="00CA3E8A">
        <w:t>cross-</w:t>
      </w:r>
      <w:r>
        <w:t>carrier scheduling would remove the obstacle to force the system potentially to perform two LBT procedures in order to transmit</w:t>
      </w:r>
      <w:r w:rsidR="00665364">
        <w:t xml:space="preserve"> in the UL</w:t>
      </w:r>
      <w:r>
        <w:t xml:space="preserve">. One way of supporting this would be to combine the use case of doing self-scheduling in DL and cross-carrier scheduling in UL. This would however have some impacts on the UEs blind decodes potentially as the UE would need to search for DCI related to UL in one search space and DCI related to DL in another search space located on another carrier. </w:t>
      </w:r>
    </w:p>
    <w:p w:rsidR="00B6189F" w:rsidRPr="00CD61C7" w:rsidRDefault="00B6189F" w:rsidP="00B6189F">
      <w:pPr>
        <w:spacing w:after="0" w:line="240" w:lineRule="auto"/>
        <w:rPr>
          <w:rFonts w:ascii="Times New Roman" w:eastAsia="Times New Roman" w:hAnsi="Times New Roman" w:cs="Times New Roman"/>
          <w:b/>
        </w:rPr>
      </w:pPr>
      <w:r w:rsidRPr="00CD61C7">
        <w:rPr>
          <w:rFonts w:ascii="Times New Roman" w:eastAsia="Times New Roman" w:hAnsi="Times New Roman" w:cs="Times New Roman"/>
          <w:b/>
        </w:rPr>
        <w:t>Proposal:</w:t>
      </w:r>
    </w:p>
    <w:p w:rsidR="00665364" w:rsidRPr="00665364" w:rsidRDefault="00665364" w:rsidP="00665364">
      <w:pPr>
        <w:pStyle w:val="ListParagraph"/>
        <w:numPr>
          <w:ilvl w:val="0"/>
          <w:numId w:val="17"/>
        </w:numPr>
        <w:spacing w:after="0" w:line="240" w:lineRule="auto"/>
        <w:rPr>
          <w:rFonts w:ascii="Times New Roman" w:eastAsia="Times New Roman" w:hAnsi="Times New Roman" w:cs="Times New Roman"/>
        </w:rPr>
      </w:pPr>
      <w:r>
        <w:rPr>
          <w:rFonts w:ascii="Times New Roman" w:eastAsia="Times New Roman" w:hAnsi="Times New Roman" w:cs="Times New Roman"/>
          <w:i/>
        </w:rPr>
        <w:t xml:space="preserve">It is recommended that scheduling combination </w:t>
      </w:r>
      <w:r w:rsidR="009220B3">
        <w:rPr>
          <w:rFonts w:ascii="Times New Roman" w:eastAsia="Times New Roman" w:hAnsi="Times New Roman" w:cs="Times New Roman"/>
          <w:i/>
        </w:rPr>
        <w:t>2</w:t>
      </w:r>
      <w:r>
        <w:rPr>
          <w:rFonts w:ascii="Times New Roman" w:eastAsia="Times New Roman" w:hAnsi="Times New Roman" w:cs="Times New Roman"/>
          <w:i/>
        </w:rPr>
        <w:t xml:space="preserve"> is supported for an LAA SCell</w:t>
      </w:r>
    </w:p>
    <w:p w:rsidR="00B6189F" w:rsidRPr="00665364" w:rsidRDefault="00B6189F" w:rsidP="00B6189F">
      <w:pPr>
        <w:pStyle w:val="BodyText"/>
        <w:rPr>
          <w:lang w:val="en-US"/>
        </w:rPr>
      </w:pPr>
    </w:p>
    <w:p w:rsidR="00B6189F" w:rsidRDefault="00665364" w:rsidP="00B6189F">
      <w:pPr>
        <w:spacing w:after="0" w:line="240" w:lineRule="auto"/>
        <w:jc w:val="center"/>
        <w:rPr>
          <w:rFonts w:ascii="Times New Roman" w:eastAsia="Times New Roman" w:hAnsi="Times New Roman" w:cs="Times New Roman"/>
        </w:rPr>
      </w:pPr>
      <w:r>
        <w:rPr>
          <w:rFonts w:ascii="Times New Roman" w:eastAsia="Times New Roman" w:hAnsi="Times New Roman" w:cs="Times New Roman"/>
          <w:noProof/>
        </w:rPr>
        <w:lastRenderedPageBreak/>
        <w:drawing>
          <wp:inline distT="0" distB="0" distL="0" distR="0" wp14:anchorId="15230414" wp14:editId="7B60276A">
            <wp:extent cx="3288234" cy="1208833"/>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3904" cy="1210917"/>
                    </a:xfrm>
                    <a:prstGeom prst="rect">
                      <a:avLst/>
                    </a:prstGeom>
                    <a:noFill/>
                  </pic:spPr>
                </pic:pic>
              </a:graphicData>
            </a:graphic>
          </wp:inline>
        </w:drawing>
      </w:r>
    </w:p>
    <w:p w:rsidR="00B6189F" w:rsidRDefault="00B6189F" w:rsidP="00B6189F">
      <w:pPr>
        <w:pStyle w:val="Caption"/>
        <w:jc w:val="center"/>
      </w:pPr>
      <w:r>
        <w:t xml:space="preserve">Figure </w:t>
      </w:r>
      <w:r>
        <w:fldChar w:fldCharType="begin"/>
      </w:r>
      <w:r>
        <w:instrText xml:space="preserve"> SEQ Figure \* ARABIC </w:instrText>
      </w:r>
      <w:r>
        <w:fldChar w:fldCharType="separate"/>
      </w:r>
      <w:r w:rsidR="004C656F">
        <w:rPr>
          <w:noProof/>
        </w:rPr>
        <w:t>5</w:t>
      </w:r>
      <w:r>
        <w:fldChar w:fldCharType="end"/>
      </w:r>
      <w:r>
        <w:t xml:space="preserve">: </w:t>
      </w:r>
      <w:r w:rsidR="009220B3">
        <w:t>DL self-carrier scheduling and uplink cross-carrier s</w:t>
      </w:r>
      <w:r w:rsidR="00665364">
        <w:t xml:space="preserve">cheduling </w:t>
      </w:r>
      <w:r w:rsidR="009220B3">
        <w:t xml:space="preserve">as in </w:t>
      </w:r>
      <w:r w:rsidR="00665364">
        <w:t>comb</w:t>
      </w:r>
      <w:r w:rsidR="00136CD1">
        <w:t xml:space="preserve">ination </w:t>
      </w:r>
      <w:r w:rsidR="009220B3">
        <w:t>2</w:t>
      </w:r>
    </w:p>
    <w:p w:rsidR="001572E9" w:rsidRPr="001572E9" w:rsidRDefault="001572E9" w:rsidP="001572E9">
      <w:pPr>
        <w:pStyle w:val="Heading1"/>
      </w:pPr>
      <w:r>
        <w:t>Conclusions</w:t>
      </w:r>
    </w:p>
    <w:p w:rsidR="001572E9" w:rsidRDefault="001B746F" w:rsidP="001572E9">
      <w:pPr>
        <w:rPr>
          <w:rFonts w:ascii="Times New Roman" w:hAnsi="Times New Roman" w:cs="Times New Roman"/>
        </w:rPr>
      </w:pPr>
      <w:r w:rsidRPr="00B04133">
        <w:rPr>
          <w:rFonts w:ascii="Times New Roman" w:hAnsi="Times New Roman" w:cs="Times New Roman"/>
          <w:noProof/>
        </w:rPr>
        <w:t xml:space="preserve">In this contribution, we discussed </w:t>
      </w:r>
      <w:r w:rsidR="00F728CA">
        <w:rPr>
          <w:rFonts w:ascii="Times New Roman" w:hAnsi="Times New Roman" w:cs="Times New Roman"/>
          <w:iCs/>
        </w:rPr>
        <w:t xml:space="preserve">both self-scheduling and cross-carrier scheduling </w:t>
      </w:r>
      <w:r w:rsidR="003D02C7">
        <w:rPr>
          <w:rFonts w:ascii="Times New Roman" w:hAnsi="Times New Roman" w:cs="Times New Roman"/>
          <w:iCs/>
        </w:rPr>
        <w:t>for</w:t>
      </w:r>
      <w:r w:rsidR="00F728CA">
        <w:rPr>
          <w:rFonts w:ascii="Times New Roman" w:hAnsi="Times New Roman" w:cs="Times New Roman"/>
          <w:iCs/>
        </w:rPr>
        <w:t xml:space="preserve"> LAA</w:t>
      </w:r>
      <w:r w:rsidRPr="00B04133">
        <w:rPr>
          <w:rFonts w:ascii="Times New Roman" w:hAnsi="Times New Roman" w:cs="Times New Roman"/>
          <w:iCs/>
        </w:rPr>
        <w:t>.</w:t>
      </w:r>
      <w:r w:rsidRPr="00B04133">
        <w:rPr>
          <w:rFonts w:ascii="Times New Roman" w:hAnsi="Times New Roman" w:cs="Times New Roman"/>
        </w:rPr>
        <w:t xml:space="preserve"> The above discussion is summarized with the following proposal</w:t>
      </w:r>
      <w:r w:rsidR="00AD3897">
        <w:rPr>
          <w:rFonts w:ascii="Times New Roman" w:hAnsi="Times New Roman" w:cs="Times New Roman"/>
        </w:rPr>
        <w:t>s</w:t>
      </w:r>
      <w:r w:rsidRPr="00B04133">
        <w:rPr>
          <w:rFonts w:ascii="Times New Roman" w:hAnsi="Times New Roman" w:cs="Times New Roman"/>
        </w:rPr>
        <w:t>:</w:t>
      </w:r>
    </w:p>
    <w:p w:rsidR="00AD3897" w:rsidRDefault="00AD3897" w:rsidP="00AD3897">
      <w:pPr>
        <w:spacing w:after="0" w:line="240" w:lineRule="auto"/>
        <w:rPr>
          <w:rFonts w:ascii="Times New Roman" w:eastAsia="Times New Roman" w:hAnsi="Times New Roman" w:cs="Times New Roman"/>
          <w:b/>
        </w:rPr>
      </w:pPr>
      <w:r w:rsidRPr="002923A0">
        <w:rPr>
          <w:rFonts w:ascii="Times New Roman" w:eastAsia="Times New Roman" w:hAnsi="Times New Roman" w:cs="Times New Roman"/>
          <w:b/>
        </w:rPr>
        <w:t>Proposal:</w:t>
      </w:r>
    </w:p>
    <w:p w:rsidR="00665364" w:rsidRPr="00665364" w:rsidRDefault="00665364" w:rsidP="00665364">
      <w:pPr>
        <w:pStyle w:val="ListParagraph"/>
        <w:numPr>
          <w:ilvl w:val="0"/>
          <w:numId w:val="24"/>
        </w:numPr>
        <w:spacing w:after="0" w:line="240" w:lineRule="auto"/>
        <w:rPr>
          <w:rFonts w:ascii="Times New Roman" w:eastAsia="Times New Roman" w:hAnsi="Times New Roman" w:cs="Times New Roman"/>
        </w:rPr>
      </w:pPr>
      <w:r>
        <w:rPr>
          <w:rFonts w:ascii="Times New Roman" w:eastAsia="Times New Roman" w:hAnsi="Times New Roman" w:cs="Times New Roman"/>
          <w:i/>
        </w:rPr>
        <w:t>It is recommended that scheduling combination 1 is supported for an LAA SCell</w:t>
      </w:r>
    </w:p>
    <w:p w:rsidR="00AD3897" w:rsidRPr="00654BE9" w:rsidRDefault="00665364" w:rsidP="00665364">
      <w:pPr>
        <w:pStyle w:val="ListParagraph"/>
        <w:numPr>
          <w:ilvl w:val="0"/>
          <w:numId w:val="24"/>
        </w:numPr>
        <w:spacing w:after="0" w:line="240" w:lineRule="auto"/>
        <w:rPr>
          <w:rFonts w:ascii="Times New Roman" w:eastAsia="Times New Roman" w:hAnsi="Times New Roman" w:cs="Times New Roman"/>
        </w:rPr>
      </w:pPr>
      <w:r>
        <w:rPr>
          <w:rFonts w:ascii="Times New Roman" w:eastAsia="Times New Roman" w:hAnsi="Times New Roman" w:cs="Times New Roman"/>
          <w:i/>
        </w:rPr>
        <w:t xml:space="preserve">It is recommended that scheduling combination </w:t>
      </w:r>
      <w:r w:rsidR="009220B3">
        <w:rPr>
          <w:rFonts w:ascii="Times New Roman" w:eastAsia="Times New Roman" w:hAnsi="Times New Roman" w:cs="Times New Roman"/>
          <w:i/>
        </w:rPr>
        <w:t>2</w:t>
      </w:r>
      <w:r>
        <w:rPr>
          <w:rFonts w:ascii="Times New Roman" w:eastAsia="Times New Roman" w:hAnsi="Times New Roman" w:cs="Times New Roman"/>
          <w:i/>
        </w:rPr>
        <w:t xml:space="preserve"> is supported for an LAA SCell</w:t>
      </w:r>
    </w:p>
    <w:p w:rsidR="00403D49" w:rsidRDefault="00403D49" w:rsidP="004765DD">
      <w:pPr>
        <w:pStyle w:val="ListParagraph"/>
        <w:numPr>
          <w:ilvl w:val="0"/>
          <w:numId w:val="24"/>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For DL-only LAA SCell</w:t>
      </w:r>
      <w:r>
        <w:rPr>
          <w:rFonts w:ascii="Times New Roman" w:eastAsia="Times New Roman" w:hAnsi="Times New Roman" w:cs="Times New Roman"/>
          <w:i/>
        </w:rPr>
        <w:t>,</w:t>
      </w:r>
      <w:r w:rsidRPr="00CD61C7">
        <w:rPr>
          <w:rFonts w:ascii="Times New Roman" w:eastAsia="Times New Roman" w:hAnsi="Times New Roman" w:cs="Times New Roman"/>
          <w:i/>
        </w:rPr>
        <w:t xml:space="preserve"> self-scheduling based on EPDCCH </w:t>
      </w:r>
      <w:r>
        <w:rPr>
          <w:rFonts w:ascii="Times New Roman" w:eastAsia="Times New Roman" w:hAnsi="Times New Roman" w:cs="Times New Roman"/>
          <w:i/>
        </w:rPr>
        <w:t xml:space="preserve">is </w:t>
      </w:r>
      <w:r w:rsidRPr="00CD61C7">
        <w:rPr>
          <w:rFonts w:ascii="Times New Roman" w:eastAsia="Times New Roman" w:hAnsi="Times New Roman" w:cs="Times New Roman"/>
          <w:i/>
        </w:rPr>
        <w:t>supported</w:t>
      </w:r>
      <w:r>
        <w:rPr>
          <w:rFonts w:ascii="Times New Roman" w:eastAsia="Times New Roman" w:hAnsi="Times New Roman" w:cs="Times New Roman"/>
          <w:i/>
        </w:rPr>
        <w:t>.</w:t>
      </w:r>
    </w:p>
    <w:p w:rsidR="00665364" w:rsidRPr="00654BE9" w:rsidRDefault="00665364" w:rsidP="00665364">
      <w:pPr>
        <w:pStyle w:val="ListParagraph"/>
        <w:numPr>
          <w:ilvl w:val="0"/>
          <w:numId w:val="24"/>
        </w:numPr>
        <w:spacing w:after="0" w:line="240" w:lineRule="auto"/>
        <w:rPr>
          <w:rFonts w:ascii="Times New Roman" w:eastAsia="Times New Roman" w:hAnsi="Times New Roman" w:cs="Times New Roman"/>
        </w:rPr>
      </w:pPr>
      <w:r>
        <w:rPr>
          <w:rFonts w:ascii="Times New Roman" w:eastAsia="Times New Roman" w:hAnsi="Times New Roman" w:cs="Times New Roman"/>
          <w:i/>
        </w:rPr>
        <w:t xml:space="preserve">Further study is needed how to support scheduling combination </w:t>
      </w:r>
      <w:r w:rsidR="009220B3">
        <w:rPr>
          <w:rFonts w:ascii="Times New Roman" w:eastAsia="Times New Roman" w:hAnsi="Times New Roman" w:cs="Times New Roman"/>
          <w:i/>
        </w:rPr>
        <w:t>4</w:t>
      </w:r>
      <w:r>
        <w:rPr>
          <w:rFonts w:ascii="Times New Roman" w:eastAsia="Times New Roman" w:hAnsi="Times New Roman" w:cs="Times New Roman"/>
          <w:i/>
        </w:rPr>
        <w:t xml:space="preserve"> in particular </w:t>
      </w:r>
      <w:r w:rsidR="00913A0D">
        <w:rPr>
          <w:rFonts w:ascii="Times New Roman" w:eastAsia="Times New Roman" w:hAnsi="Times New Roman" w:cs="Times New Roman"/>
          <w:i/>
        </w:rPr>
        <w:t>for the following cases:</w:t>
      </w:r>
    </w:p>
    <w:p w:rsidR="009220B3" w:rsidRPr="00654BE9" w:rsidRDefault="00913A0D" w:rsidP="00654BE9">
      <w:pPr>
        <w:pStyle w:val="ListParagraph"/>
        <w:numPr>
          <w:ilvl w:val="1"/>
          <w:numId w:val="24"/>
        </w:numPr>
        <w:spacing w:after="0" w:line="240" w:lineRule="auto"/>
        <w:rPr>
          <w:rFonts w:ascii="Times New Roman" w:eastAsia="Times New Roman" w:hAnsi="Times New Roman" w:cs="Times New Roman"/>
        </w:rPr>
      </w:pPr>
      <w:r>
        <w:rPr>
          <w:rFonts w:ascii="Times New Roman" w:eastAsia="Times New Roman" w:hAnsi="Times New Roman" w:cs="Times New Roman"/>
          <w:i/>
        </w:rPr>
        <w:t>H</w:t>
      </w:r>
      <w:r w:rsidR="009220B3" w:rsidRPr="00CD61C7">
        <w:rPr>
          <w:rFonts w:ascii="Times New Roman" w:eastAsia="Times New Roman" w:hAnsi="Times New Roman" w:cs="Times New Roman"/>
          <w:i/>
        </w:rPr>
        <w:t>ow to support DL cross-carrier schedul</w:t>
      </w:r>
      <w:r w:rsidR="009220B3">
        <w:rPr>
          <w:rFonts w:ascii="Times New Roman" w:eastAsia="Times New Roman" w:hAnsi="Times New Roman" w:cs="Times New Roman"/>
          <w:i/>
        </w:rPr>
        <w:t>ing</w:t>
      </w:r>
      <w:r w:rsidR="009220B3" w:rsidRPr="00CD61C7">
        <w:rPr>
          <w:rFonts w:ascii="Times New Roman" w:eastAsia="Times New Roman" w:hAnsi="Times New Roman" w:cs="Times New Roman"/>
          <w:i/>
        </w:rPr>
        <w:t xml:space="preserve"> from PDCCH on a carrier operating </w:t>
      </w:r>
      <w:r w:rsidR="009220B3">
        <w:rPr>
          <w:rFonts w:ascii="Times New Roman" w:eastAsia="Times New Roman" w:hAnsi="Times New Roman" w:cs="Times New Roman"/>
          <w:i/>
        </w:rPr>
        <w:t>in licensed spectrum</w:t>
      </w:r>
    </w:p>
    <w:p w:rsidR="009220B3" w:rsidRPr="00654BE9" w:rsidRDefault="00913A0D" w:rsidP="00654BE9">
      <w:pPr>
        <w:pStyle w:val="ListParagraph"/>
        <w:numPr>
          <w:ilvl w:val="1"/>
          <w:numId w:val="24"/>
        </w:numPr>
        <w:rPr>
          <w:rFonts w:ascii="Times New Roman" w:eastAsia="Times New Roman" w:hAnsi="Times New Roman" w:cs="Times New Roman"/>
        </w:rPr>
      </w:pPr>
      <w:r>
        <w:rPr>
          <w:rFonts w:ascii="Times New Roman" w:eastAsia="Times New Roman" w:hAnsi="Times New Roman" w:cs="Times New Roman"/>
          <w:i/>
        </w:rPr>
        <w:t xml:space="preserve">How and whether to </w:t>
      </w:r>
      <w:r w:rsidR="009220B3" w:rsidRPr="00CD61C7">
        <w:rPr>
          <w:rFonts w:ascii="Times New Roman" w:eastAsia="Times New Roman" w:hAnsi="Times New Roman" w:cs="Times New Roman"/>
          <w:i/>
        </w:rPr>
        <w:t>support DL cross-carrier scheduling based on EPDCCH</w:t>
      </w:r>
    </w:p>
    <w:p w:rsidR="002F01B6" w:rsidRPr="00D2102F" w:rsidRDefault="00B04133" w:rsidP="00D2102F">
      <w:pPr>
        <w:pStyle w:val="Heading1"/>
        <w:rPr>
          <w:lang w:val="en-US"/>
        </w:rPr>
      </w:pPr>
      <w:r w:rsidRPr="00A742FA">
        <w:rPr>
          <w:lang w:val="en-US"/>
        </w:rPr>
        <w:t>Reference</w:t>
      </w:r>
      <w:r>
        <w:rPr>
          <w:lang w:val="en-US"/>
        </w:rPr>
        <w:t>s</w:t>
      </w:r>
      <w:bookmarkStart w:id="6" w:name="_Ref363567898"/>
      <w:bookmarkStart w:id="7" w:name="_Ref367350341"/>
      <w:bookmarkStart w:id="8" w:name="_Ref370111837"/>
      <w:bookmarkStart w:id="9" w:name="_Ref370203071"/>
      <w:bookmarkStart w:id="10" w:name="_Ref377571746"/>
      <w:bookmarkStart w:id="11" w:name="_Ref386564944"/>
      <w:bookmarkStart w:id="12" w:name="_Ref386565146"/>
      <w:bookmarkStart w:id="13" w:name="_Ref395083208"/>
    </w:p>
    <w:p w:rsidR="004C656F" w:rsidRDefault="002E3D25" w:rsidP="00670E2E">
      <w:pPr>
        <w:pStyle w:val="Reference"/>
      </w:pPr>
      <w:bookmarkStart w:id="14" w:name="_Ref419322666"/>
      <w:bookmarkStart w:id="15" w:name="_Ref416440899"/>
      <w:bookmarkStart w:id="16" w:name="_Ref409516346"/>
      <w:bookmarkStart w:id="17" w:name="_Ref413672092"/>
      <w:r w:rsidRPr="000A6400">
        <w:t>Chairman’s notes, 3GPP RAN WG1</w:t>
      </w:r>
      <w:r w:rsidRPr="00D8207C">
        <w:t>#80BIS</w:t>
      </w:r>
      <w:bookmarkStart w:id="18" w:name="_Ref414111204"/>
      <w:bookmarkEnd w:id="6"/>
      <w:bookmarkEnd w:id="7"/>
      <w:bookmarkEnd w:id="8"/>
      <w:bookmarkEnd w:id="9"/>
      <w:bookmarkEnd w:id="10"/>
      <w:bookmarkEnd w:id="11"/>
      <w:bookmarkEnd w:id="12"/>
      <w:bookmarkEnd w:id="13"/>
      <w:bookmarkEnd w:id="14"/>
      <w:bookmarkEnd w:id="15"/>
      <w:bookmarkEnd w:id="16"/>
      <w:bookmarkEnd w:id="17"/>
    </w:p>
    <w:p w:rsidR="009165ED" w:rsidRPr="00654BE9" w:rsidRDefault="00C853EC" w:rsidP="00670E2E">
      <w:pPr>
        <w:pStyle w:val="Reference"/>
      </w:pPr>
      <w:r w:rsidRPr="00D97E4F">
        <w:rPr>
          <w:lang w:val="en-US"/>
        </w:rPr>
        <w:t>R1-15</w:t>
      </w:r>
      <w:r w:rsidR="00A65162" w:rsidRPr="00654BE9">
        <w:rPr>
          <w:lang w:val="en-US"/>
        </w:rPr>
        <w:t>3133</w:t>
      </w:r>
      <w:r w:rsidRPr="00670E2E">
        <w:rPr>
          <w:lang w:val="en-US"/>
        </w:rPr>
        <w:t xml:space="preserve"> </w:t>
      </w:r>
      <w:r w:rsidR="001E275C">
        <w:rPr>
          <w:lang w:val="en-US"/>
        </w:rPr>
        <w:tab/>
      </w:r>
      <w:r w:rsidR="00F95F04">
        <w:t>On Support of Multiple DL Data Transmission Starting Points</w:t>
      </w:r>
      <w:r w:rsidRPr="00670E2E">
        <w:rPr>
          <w:lang w:val="en-US"/>
        </w:rPr>
        <w:t>, Ericsson</w:t>
      </w:r>
      <w:bookmarkStart w:id="19" w:name="_Ref416440909"/>
      <w:bookmarkEnd w:id="18"/>
      <w:bookmarkEnd w:id="19"/>
    </w:p>
    <w:p w:rsidR="001E275C" w:rsidRDefault="001E275C" w:rsidP="001E275C">
      <w:pPr>
        <w:pStyle w:val="Reference"/>
      </w:pPr>
      <w:bookmarkStart w:id="20" w:name="_Ref419455001"/>
      <w:r>
        <w:t>R1-153125</w:t>
      </w:r>
      <w:r>
        <w:tab/>
      </w:r>
      <w:r w:rsidRPr="001E275C">
        <w:t>Coexistence Evaluation Results for Wi-Fi and DL+UL LAA with fast UL LBT</w:t>
      </w:r>
      <w:r>
        <w:t>, Ericsson</w:t>
      </w:r>
      <w:bookmarkEnd w:id="20"/>
    </w:p>
    <w:p w:rsidR="00890D6B" w:rsidRDefault="001E275C" w:rsidP="001E275C">
      <w:pPr>
        <w:pStyle w:val="Reference"/>
      </w:pPr>
      <w:bookmarkStart w:id="21" w:name="_Ref419455005"/>
      <w:r>
        <w:t>R1-153126</w:t>
      </w:r>
      <w:r>
        <w:tab/>
      </w:r>
      <w:r w:rsidRPr="001E275C">
        <w:t>Coexistence Evaluation Results for DL+UL LAA with Cat 1 UL LBT</w:t>
      </w:r>
      <w:r>
        <w:t>, Ericsson</w:t>
      </w:r>
      <w:bookmarkEnd w:id="21"/>
    </w:p>
    <w:p w:rsidR="001E275C" w:rsidRDefault="001E275C" w:rsidP="001E275C">
      <w:pPr>
        <w:pStyle w:val="Reference"/>
      </w:pPr>
      <w:bookmarkStart w:id="22" w:name="_Ref419455007"/>
      <w:r>
        <w:t>R1-153128</w:t>
      </w:r>
      <w:r>
        <w:tab/>
      </w:r>
      <w:r w:rsidRPr="001E275C">
        <w:t>Coexistence Evaluation Results for DL+UL LAA with Cat 3 UL LBT</w:t>
      </w:r>
      <w:r>
        <w:t>, Ericsson</w:t>
      </w:r>
      <w:bookmarkEnd w:id="22"/>
    </w:p>
    <w:p w:rsidR="001E275C" w:rsidRDefault="001E275C" w:rsidP="001E275C">
      <w:pPr>
        <w:pStyle w:val="Reference"/>
      </w:pPr>
      <w:bookmarkStart w:id="23" w:name="_Ref419455009"/>
      <w:r>
        <w:t>R1-153129</w:t>
      </w:r>
      <w:r>
        <w:tab/>
      </w:r>
      <w:r w:rsidRPr="001E275C">
        <w:t>Coexistence Evaluation Results for DL+UL LAA with Cat 4 UL LBT</w:t>
      </w:r>
      <w:r>
        <w:t>, Ericsson</w:t>
      </w:r>
      <w:bookmarkEnd w:id="23"/>
    </w:p>
    <w:p w:rsidR="004E02D5" w:rsidRPr="00654BE9" w:rsidRDefault="004E02D5" w:rsidP="00670E2E">
      <w:pPr>
        <w:pStyle w:val="Reference"/>
      </w:pPr>
      <w:bookmarkStart w:id="24" w:name="_Ref419455050"/>
      <w:r>
        <w:rPr>
          <w:lang w:val="en-US"/>
        </w:rPr>
        <w:t>R1-153132</w:t>
      </w:r>
      <w:r>
        <w:rPr>
          <w:lang w:val="en-US"/>
        </w:rPr>
        <w:tab/>
        <w:t>On Dynamic DL/UL Scheduling, Ericsson</w:t>
      </w:r>
      <w:bookmarkEnd w:id="24"/>
    </w:p>
    <w:p w:rsidR="000E34C9" w:rsidRPr="00654BE9" w:rsidRDefault="000E34C9" w:rsidP="000E34C9">
      <w:pPr>
        <w:pStyle w:val="Reference"/>
      </w:pPr>
      <w:bookmarkStart w:id="25" w:name="_Ref419455269"/>
      <w:r>
        <w:t>R1-153116</w:t>
      </w:r>
      <w:r>
        <w:tab/>
      </w:r>
      <w:r w:rsidRPr="000E34C9">
        <w:t>Discussion on parameter setting for DL LBT</w:t>
      </w:r>
      <w:r>
        <w:t>, Ericsson</w:t>
      </w:r>
      <w:bookmarkEnd w:id="25"/>
    </w:p>
    <w:p w:rsidR="002E3D25" w:rsidRDefault="002E3D25">
      <w:pPr>
        <w:pStyle w:val="Reference"/>
      </w:pPr>
      <w:r>
        <w:t xml:space="preserve">R1-152002 </w:t>
      </w:r>
      <w:r w:rsidR="001E275C">
        <w:tab/>
      </w:r>
      <w:r w:rsidRPr="00262E7B">
        <w:t>On Scheduling in LAA with Downlink and Uplink Transmissions</w:t>
      </w:r>
      <w:r>
        <w:t>, Ericsson</w:t>
      </w:r>
    </w:p>
    <w:sectPr w:rsidR="002E3D25"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037025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8">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4188"/>
    <w:multiLevelType w:val="hybridMultilevel"/>
    <w:tmpl w:val="C1BE3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BF36F2"/>
    <w:multiLevelType w:val="hybridMultilevel"/>
    <w:tmpl w:val="9D28B9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D3763BD"/>
    <w:multiLevelType w:val="hybridMultilevel"/>
    <w:tmpl w:val="4162D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6">
    <w:nsid w:val="6B501F8A"/>
    <w:multiLevelType w:val="hybridMultilevel"/>
    <w:tmpl w:val="54001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20">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4"/>
  </w:num>
  <w:num w:numId="5">
    <w:abstractNumId w:val="17"/>
  </w:num>
  <w:num w:numId="6">
    <w:abstractNumId w:val="20"/>
  </w:num>
  <w:num w:numId="7">
    <w:abstractNumId w:val="0"/>
  </w:num>
  <w:num w:numId="8">
    <w:abstractNumId w:val="3"/>
  </w:num>
  <w:num w:numId="9">
    <w:abstractNumId w:val="2"/>
  </w:num>
  <w:num w:numId="10">
    <w:abstractNumId w:val="19"/>
  </w:num>
  <w:num w:numId="11">
    <w:abstractNumId w:val="18"/>
  </w:num>
  <w:num w:numId="12">
    <w:abstractNumId w:val="7"/>
  </w:num>
  <w:num w:numId="13">
    <w:abstractNumId w:val="12"/>
  </w:num>
  <w:num w:numId="14">
    <w:abstractNumId w:val="1"/>
  </w:num>
  <w:num w:numId="15">
    <w:abstractNumId w:val="1"/>
  </w:num>
  <w:num w:numId="16">
    <w:abstractNumId w:val="1"/>
  </w:num>
  <w:num w:numId="17">
    <w:abstractNumId w:val="16"/>
  </w:num>
  <w:num w:numId="18">
    <w:abstractNumId w:val="15"/>
  </w:num>
  <w:num w:numId="19">
    <w:abstractNumId w:val="8"/>
  </w:num>
  <w:num w:numId="20">
    <w:abstractNumId w:val="10"/>
  </w:num>
  <w:num w:numId="21">
    <w:abstractNumId w:val="9"/>
  </w:num>
  <w:num w:numId="22">
    <w:abstractNumId w:val="5"/>
  </w:num>
  <w:num w:numId="23">
    <w:abstractNumId w:val="14"/>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17B0"/>
    <w:rsid w:val="00025810"/>
    <w:rsid w:val="00030673"/>
    <w:rsid w:val="0003302C"/>
    <w:rsid w:val="000460AE"/>
    <w:rsid w:val="00057504"/>
    <w:rsid w:val="00061479"/>
    <w:rsid w:val="00063E53"/>
    <w:rsid w:val="000856C4"/>
    <w:rsid w:val="0009453A"/>
    <w:rsid w:val="000A3D9A"/>
    <w:rsid w:val="000C396E"/>
    <w:rsid w:val="000D1B56"/>
    <w:rsid w:val="000D76C9"/>
    <w:rsid w:val="000E34C9"/>
    <w:rsid w:val="000F1467"/>
    <w:rsid w:val="000F76DB"/>
    <w:rsid w:val="0011282E"/>
    <w:rsid w:val="001236DF"/>
    <w:rsid w:val="00125144"/>
    <w:rsid w:val="00134947"/>
    <w:rsid w:val="00136CD1"/>
    <w:rsid w:val="001572E9"/>
    <w:rsid w:val="001715F3"/>
    <w:rsid w:val="00173267"/>
    <w:rsid w:val="001809B2"/>
    <w:rsid w:val="00191696"/>
    <w:rsid w:val="00197A78"/>
    <w:rsid w:val="001A54F7"/>
    <w:rsid w:val="001B746F"/>
    <w:rsid w:val="001E275C"/>
    <w:rsid w:val="001E34C7"/>
    <w:rsid w:val="001F1C68"/>
    <w:rsid w:val="002204F5"/>
    <w:rsid w:val="00222FD0"/>
    <w:rsid w:val="0022313F"/>
    <w:rsid w:val="002573BC"/>
    <w:rsid w:val="00262E7B"/>
    <w:rsid w:val="0028294E"/>
    <w:rsid w:val="002A46AF"/>
    <w:rsid w:val="002B1C81"/>
    <w:rsid w:val="002D1463"/>
    <w:rsid w:val="002E3D25"/>
    <w:rsid w:val="002E414E"/>
    <w:rsid w:val="002F01B6"/>
    <w:rsid w:val="002F390C"/>
    <w:rsid w:val="002F6DD6"/>
    <w:rsid w:val="00313386"/>
    <w:rsid w:val="003360C6"/>
    <w:rsid w:val="003517AC"/>
    <w:rsid w:val="00355C18"/>
    <w:rsid w:val="00363C5A"/>
    <w:rsid w:val="00364D61"/>
    <w:rsid w:val="0036590F"/>
    <w:rsid w:val="003677C3"/>
    <w:rsid w:val="00387607"/>
    <w:rsid w:val="003A4634"/>
    <w:rsid w:val="003B3878"/>
    <w:rsid w:val="003D02C7"/>
    <w:rsid w:val="003D70AB"/>
    <w:rsid w:val="003D7D3E"/>
    <w:rsid w:val="003E5855"/>
    <w:rsid w:val="003F259B"/>
    <w:rsid w:val="003F3DC9"/>
    <w:rsid w:val="00403D49"/>
    <w:rsid w:val="004040EB"/>
    <w:rsid w:val="00412317"/>
    <w:rsid w:val="00413AB3"/>
    <w:rsid w:val="0043007F"/>
    <w:rsid w:val="00431084"/>
    <w:rsid w:val="0043623A"/>
    <w:rsid w:val="0047596D"/>
    <w:rsid w:val="004765DD"/>
    <w:rsid w:val="00493F97"/>
    <w:rsid w:val="004A6921"/>
    <w:rsid w:val="004B26B6"/>
    <w:rsid w:val="004B5767"/>
    <w:rsid w:val="004C656F"/>
    <w:rsid w:val="004E02D5"/>
    <w:rsid w:val="004E2868"/>
    <w:rsid w:val="00506833"/>
    <w:rsid w:val="00517CBE"/>
    <w:rsid w:val="00526BE8"/>
    <w:rsid w:val="0054150C"/>
    <w:rsid w:val="005424C7"/>
    <w:rsid w:val="00547DF7"/>
    <w:rsid w:val="00561BDB"/>
    <w:rsid w:val="005626AF"/>
    <w:rsid w:val="005812D6"/>
    <w:rsid w:val="005873E6"/>
    <w:rsid w:val="00591658"/>
    <w:rsid w:val="0059205B"/>
    <w:rsid w:val="005D1738"/>
    <w:rsid w:val="00603796"/>
    <w:rsid w:val="0062163A"/>
    <w:rsid w:val="00654BE9"/>
    <w:rsid w:val="00657132"/>
    <w:rsid w:val="00665364"/>
    <w:rsid w:val="0067044E"/>
    <w:rsid w:val="00670E2E"/>
    <w:rsid w:val="00672F37"/>
    <w:rsid w:val="00675CBC"/>
    <w:rsid w:val="00676F4E"/>
    <w:rsid w:val="00680856"/>
    <w:rsid w:val="0069692A"/>
    <w:rsid w:val="006D485B"/>
    <w:rsid w:val="006F6BA3"/>
    <w:rsid w:val="00715C06"/>
    <w:rsid w:val="007240E2"/>
    <w:rsid w:val="00725801"/>
    <w:rsid w:val="007356C1"/>
    <w:rsid w:val="00747EC0"/>
    <w:rsid w:val="0075687B"/>
    <w:rsid w:val="00761079"/>
    <w:rsid w:val="007815FB"/>
    <w:rsid w:val="007907E8"/>
    <w:rsid w:val="007A003A"/>
    <w:rsid w:val="007A414C"/>
    <w:rsid w:val="007B182D"/>
    <w:rsid w:val="007B34FC"/>
    <w:rsid w:val="007C1E85"/>
    <w:rsid w:val="007D5AE9"/>
    <w:rsid w:val="007E5CBE"/>
    <w:rsid w:val="007F6E43"/>
    <w:rsid w:val="0080007E"/>
    <w:rsid w:val="0080079B"/>
    <w:rsid w:val="00816C12"/>
    <w:rsid w:val="0083115C"/>
    <w:rsid w:val="00843E15"/>
    <w:rsid w:val="008462E4"/>
    <w:rsid w:val="00851019"/>
    <w:rsid w:val="00852F62"/>
    <w:rsid w:val="00872340"/>
    <w:rsid w:val="00887A31"/>
    <w:rsid w:val="008908E0"/>
    <w:rsid w:val="00890D6B"/>
    <w:rsid w:val="008924E1"/>
    <w:rsid w:val="00893256"/>
    <w:rsid w:val="008B44E3"/>
    <w:rsid w:val="008D48DE"/>
    <w:rsid w:val="008F6EF0"/>
    <w:rsid w:val="00907A25"/>
    <w:rsid w:val="00907A6B"/>
    <w:rsid w:val="00913A0D"/>
    <w:rsid w:val="009165ED"/>
    <w:rsid w:val="009220B3"/>
    <w:rsid w:val="0093259E"/>
    <w:rsid w:val="00933245"/>
    <w:rsid w:val="00943557"/>
    <w:rsid w:val="00946EA2"/>
    <w:rsid w:val="009536D6"/>
    <w:rsid w:val="0096116B"/>
    <w:rsid w:val="009632F8"/>
    <w:rsid w:val="0098243A"/>
    <w:rsid w:val="00985921"/>
    <w:rsid w:val="00985BF0"/>
    <w:rsid w:val="009872EE"/>
    <w:rsid w:val="00995FA7"/>
    <w:rsid w:val="009B2EA8"/>
    <w:rsid w:val="009C1315"/>
    <w:rsid w:val="009D15DE"/>
    <w:rsid w:val="009D3787"/>
    <w:rsid w:val="009E421A"/>
    <w:rsid w:val="009F4B23"/>
    <w:rsid w:val="00A0731F"/>
    <w:rsid w:val="00A33581"/>
    <w:rsid w:val="00A37652"/>
    <w:rsid w:val="00A40B54"/>
    <w:rsid w:val="00A451C9"/>
    <w:rsid w:val="00A507A6"/>
    <w:rsid w:val="00A617FE"/>
    <w:rsid w:val="00A65162"/>
    <w:rsid w:val="00A66F08"/>
    <w:rsid w:val="00A6753F"/>
    <w:rsid w:val="00A844F9"/>
    <w:rsid w:val="00AA58BF"/>
    <w:rsid w:val="00AB2A33"/>
    <w:rsid w:val="00AC3390"/>
    <w:rsid w:val="00AD3897"/>
    <w:rsid w:val="00AD4A8B"/>
    <w:rsid w:val="00AE5157"/>
    <w:rsid w:val="00AE7B4D"/>
    <w:rsid w:val="00B01964"/>
    <w:rsid w:val="00B04133"/>
    <w:rsid w:val="00B1627B"/>
    <w:rsid w:val="00B50189"/>
    <w:rsid w:val="00B51417"/>
    <w:rsid w:val="00B54C33"/>
    <w:rsid w:val="00B6189F"/>
    <w:rsid w:val="00B67B7B"/>
    <w:rsid w:val="00B80AA5"/>
    <w:rsid w:val="00B90101"/>
    <w:rsid w:val="00B9047A"/>
    <w:rsid w:val="00BA6C17"/>
    <w:rsid w:val="00BB00EB"/>
    <w:rsid w:val="00BC1425"/>
    <w:rsid w:val="00BC51DA"/>
    <w:rsid w:val="00BD3E4E"/>
    <w:rsid w:val="00BD6EDE"/>
    <w:rsid w:val="00BE098F"/>
    <w:rsid w:val="00BE664D"/>
    <w:rsid w:val="00BF3E81"/>
    <w:rsid w:val="00C32F84"/>
    <w:rsid w:val="00C4425B"/>
    <w:rsid w:val="00C509F9"/>
    <w:rsid w:val="00C51158"/>
    <w:rsid w:val="00C71015"/>
    <w:rsid w:val="00C732DA"/>
    <w:rsid w:val="00C7707B"/>
    <w:rsid w:val="00C853EC"/>
    <w:rsid w:val="00C9274F"/>
    <w:rsid w:val="00C93FA6"/>
    <w:rsid w:val="00CA3E8A"/>
    <w:rsid w:val="00CB3AC3"/>
    <w:rsid w:val="00CC5B94"/>
    <w:rsid w:val="00CD61C7"/>
    <w:rsid w:val="00CF2A3D"/>
    <w:rsid w:val="00CF5893"/>
    <w:rsid w:val="00D05639"/>
    <w:rsid w:val="00D06F20"/>
    <w:rsid w:val="00D11FD8"/>
    <w:rsid w:val="00D1454E"/>
    <w:rsid w:val="00D2102F"/>
    <w:rsid w:val="00D224FF"/>
    <w:rsid w:val="00D22EB4"/>
    <w:rsid w:val="00D32C73"/>
    <w:rsid w:val="00D401EE"/>
    <w:rsid w:val="00D51DB9"/>
    <w:rsid w:val="00D526CD"/>
    <w:rsid w:val="00D56EE7"/>
    <w:rsid w:val="00D64190"/>
    <w:rsid w:val="00D65961"/>
    <w:rsid w:val="00D73540"/>
    <w:rsid w:val="00D825E9"/>
    <w:rsid w:val="00D82B12"/>
    <w:rsid w:val="00D84A9C"/>
    <w:rsid w:val="00D87715"/>
    <w:rsid w:val="00D922C2"/>
    <w:rsid w:val="00D97E4F"/>
    <w:rsid w:val="00DD2C4D"/>
    <w:rsid w:val="00DE780F"/>
    <w:rsid w:val="00DE7E94"/>
    <w:rsid w:val="00E11063"/>
    <w:rsid w:val="00E112BE"/>
    <w:rsid w:val="00E11DB7"/>
    <w:rsid w:val="00E12272"/>
    <w:rsid w:val="00E157F4"/>
    <w:rsid w:val="00E25CCE"/>
    <w:rsid w:val="00E54C81"/>
    <w:rsid w:val="00E7284C"/>
    <w:rsid w:val="00E846E2"/>
    <w:rsid w:val="00E9181F"/>
    <w:rsid w:val="00E91B4C"/>
    <w:rsid w:val="00EB3853"/>
    <w:rsid w:val="00EC3378"/>
    <w:rsid w:val="00EC75B5"/>
    <w:rsid w:val="00F04084"/>
    <w:rsid w:val="00F102E3"/>
    <w:rsid w:val="00F166F4"/>
    <w:rsid w:val="00F20C2C"/>
    <w:rsid w:val="00F3459C"/>
    <w:rsid w:val="00F40CA9"/>
    <w:rsid w:val="00F51694"/>
    <w:rsid w:val="00F56C6C"/>
    <w:rsid w:val="00F67DAE"/>
    <w:rsid w:val="00F728CA"/>
    <w:rsid w:val="00F72B46"/>
    <w:rsid w:val="00F94C81"/>
    <w:rsid w:val="00F95F04"/>
    <w:rsid w:val="00FB7AAA"/>
    <w:rsid w:val="00FF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161392340">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42688-6827-46CF-BFFC-B467EBAE8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1459</Words>
  <Characters>8319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2015-05-16T04:56:00Z</dcterms:created>
  <dcterms:modified xsi:type="dcterms:W3CDTF">2015-05-16T05:24:00Z</dcterms:modified>
</cp:coreProperties>
</file>