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r>
              <w:t>Hanbat</w:t>
            </w:r>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(subband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The first bullet need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if UE feedback is needed for gNB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irst, since at this stage we only hope to collect more information on different designs,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Huawei, HiSilicon</w:t>
            </w:r>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So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If UE feedback is needed for gNB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t>Spreadtrum</w:t>
            </w:r>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lastRenderedPageBreak/>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modeling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lastRenderedPageBreak/>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Fading channel assumptionAssumed residual freq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odel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(modOrder,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lastRenderedPageBreak/>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used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lastRenderedPageBreak/>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r>
              <w:lastRenderedPageBreak/>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lastRenderedPageBreak/>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67604164" w14:textId="77777777" w:rsidR="00705C5F" w:rsidRDefault="00DF41B8">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Proposal 7: The trade-off between the potential gain of PCS techniques and their corresponding impact on the processing chain w.r.t.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lastRenderedPageBreak/>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The 6GR study on performance/complexity tradeoff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r>
              <w:t>DeepSig</w:t>
            </w:r>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procedures for symbol mapping at the transmitter and symbol demapping at the receiver.</w:t>
            </w:r>
          </w:p>
          <w:p w14:paraId="779A2E7D" w14:textId="77777777" w:rsidR="00705C5F" w:rsidRDefault="00DF41B8">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lastRenderedPageBreak/>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performance/rateloss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r>
              <w:t>Hanbat</w:t>
            </w:r>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lastRenderedPageBreak/>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lastRenderedPageBreak/>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Observation 4: For probabilistic shaping implemented by enumerative sphere shaping, the distribution matcher requires storages to implement encoding and decoding. The storage sizes shown by Table 3 are up to 1.388 Mbits.</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lastRenderedPageBreak/>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lastRenderedPageBreak/>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For 1024-QAM, the performance gain of probabilistic shaping compared to uniform BICM at 7.0~8.5 bits/2D symbol is about 0.8~1.7 dB.</w:t>
            </w:r>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The performance gain of 64-NU-QAM compared to 64-QAM is about 0.2 dB.</w:t>
            </w:r>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lastRenderedPageBreak/>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Observation 11: In i.i.d.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lastRenderedPageBreak/>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lastRenderedPageBreak/>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FB5BE92" w14:textId="77777777" w:rsidR="00705C5F" w:rsidRDefault="00DF41B8">
            <w:pPr>
              <w:spacing w:after="0"/>
            </w:pPr>
            <w:r>
              <w:t>Observation 3</w:t>
            </w:r>
            <w:r>
              <w:tab/>
              <w:t>For 32T4R with rank=4 and MMSE receiver, PSCM shows performance loss ranging from -0.7 dB to -0.1 dB.</w:t>
            </w:r>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In precoded MIMO system equipped with sphere decoding, probabilistic shaping results in significant performance loss (~3dB) over uniform QAM.</w:t>
            </w:r>
          </w:p>
          <w:p w14:paraId="1F716A8D" w14:textId="77777777" w:rsidR="00705C5F" w:rsidRDefault="00DF41B8">
            <w:pPr>
              <w:spacing w:after="0"/>
            </w:pPr>
            <w:r>
              <w:lastRenderedPageBreak/>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lastRenderedPageBreak/>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lastRenderedPageBreak/>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ZTE, Sanechips</w:t>
            </w:r>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 xml:space="preserve">transmitter and receiver complexity (e.g., shaping/deshaping, demapper), </w:t>
            </w:r>
            <w:r>
              <w:lastRenderedPageBreak/>
              <w:t xml:space="preserve">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compleixy,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lastRenderedPageBreak/>
              <w:t>ZTE, Sanechips</w:t>
            </w:r>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lastRenderedPageBreak/>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t>Spreadtrum</w:t>
            </w:r>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uawei, HiSilion</w:t>
            </w:r>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lastRenderedPageBreak/>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lastRenderedPageBreak/>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We wonder what the exact purpose of this discussion is. Is the intension is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fixed point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lastRenderedPageBreak/>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lastRenderedPageBreak/>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lastRenderedPageBreak/>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w:t>
            </w:r>
            <w:r>
              <w:rPr>
                <w:rFonts w:eastAsia="SimSun"/>
                <w:lang w:val="en-US" w:eastAsia="zh-CN"/>
              </w:rPr>
              <w:lastRenderedPageBreak/>
              <w:t xml:space="preserve">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further degrade</w:t>
            </w:r>
            <w:r w:rsidRPr="0096360E">
              <w:rPr>
                <w:strike/>
                <w:color w:val="7030A0"/>
              </w:rPr>
              <w:t>s</w:t>
            </w:r>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The demapper complexity is similar to corresponding uniform QAM demapper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The demapper complexity should be compared with uniform QAM demapper complexity</w:t>
      </w:r>
    </w:p>
    <w:p w14:paraId="4B2240BA" w14:textId="77777777" w:rsidR="00705C5F" w:rsidRDefault="00DF41B8">
      <w:pPr>
        <w:pStyle w:val="StatementBody"/>
        <w:numPr>
          <w:ilvl w:val="2"/>
          <w:numId w:val="5"/>
        </w:numPr>
        <w:spacing w:after="0"/>
      </w:pPr>
      <w:r>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Depends on LMMSE receiver or rML receiver</w:t>
      </w:r>
    </w:p>
    <w:p w14:paraId="60AECF00"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lastRenderedPageBreak/>
              <w:t>ZTE, Sanechips</w:t>
            </w:r>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etc),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Can report the ratio of PS demapper complexity over uniform QAM demapper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the probability distribution used (MB distribution, etc)</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DM algorithm used (ESS, CCDM, etc).</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LMMSE receiver or rML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r>
              <w:rPr>
                <w:rFonts w:eastAsia="SimSun" w:hint="eastAsia"/>
                <w:color w:val="C00000"/>
                <w:u w:val="single"/>
                <w:lang w:val="en-US" w:eastAsia="zh-CN"/>
              </w:rPr>
              <w:t>torage requirement depends on</w:t>
            </w:r>
            <w:r>
              <w:t xml:space="preserve"> the assumption on complexity counting, e.g,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lastRenderedPageBreak/>
              <w:t>As a function of # of operations</w:t>
            </w:r>
          </w:p>
          <w:p w14:paraId="7AD0BD44" w14:textId="77777777" w:rsidR="00705C5F" w:rsidRDefault="00DF41B8">
            <w:pPr>
              <w:pStyle w:val="StatementBody"/>
              <w:numPr>
                <w:ilvl w:val="4"/>
                <w:numId w:val="5"/>
              </w:numPr>
              <w:spacing w:after="0"/>
              <w:rPr>
                <w:rFonts w:eastAsia="SimSun"/>
                <w:lang w:val="en-US" w:eastAsia="zh-CN"/>
              </w:rPr>
            </w:pPr>
            <w:r>
              <w:t>Depends on LMMSE receiver or rML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The demapper complexity is similar to corresponding uniform QAM demapper complexity</w:t>
      </w:r>
    </w:p>
    <w:p w14:paraId="0BBE6D6B" w14:textId="77777777" w:rsidR="00815047" w:rsidRDefault="00815047" w:rsidP="00815047">
      <w:pPr>
        <w:pStyle w:val="StatementBody"/>
        <w:numPr>
          <w:ilvl w:val="2"/>
          <w:numId w:val="5"/>
        </w:numPr>
        <w:spacing w:after="0"/>
      </w:pPr>
      <w:r>
        <w:t>Can report the ratio of demapper complexity with PS over the demapper complexity of NR MCS with the same spectrum efficiency</w:t>
      </w:r>
    </w:p>
    <w:p w14:paraId="2378489C" w14:textId="77777777" w:rsidR="00815047" w:rsidRDefault="00815047" w:rsidP="00815047">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The demapper complexity should be compared with uniform QAM demapper complexity</w:t>
      </w:r>
    </w:p>
    <w:p w14:paraId="7A3CCFC7" w14:textId="77777777" w:rsidR="00815047" w:rsidRDefault="00815047" w:rsidP="00815047">
      <w:pPr>
        <w:pStyle w:val="StatementBody"/>
        <w:numPr>
          <w:ilvl w:val="2"/>
          <w:numId w:val="5"/>
        </w:numPr>
        <w:spacing w:after="0"/>
      </w:pPr>
      <w:r>
        <w:t>Can report the ratio of GS demapper complexity over the uniform QAM demapper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Depends on LMMSE receiver or rML receiver</w:t>
      </w:r>
    </w:p>
    <w:p w14:paraId="207DBE94"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r>
              <w:rPr>
                <w:rFonts w:eastAsia="SimSun" w:hint="eastAsia"/>
                <w:lang w:val="en-US" w:eastAsia="zh-CN"/>
              </w:rPr>
              <w:t>Spreadtrum</w:t>
            </w:r>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r>
              <w:t xml:space="preserve">demapper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lastRenderedPageBreak/>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14:paraId="2070F450" w14:textId="77777777" w:rsidR="00815047" w:rsidRDefault="00815047" w:rsidP="00566394">
            <w:pPr>
              <w:pStyle w:val="StatementBody"/>
              <w:numPr>
                <w:ilvl w:val="2"/>
                <w:numId w:val="5"/>
              </w:numPr>
              <w:spacing w:after="0"/>
            </w:pPr>
            <w:r>
              <w:t>Can report the ratio of demapper complexity with PS over the demapper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With given receiver type (LMMSE, rML receiver)</w:t>
            </w:r>
          </w:p>
          <w:p w14:paraId="2286346F" w14:textId="77777777" w:rsidR="00815047" w:rsidRDefault="00815047" w:rsidP="00566394">
            <w:pPr>
              <w:pStyle w:val="StatementBody"/>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/invDM</w:t>
            </w:r>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DM/invDM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The demapper complexity should be compared with uniform QAM demapper complexity</w:t>
            </w:r>
          </w:p>
          <w:p w14:paraId="12D0FFAF" w14:textId="77777777" w:rsidR="00815047" w:rsidRDefault="00815047" w:rsidP="00566394">
            <w:pPr>
              <w:pStyle w:val="StatementBody"/>
              <w:numPr>
                <w:ilvl w:val="2"/>
                <w:numId w:val="5"/>
              </w:numPr>
              <w:spacing w:after="0"/>
            </w:pPr>
            <w:r>
              <w:t>Can report the ratio of GS demapper complexity over the uniform QAM demapper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rML receiver)</w:t>
            </w:r>
          </w:p>
          <w:p w14:paraId="6118F76E" w14:textId="77777777" w:rsidR="00815047" w:rsidRDefault="00815047" w:rsidP="00566394">
            <w:pPr>
              <w:pStyle w:val="StatementBody"/>
              <w:numPr>
                <w:ilvl w:val="2"/>
                <w:numId w:val="5"/>
              </w:numPr>
              <w:spacing w:after="0"/>
            </w:pPr>
            <w:r>
              <w:t>Also need to report the assumption on complexity counting, e.g,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first round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w:t>
            </w:r>
            <w:r>
              <w:rPr>
                <w:rFonts w:eastAsia="SimSun" w:hint="eastAsia"/>
                <w:lang w:val="en-US" w:eastAsia="zh-CN"/>
              </w:rPr>
              <w:lastRenderedPageBreak/>
              <w:t>more meaningful considering the already deployed demapper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The demapper complexity is compared with uniform QAM demapper complexity</w:t>
      </w:r>
    </w:p>
    <w:p w14:paraId="5A5CF0C3" w14:textId="77777777" w:rsidR="00815047" w:rsidRDefault="00815047" w:rsidP="00815047">
      <w:pPr>
        <w:pStyle w:val="StatementBody"/>
        <w:numPr>
          <w:ilvl w:val="2"/>
          <w:numId w:val="5"/>
        </w:numPr>
        <w:spacing w:after="0"/>
      </w:pPr>
      <w:r>
        <w:t>Can report the demapper complexity with PS and the demapper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the receiver type (e.g., LMMSE or rML)</w:t>
      </w:r>
    </w:p>
    <w:p w14:paraId="5A604691" w14:textId="77777777" w:rsidR="00815047" w:rsidRDefault="00815047" w:rsidP="00815047">
      <w:pPr>
        <w:pStyle w:val="StatementBody"/>
        <w:numPr>
          <w:ilvl w:val="1"/>
          <w:numId w:val="5"/>
        </w:numPr>
        <w:spacing w:after="0"/>
      </w:pPr>
      <w:r>
        <w:t>The Distribution Matcher (DM)/Distribution De-Matcher (DDM) complexity and/or storage requirement depends on DM algorithm used (ESS, CCDM, etc), precision of fixed point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The demapper complexity should be compared with uniform QAM demapper complexity</w:t>
      </w:r>
    </w:p>
    <w:p w14:paraId="15DE25B8" w14:textId="77777777" w:rsidR="00815047" w:rsidRDefault="00815047" w:rsidP="00815047">
      <w:pPr>
        <w:pStyle w:val="StatementBody"/>
        <w:numPr>
          <w:ilvl w:val="2"/>
          <w:numId w:val="5"/>
        </w:numPr>
        <w:spacing w:after="0"/>
      </w:pPr>
      <w:r>
        <w:t>Can report the ratio of GS demapper complexity over the uniform QAM demapper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With given receiver type (e.g., LMMSE or rML)</w:t>
      </w:r>
    </w:p>
    <w:p w14:paraId="2BBD0A61"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demapper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ZTE, Sanechips</w:t>
            </w:r>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demapper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In our views, demapper complexity for PS depends on at least DM algorithm used (ESS, CCDM, etc)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lastRenderedPageBreak/>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07BD8CA2" w14:textId="77777777" w:rsidR="00815047" w:rsidRPr="008A4556" w:rsidRDefault="00815047" w:rsidP="00566394">
            <w:pPr>
              <w:numPr>
                <w:ilvl w:val="2"/>
                <w:numId w:val="5"/>
              </w:numPr>
              <w:spacing w:after="0"/>
            </w:pPr>
            <w:r w:rsidRPr="008A4556">
              <w:t>Can report the demapper complexity with PS and the demapper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and the receiver type (LMSSE and rML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2B418291" w14:textId="77777777" w:rsidR="00815047" w:rsidRPr="008A4556" w:rsidRDefault="00815047" w:rsidP="00566394">
            <w:pPr>
              <w:numPr>
                <w:ilvl w:val="2"/>
                <w:numId w:val="5"/>
              </w:numPr>
              <w:spacing w:after="0"/>
            </w:pPr>
            <w:r w:rsidRPr="008A4556">
              <w:t>Can report the ratio of GS demapper complexity over the uniform QAM demapper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With given receiver type (LMMSE or rML)</w:t>
            </w:r>
          </w:p>
          <w:p w14:paraId="6FBB1CE0" w14:textId="77777777" w:rsidR="00815047" w:rsidRPr="008A4556" w:rsidRDefault="00815047" w:rsidP="00566394">
            <w:pPr>
              <w:numPr>
                <w:ilvl w:val="2"/>
                <w:numId w:val="5"/>
              </w:numPr>
              <w:spacing w:after="0"/>
            </w:pPr>
            <w:r w:rsidRPr="008A4556">
              <w:t>Also need to report the assumption on complexity counting, e.g,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The demapper complexity is compared with uniform QAM demapper complexity</w:t>
      </w:r>
    </w:p>
    <w:p w14:paraId="741E561D" w14:textId="77777777" w:rsidR="00D44B19" w:rsidRDefault="00D44B19" w:rsidP="00D44B19">
      <w:pPr>
        <w:pStyle w:val="StatementBody"/>
        <w:numPr>
          <w:ilvl w:val="2"/>
          <w:numId w:val="5"/>
        </w:numPr>
        <w:spacing w:after="0"/>
      </w:pPr>
      <w:r>
        <w:lastRenderedPageBreak/>
        <w:t>Can report the demapper complexity with PS and the demapper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the receiver type (e.g., LMMSE or rML), and fixed point assumed or floating point assumed.</w:t>
      </w:r>
    </w:p>
    <w:p w14:paraId="3AE4AFBA" w14:textId="77777777" w:rsidR="00D44B19" w:rsidRDefault="00D44B19" w:rsidP="00D44B19">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The demapper complexity is compared with uniform QAM demapper complexity</w:t>
      </w:r>
    </w:p>
    <w:p w14:paraId="3F420F00" w14:textId="77777777" w:rsidR="00D44B19" w:rsidRDefault="00D44B19" w:rsidP="00D44B19">
      <w:pPr>
        <w:pStyle w:val="StatementBody"/>
        <w:numPr>
          <w:ilvl w:val="2"/>
          <w:numId w:val="5"/>
        </w:numPr>
        <w:spacing w:after="0"/>
      </w:pPr>
      <w:r>
        <w:t>Can report the ratio of GS demapper complexity over the uniform QAM demapper complexity</w:t>
      </w:r>
    </w:p>
    <w:p w14:paraId="64463C5A" w14:textId="77777777" w:rsidR="00D44B19" w:rsidRDefault="00D44B19" w:rsidP="00D44B19">
      <w:pPr>
        <w:pStyle w:val="StatementBody"/>
        <w:numPr>
          <w:ilvl w:val="3"/>
          <w:numId w:val="5"/>
        </w:numPr>
        <w:spacing w:after="0"/>
      </w:pPr>
      <w:r>
        <w:t>Also report if 1D-NUC or 2D-NUC is used, # of spatial layers, and the receiver type (e.g., LMMSE or rML)</w:t>
      </w:r>
    </w:p>
    <w:p w14:paraId="7586423A" w14:textId="77777777" w:rsidR="00D44B19" w:rsidRDefault="00D44B19" w:rsidP="00D44B19">
      <w:pPr>
        <w:pStyle w:val="StatementBody"/>
        <w:numPr>
          <w:ilvl w:val="2"/>
          <w:numId w:val="5"/>
        </w:numPr>
        <w:spacing w:after="0"/>
      </w:pPr>
      <w:r>
        <w:t>Also need to report the assumption on complexity counting, e.g,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(e.g,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Gain/loss in dB wrt NR baseline at target BLER  x%</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(modOrder,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(modOrder,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(modOrder,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 xml:space="preserve">FL notes: There are proposals to include complexity and other issues we agreed to consider in the same table. However, this discussion is about performance. We do have a separate discussion for complexity. The FL believes that it will be </w:t>
      </w:r>
      <w:r>
        <w:lastRenderedPageBreak/>
        <w:t>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of the performance with respect to the these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Receiver assumption (MMSE or rML)</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r w:rsidRPr="00F808CD">
              <w:rPr>
                <w:sz w:val="16"/>
                <w:szCs w:val="16"/>
              </w:rPr>
              <w:t>The</w:t>
            </w:r>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lastRenderedPageBreak/>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Receiver assumption (e.g., LMMSE or rML)</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criterion</w:t>
      </w:r>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lastRenderedPageBreak/>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lastRenderedPageBreak/>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lastRenderedPageBreak/>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lastRenderedPageBreak/>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FFS: whether the joint source coding, channel coding and/or modulation is signaled/specified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cross-codeblock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lastRenderedPageBreak/>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 xml:space="preserve">Transmitter and receiver complexity (e.g., shaping/deshaping, demapper),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lastRenderedPageBreak/>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Receiver assumption (for MIMO): LMMSE (baseline) for UL, rML or LMMSE for DL</w:t>
      </w:r>
    </w:p>
    <w:p w14:paraId="40B80868" w14:textId="77777777" w:rsidR="00705C5F" w:rsidRDefault="00DF41B8">
      <w:pPr>
        <w:pStyle w:val="ListParagraph"/>
        <w:numPr>
          <w:ilvl w:val="0"/>
          <w:numId w:val="12"/>
        </w:numPr>
      </w:pPr>
      <w:r>
        <w:t>LLR demapper: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lastRenderedPageBreak/>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Disscussion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InterDigital,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Hanbat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DeepSig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AEA0" w14:textId="77777777" w:rsidR="00F42743" w:rsidRDefault="00F42743">
      <w:pPr>
        <w:spacing w:after="0"/>
      </w:pPr>
      <w:r>
        <w:separator/>
      </w:r>
    </w:p>
  </w:endnote>
  <w:endnote w:type="continuationSeparator" w:id="0">
    <w:p w14:paraId="5CF76F4C" w14:textId="77777777" w:rsidR="00F42743" w:rsidRDefault="00F427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F4E8" w14:textId="77777777" w:rsidR="00F42743" w:rsidRDefault="00F42743">
      <w:pPr>
        <w:spacing w:after="0"/>
      </w:pPr>
      <w:r>
        <w:separator/>
      </w:r>
    </w:p>
  </w:footnote>
  <w:footnote w:type="continuationSeparator" w:id="0">
    <w:p w14:paraId="149E9871" w14:textId="77777777" w:rsidR="00F42743" w:rsidRDefault="00F427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リ"/>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95</TotalTime>
  <Pages>46</Pages>
  <Words>26456</Words>
  <Characters>144852</Characters>
  <Application>Microsoft Office Word</Application>
  <DocSecurity>0</DocSecurity>
  <Lines>3107</Lines>
  <Paragraphs>1669</Paragraphs>
  <ScaleCrop>false</ScaleCrop>
  <Company>Qualcomm Incorporated</Company>
  <LinksUpToDate>false</LinksUpToDate>
  <CharactersWithSpaces>170071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86</cp:revision>
  <dcterms:created xsi:type="dcterms:W3CDTF">2025-11-19T16:09:00Z</dcterms:created>
  <dcterms:modified xsi:type="dcterms:W3CDTF">2025-11-20T14:22:00Z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