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w:t>
            </w:r>
            <w:proofErr w:type="gramStart"/>
            <w:r w:rsidR="005A6D01">
              <w:rPr>
                <w:rFonts w:eastAsia="MS Mincho"/>
                <w:lang w:eastAsia="ja-JP"/>
              </w:rPr>
              <w:t xml:space="preserve">the </w:t>
            </w:r>
            <w:r>
              <w:rPr>
                <w:rFonts w:eastAsia="MS Mincho"/>
                <w:lang w:eastAsia="ja-JP"/>
              </w:rPr>
              <w:t xml:space="preserve"> proposal</w:t>
            </w:r>
            <w:proofErr w:type="gramEnd"/>
            <w:r>
              <w:rPr>
                <w:rFonts w:eastAsia="MS Mincho"/>
                <w:lang w:eastAsia="ja-JP"/>
              </w:rPr>
              <w:t>.</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lastRenderedPageBreak/>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34DAF6BA" w14:textId="36C43EDC" w:rsidR="00036C66" w:rsidRDefault="00036C66" w:rsidP="00036C66">
            <w:pPr>
              <w:spacing w:after="0"/>
              <w:rPr>
                <w:rFonts w:eastAsia="SimSun"/>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bounded-</w:t>
            </w:r>
            <w:r>
              <w:lastRenderedPageBreak/>
              <w:t xml:space="preserve">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lastRenderedPageBreak/>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lastRenderedPageBreak/>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lastRenderedPageBreak/>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 xml:space="preserve">Observation 6: 1D-NUC and uniform-QAM exhibit similar complexity for the sphere </w:t>
            </w:r>
            <w:proofErr w:type="gramStart"/>
            <w:r>
              <w:t>decoding based</w:t>
            </w:r>
            <w:proofErr w:type="gramEnd"/>
            <w:r>
              <w:t xml:space="preserve">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lastRenderedPageBreak/>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lastRenderedPageBreak/>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lastRenderedPageBreak/>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265AB9">
            <w:pPr>
              <w:spacing w:after="0"/>
              <w:rPr>
                <w:lang w:val="en-US"/>
              </w:rPr>
            </w:pPr>
            <w:r>
              <w:rPr>
                <w:lang w:val="en-US"/>
              </w:rPr>
              <w:t></w:t>
            </w:r>
            <w:r>
              <w:rPr>
                <w:lang w:val="en-US"/>
              </w:rPr>
              <w:tab/>
              <w:t xml:space="preserve">~0.18dB shaping gain for MCS level 18 in NR 256QAM table at BLER = 0.1 </w:t>
            </w:r>
            <w:proofErr w:type="gramStart"/>
            <w:r>
              <w:rPr>
                <w:lang w:val="en-US"/>
              </w:rPr>
              <w:t>in</w:t>
            </w:r>
            <w:proofErr w:type="gramEnd"/>
            <w:r>
              <w:rPr>
                <w:lang w:val="en-US"/>
              </w:rPr>
              <w:t xml:space="preserve">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 xml:space="preserve">~0.42dB shaping gain for MCS level 23 in NR 256QAM table at BLER = 0.1 </w:t>
            </w:r>
            <w:proofErr w:type="gramStart"/>
            <w:r>
              <w:rPr>
                <w:lang w:val="en-US"/>
              </w:rPr>
              <w:t>in</w:t>
            </w:r>
            <w:proofErr w:type="gramEnd"/>
            <w:r>
              <w:rPr>
                <w:lang w:val="en-US"/>
              </w:rPr>
              <w:t xml:space="preserve">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lastRenderedPageBreak/>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lastRenderedPageBreak/>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lastRenderedPageBreak/>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w:t>
            </w:r>
            <w:proofErr w:type="gramStart"/>
            <w:r>
              <w:t>through-put</w:t>
            </w:r>
            <w:proofErr w:type="gramEnd"/>
            <w:r>
              <w:t xml:space="preserve">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w:t>
            </w:r>
            <w:proofErr w:type="gramStart"/>
            <w:r>
              <w:rPr>
                <w:rFonts w:eastAsiaTheme="minorEastAsia"/>
                <w:lang w:eastAsia="zh-CN"/>
              </w:rPr>
              <w:t>shaping</w:t>
            </w:r>
            <w:proofErr w:type="gramEnd"/>
            <w:r>
              <w:rPr>
                <w:rFonts w:eastAsiaTheme="minorEastAsia"/>
                <w:lang w:eastAsia="zh-CN"/>
              </w:rPr>
              <w:t xml:space="preserve">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lastRenderedPageBreak/>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lastRenderedPageBreak/>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lastRenderedPageBreak/>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 xml:space="preserve">t be used for high code rates because the </w:t>
            </w:r>
            <w:r w:rsidR="00936AF5">
              <w:rPr>
                <w:rFonts w:eastAsia="SimSun"/>
                <w:lang w:val="en-US" w:eastAsia="zh-CN"/>
              </w:rPr>
              <w:lastRenderedPageBreak/>
              <w:t>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lastRenderedPageBreak/>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hint="eastAsia"/>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lastRenderedPageBreak/>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ListParagraph"/>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ListParagraph"/>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lastRenderedPageBreak/>
              <w:t xml:space="preserve">Also need to report the assumption on complexity counting, </w:t>
            </w:r>
            <w:proofErr w:type="spellStart"/>
            <w:r>
              <w:t>e.g</w:t>
            </w:r>
            <w:proofErr w:type="spellEnd"/>
            <w:r>
              <w:t>, fixed point assumed or floating point assumed</w:t>
            </w:r>
          </w:p>
          <w:p w14:paraId="027D10B4" w14:textId="77777777" w:rsidR="00275A7F" w:rsidRDefault="00275A7F" w:rsidP="00275A7F">
            <w:pPr>
              <w:pStyle w:val="ListParagraph"/>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ListParagraph"/>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hint="eastAsia"/>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bl>
    <w:p w14:paraId="60B0B766" w14:textId="77777777" w:rsidR="006E7E22" w:rsidRPr="006E7E22" w:rsidRDefault="006E7E22"/>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lastRenderedPageBreak/>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hint="eastAsia"/>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hint="eastAsia"/>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lastRenderedPageBreak/>
        <w:t>Discussion 2.4-3</w:t>
      </w:r>
    </w:p>
    <w:p w14:paraId="6C017667" w14:textId="77777777" w:rsidR="00BF7C22" w:rsidRDefault="00265AB9">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hint="eastAsia"/>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hint="eastAsia"/>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lastRenderedPageBreak/>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lastRenderedPageBreak/>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lastRenderedPageBreak/>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w:t>
      </w:r>
      <w:proofErr w:type="spellStart"/>
      <w:r>
        <w:t>Sanechips</w:t>
      </w:r>
      <w:proofErr w:type="spellEnd"/>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92B5" w14:textId="77777777" w:rsidR="000118D4" w:rsidRDefault="000118D4">
      <w:pPr>
        <w:spacing w:after="0"/>
      </w:pPr>
      <w:r>
        <w:separator/>
      </w:r>
    </w:p>
  </w:endnote>
  <w:endnote w:type="continuationSeparator" w:id="0">
    <w:p w14:paraId="33021DF9" w14:textId="77777777" w:rsidR="000118D4" w:rsidRDefault="00011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F319" w14:textId="77777777" w:rsidR="000118D4" w:rsidRDefault="000118D4">
      <w:pPr>
        <w:spacing w:after="0"/>
      </w:pPr>
      <w:r>
        <w:separator/>
      </w:r>
    </w:p>
  </w:footnote>
  <w:footnote w:type="continuationSeparator" w:id="0">
    <w:p w14:paraId="14C88DA0" w14:textId="77777777" w:rsidR="000118D4" w:rsidRDefault="000118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336</TotalTime>
  <Pages>36</Pages>
  <Words>18946</Words>
  <Characters>116522</Characters>
  <Application>Microsoft Office Word</Application>
  <DocSecurity>0</DocSecurity>
  <Lines>2009</Lines>
  <Paragraphs>1198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Evren TUNA</cp:lastModifiedBy>
  <cp:revision>121</cp:revision>
  <dcterms:created xsi:type="dcterms:W3CDTF">2025-11-17T20:23:00Z</dcterms:created>
  <dcterms:modified xsi:type="dcterms:W3CDTF">2025-11-18T15:20:00Z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