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6F5CF" w14:textId="0192706A" w:rsidR="00BF7C22" w:rsidRDefault="00265AB9">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w:t>
            </w:r>
            <w:proofErr w:type="gramStart"/>
            <w:r>
              <w:rPr>
                <w:rFonts w:hint="eastAsia"/>
                <w:color w:val="FF0000"/>
                <w:u w:val="single"/>
                <w:lang w:val="en-US" w:eastAsia="zh-CN"/>
              </w:rPr>
              <w:t>a</w:t>
            </w:r>
            <w:proofErr w:type="gramEnd"/>
            <w:r>
              <w:rPr>
                <w:rFonts w:hint="eastAsia"/>
                <w:color w:val="FF0000"/>
                <w:u w:val="single"/>
                <w:lang w:val="en-US" w:eastAsia="zh-CN"/>
              </w:rPr>
              <w:t xml:space="preserve">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 xml:space="preserve">s addition on configurability of MCS entries of </w:t>
            </w:r>
            <w:proofErr w:type="gramStart"/>
            <w:r>
              <w:rPr>
                <w:rFonts w:eastAsia="MS Mincho" w:hint="eastAsia"/>
                <w:lang w:eastAsia="ja-JP"/>
              </w:rPr>
              <w:t>a</w:t>
            </w:r>
            <w:proofErr w:type="gramEnd"/>
            <w:r>
              <w:rPr>
                <w:rFonts w:eastAsia="MS Mincho" w:hint="eastAsia"/>
                <w:lang w:eastAsia="ja-JP"/>
              </w:rPr>
              <w:t xml:space="preserve">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a"/>
        <w:numPr>
          <w:ilvl w:val="0"/>
          <w:numId w:val="9"/>
        </w:numPr>
      </w:pPr>
      <w:r>
        <w:t>Details on the overlapping MCS table design</w:t>
      </w:r>
    </w:p>
    <w:p w14:paraId="3B5974A1" w14:textId="77777777" w:rsidR="00A1080D" w:rsidRDefault="00A1080D" w:rsidP="00A1080D">
      <w:pPr>
        <w:pStyle w:val="a"/>
        <w:numPr>
          <w:ilvl w:val="0"/>
          <w:numId w:val="9"/>
        </w:numPr>
      </w:pPr>
      <w:r>
        <w:t>Performance benefit under different channel and rank assumptions</w:t>
      </w:r>
    </w:p>
    <w:p w14:paraId="71DC0BAB" w14:textId="77777777" w:rsidR="00A1080D" w:rsidRDefault="00A1080D" w:rsidP="00A1080D">
      <w:pPr>
        <w:pStyle w:val="a"/>
        <w:numPr>
          <w:ilvl w:val="0"/>
          <w:numId w:val="9"/>
        </w:numPr>
      </w:pPr>
      <w:r>
        <w:t>MCS selection mechanism across multiple MCS corresponding to the same spectrum efficiency.</w:t>
      </w:r>
    </w:p>
    <w:p w14:paraId="21B88E64" w14:textId="77777777" w:rsidR="00A1080D" w:rsidRDefault="00A1080D" w:rsidP="00A1080D">
      <w:pPr>
        <w:pStyle w:val="a"/>
        <w:numPr>
          <w:ilvl w:val="0"/>
          <w:numId w:val="9"/>
        </w:numPr>
      </w:pPr>
      <w:r>
        <w:t xml:space="preserve">Impact to UE CSI feedback </w:t>
      </w:r>
      <w:r w:rsidRPr="00AB3280">
        <w:rPr>
          <w:color w:val="FF0000"/>
        </w:rPr>
        <w:t>if UE feedback is needed for gNB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12C43807" w14:textId="77777777" w:rsidR="00A1080D" w:rsidRDefault="00A1080D"/>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r>
              <w:t>Spreadtrum</w:t>
            </w:r>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lastRenderedPageBreak/>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 xml:space="preserve">Observation 1: 4096QAM requires approximately -38 dB EVM, reflecting a </w:t>
            </w:r>
            <w:proofErr w:type="gramStart"/>
            <w:r>
              <w:t>6 dB</w:t>
            </w:r>
            <w:proofErr w:type="gramEnd"/>
            <w:r>
              <w:t xml:space="preserve">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 xml:space="preserve">For study of 1024 QAM in UL, send </w:t>
            </w:r>
            <w:proofErr w:type="gramStart"/>
            <w:r>
              <w:t>an</w:t>
            </w:r>
            <w:proofErr w:type="gramEnd"/>
            <w:r>
              <w:t xml:space="preserve">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modeling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Needs careful study: Spreadtrum,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f7"/>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宋体" w:hint="eastAsia"/>
                <w:lang w:val="en-US" w:eastAsia="zh-CN"/>
              </w:rPr>
              <w:t>Based on RAN4 LS in R1-2508314, RAN4 will m</w:t>
            </w:r>
            <w:proofErr w:type="spellStart"/>
            <w:r>
              <w:rPr>
                <w:rFonts w:eastAsia="宋体"/>
                <w:szCs w:val="24"/>
                <w:lang w:eastAsia="zh-CN"/>
              </w:rPr>
              <w:t>odel</w:t>
            </w:r>
            <w:proofErr w:type="spellEnd"/>
            <w:r>
              <w:rPr>
                <w:rFonts w:eastAsia="宋体"/>
                <w:szCs w:val="24"/>
                <w:lang w:eastAsia="zh-CN"/>
              </w:rPr>
              <w:t xml:space="preserve">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45B41F1" w14:textId="77777777" w:rsidR="00BF7C22" w:rsidRDefault="00265AB9">
            <w:pPr>
              <w:spacing w:after="0"/>
              <w:rPr>
                <w:rFonts w:eastAsia="宋体"/>
                <w:lang w:val="en-US" w:eastAsia="zh-CN"/>
              </w:rPr>
            </w:pPr>
            <w:r>
              <w:rPr>
                <w:rFonts w:eastAsia="宋体"/>
                <w:lang w:val="en-US" w:eastAsia="zh-CN"/>
              </w:rPr>
              <w:t>Thanks to FL for</w:t>
            </w:r>
            <w:r>
              <w:rPr>
                <w:rFonts w:eastAsia="宋体" w:hint="eastAsia"/>
                <w:lang w:val="en-US" w:eastAsia="zh-CN"/>
              </w:rPr>
              <w:t xml:space="preserve"> providing the template of results collection for higher order modulation. We have several suggestions on the</w:t>
            </w:r>
            <w:r>
              <w:t xml:space="preserve"> format for performance reporting</w:t>
            </w:r>
            <w:r>
              <w:rPr>
                <w:rFonts w:eastAsia="宋体"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1BDA34CE" w14:textId="77777777" w:rsidR="00BF7C22" w:rsidRDefault="00265AB9">
            <w:pPr>
              <w:pStyle w:val="a"/>
              <w:numPr>
                <w:ilvl w:val="0"/>
                <w:numId w:val="9"/>
              </w:numPr>
              <w:spacing w:after="0"/>
              <w:rPr>
                <w:rFonts w:eastAsia="宋体"/>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宋体"/>
                <w:lang w:val="en-US" w:eastAsia="zh-CN"/>
              </w:rPr>
            </w:pPr>
            <w:r>
              <w:rPr>
                <w:rFonts w:eastAsia="宋体"/>
                <w:lang w:val="en-US" w:eastAsia="zh-CN"/>
              </w:rPr>
              <w:lastRenderedPageBreak/>
              <w:t>IDC</w:t>
            </w:r>
          </w:p>
        </w:tc>
        <w:tc>
          <w:tcPr>
            <w:tcW w:w="7877" w:type="dxa"/>
          </w:tcPr>
          <w:p w14:paraId="1E957E8E" w14:textId="24563CD4" w:rsidR="00DF12B1" w:rsidRDefault="00DF12B1">
            <w:pPr>
              <w:spacing w:after="0"/>
              <w:rPr>
                <w:rFonts w:eastAsia="宋体"/>
                <w:lang w:val="en-US" w:eastAsia="zh-CN"/>
              </w:rPr>
            </w:pPr>
            <w:r>
              <w:rPr>
                <w:rFonts w:eastAsia="宋体"/>
                <w:lang w:val="en-US" w:eastAsia="zh-CN"/>
              </w:rPr>
              <w:t>S</w:t>
            </w:r>
            <w:r w:rsidRPr="00DF12B1">
              <w:rPr>
                <w:rFonts w:eastAsia="宋体"/>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宋体"/>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宋体"/>
                <w:lang w:val="en-US" w:eastAsia="zh-CN"/>
              </w:rPr>
            </w:pPr>
            <w:r w:rsidRPr="00EC7BB6">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宋体"/>
                <w:lang w:eastAsia="zh-CN"/>
              </w:rPr>
              <w:t xml:space="preserve"> </w:t>
            </w:r>
            <w:r>
              <w:rPr>
                <w:rFonts w:eastAsia="Batang" w:hint="eastAsia"/>
                <w:lang w:eastAsia="ko-KR"/>
              </w:rPr>
              <w:t>H</w:t>
            </w:r>
            <w:r w:rsidRPr="00EC7BB6">
              <w:rPr>
                <w:rFonts w:eastAsia="宋体"/>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522B2ADF" w14:textId="77777777" w:rsidR="009B2A8C" w:rsidRDefault="009B2A8C" w:rsidP="00074347">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2488F1BE" w14:textId="77777777" w:rsidR="00BF7C22" w:rsidRDefault="00265AB9">
            <w:pPr>
              <w:spacing w:after="0"/>
              <w:rPr>
                <w:rFonts w:eastAsia="宋体"/>
                <w:lang w:val="en-US" w:eastAsia="zh-CN"/>
              </w:rPr>
            </w:pPr>
            <w:r>
              <w:rPr>
                <w:rFonts w:eastAsia="宋体"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670A7E8A" w14:textId="77777777" w:rsidR="009B2A8C" w:rsidRDefault="009B2A8C" w:rsidP="00074347">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tblGrid>
      <w:tr w:rsidR="00E119F0" w14:paraId="58EA387C" w14:textId="77777777" w:rsidTr="00566394">
        <w:tc>
          <w:tcPr>
            <w:tcW w:w="1303" w:type="dxa"/>
            <w:vMerge w:val="restart"/>
          </w:tcPr>
          <w:p w14:paraId="048D43FE" w14:textId="77777777" w:rsidR="00E119F0" w:rsidRDefault="00E119F0" w:rsidP="00566394">
            <w:r>
              <w:lastRenderedPageBreak/>
              <w:t>Spectrum efficiency</w:t>
            </w:r>
          </w:p>
        </w:tc>
        <w:tc>
          <w:tcPr>
            <w:tcW w:w="1697" w:type="dxa"/>
            <w:vMerge w:val="restart"/>
          </w:tcPr>
          <w:p w14:paraId="3A7612CF" w14:textId="77777777" w:rsidR="00E119F0" w:rsidRDefault="00E119F0" w:rsidP="00566394">
            <w:r>
              <w:t>Assumed TX/RX EVM</w:t>
            </w:r>
          </w:p>
        </w:tc>
        <w:tc>
          <w:tcPr>
            <w:tcW w:w="1695" w:type="dxa"/>
          </w:tcPr>
          <w:p w14:paraId="5EBC5721" w14:textId="77777777" w:rsidR="00E119F0" w:rsidRDefault="00E119F0" w:rsidP="00566394">
            <w:r>
              <w:t>Channel 1</w:t>
            </w:r>
          </w:p>
        </w:tc>
        <w:tc>
          <w:tcPr>
            <w:tcW w:w="1695" w:type="dxa"/>
          </w:tcPr>
          <w:p w14:paraId="7A677536" w14:textId="77777777" w:rsidR="00E119F0" w:rsidRDefault="00E119F0" w:rsidP="00566394">
            <w:r>
              <w:t>Channel 2</w:t>
            </w:r>
          </w:p>
        </w:tc>
        <w:tc>
          <w:tcPr>
            <w:tcW w:w="1736" w:type="dxa"/>
          </w:tcPr>
          <w:p w14:paraId="6E088BDB" w14:textId="77777777" w:rsidR="00E119F0" w:rsidRDefault="00E119F0" w:rsidP="00566394">
            <w:r>
              <w:t>Channel 3</w:t>
            </w:r>
          </w:p>
        </w:tc>
      </w:tr>
      <w:tr w:rsidR="00E119F0" w14:paraId="17C56C27" w14:textId="77777777" w:rsidTr="00566394">
        <w:tc>
          <w:tcPr>
            <w:tcW w:w="1303" w:type="dxa"/>
            <w:vMerge/>
          </w:tcPr>
          <w:p w14:paraId="2C85C47D" w14:textId="77777777" w:rsidR="00E119F0" w:rsidRDefault="00E119F0" w:rsidP="00566394"/>
        </w:tc>
        <w:tc>
          <w:tcPr>
            <w:tcW w:w="1697" w:type="dxa"/>
            <w:vMerge/>
          </w:tcPr>
          <w:p w14:paraId="22CFC847" w14:textId="77777777" w:rsidR="00E119F0" w:rsidRDefault="00E119F0" w:rsidP="00566394"/>
        </w:tc>
        <w:tc>
          <w:tcPr>
            <w:tcW w:w="1695" w:type="dxa"/>
          </w:tcPr>
          <w:p w14:paraId="18430F9B" w14:textId="77777777" w:rsidR="00E119F0" w:rsidRDefault="00E119F0" w:rsidP="00566394">
            <w:r>
              <w:t>SNR to achieve target BLER</w:t>
            </w:r>
          </w:p>
        </w:tc>
        <w:tc>
          <w:tcPr>
            <w:tcW w:w="1695" w:type="dxa"/>
          </w:tcPr>
          <w:p w14:paraId="5FBA6F8B" w14:textId="77777777" w:rsidR="00E119F0" w:rsidRDefault="00E119F0" w:rsidP="00566394">
            <w:r>
              <w:t>SNR to achieve target BLER</w:t>
            </w:r>
          </w:p>
        </w:tc>
        <w:tc>
          <w:tcPr>
            <w:tcW w:w="1736" w:type="dxa"/>
          </w:tcPr>
          <w:p w14:paraId="0E561738" w14:textId="77777777" w:rsidR="00E119F0" w:rsidRDefault="00E119F0" w:rsidP="00566394">
            <w:r>
              <w:t>SNR to achieve target BLER</w:t>
            </w:r>
          </w:p>
        </w:tc>
      </w:tr>
      <w:tr w:rsidR="00E119F0" w14:paraId="20491102" w14:textId="77777777" w:rsidTr="00566394">
        <w:tc>
          <w:tcPr>
            <w:tcW w:w="1303" w:type="dxa"/>
          </w:tcPr>
          <w:p w14:paraId="0BD2DF79" w14:textId="77777777" w:rsidR="00E119F0" w:rsidRDefault="00E119F0" w:rsidP="00566394">
            <w:r>
              <w:t>SE1</w:t>
            </w:r>
          </w:p>
        </w:tc>
        <w:tc>
          <w:tcPr>
            <w:tcW w:w="1697" w:type="dxa"/>
          </w:tcPr>
          <w:p w14:paraId="33D3ED7D" w14:textId="77777777" w:rsidR="00E119F0" w:rsidRDefault="00E119F0" w:rsidP="00566394"/>
        </w:tc>
        <w:tc>
          <w:tcPr>
            <w:tcW w:w="1695" w:type="dxa"/>
          </w:tcPr>
          <w:p w14:paraId="644AA7A7" w14:textId="77777777" w:rsidR="00E119F0" w:rsidRDefault="00E119F0" w:rsidP="00566394"/>
        </w:tc>
        <w:tc>
          <w:tcPr>
            <w:tcW w:w="1695" w:type="dxa"/>
          </w:tcPr>
          <w:p w14:paraId="1F0EAA4E" w14:textId="77777777" w:rsidR="00E119F0" w:rsidRDefault="00E119F0" w:rsidP="00566394"/>
        </w:tc>
        <w:tc>
          <w:tcPr>
            <w:tcW w:w="1736" w:type="dxa"/>
          </w:tcPr>
          <w:p w14:paraId="10A836C0" w14:textId="77777777" w:rsidR="00E119F0" w:rsidRDefault="00E119F0" w:rsidP="00566394"/>
        </w:tc>
      </w:tr>
      <w:tr w:rsidR="00E119F0" w14:paraId="173D2018" w14:textId="77777777" w:rsidTr="00566394">
        <w:tc>
          <w:tcPr>
            <w:tcW w:w="1303" w:type="dxa"/>
          </w:tcPr>
          <w:p w14:paraId="2E1E487A" w14:textId="77777777" w:rsidR="00E119F0" w:rsidRDefault="00E119F0" w:rsidP="00566394">
            <w:r>
              <w:t>SE2</w:t>
            </w:r>
          </w:p>
        </w:tc>
        <w:tc>
          <w:tcPr>
            <w:tcW w:w="1697" w:type="dxa"/>
          </w:tcPr>
          <w:p w14:paraId="5ACF467D" w14:textId="77777777" w:rsidR="00E119F0" w:rsidRDefault="00E119F0" w:rsidP="00566394"/>
        </w:tc>
        <w:tc>
          <w:tcPr>
            <w:tcW w:w="1695" w:type="dxa"/>
          </w:tcPr>
          <w:p w14:paraId="5CCFFEE7" w14:textId="77777777" w:rsidR="00E119F0" w:rsidRDefault="00E119F0" w:rsidP="00566394"/>
        </w:tc>
        <w:tc>
          <w:tcPr>
            <w:tcW w:w="1695" w:type="dxa"/>
          </w:tcPr>
          <w:p w14:paraId="3272C76D" w14:textId="77777777" w:rsidR="00E119F0" w:rsidRDefault="00E119F0" w:rsidP="00566394"/>
        </w:tc>
        <w:tc>
          <w:tcPr>
            <w:tcW w:w="1736" w:type="dxa"/>
          </w:tcPr>
          <w:p w14:paraId="78595C76" w14:textId="77777777" w:rsidR="00E119F0" w:rsidRDefault="00E119F0" w:rsidP="00566394"/>
        </w:tc>
      </w:tr>
      <w:tr w:rsidR="00E119F0" w14:paraId="465E1D2A" w14:textId="77777777" w:rsidTr="00566394">
        <w:tc>
          <w:tcPr>
            <w:tcW w:w="1303" w:type="dxa"/>
          </w:tcPr>
          <w:p w14:paraId="1F04EAB3" w14:textId="77777777" w:rsidR="00E119F0" w:rsidRDefault="00E119F0" w:rsidP="00566394">
            <w:r>
              <w:t>SE3</w:t>
            </w:r>
          </w:p>
        </w:tc>
        <w:tc>
          <w:tcPr>
            <w:tcW w:w="1697" w:type="dxa"/>
          </w:tcPr>
          <w:p w14:paraId="1AAC8E6D" w14:textId="77777777" w:rsidR="00E119F0" w:rsidRDefault="00E119F0" w:rsidP="00566394"/>
        </w:tc>
        <w:tc>
          <w:tcPr>
            <w:tcW w:w="1695" w:type="dxa"/>
          </w:tcPr>
          <w:p w14:paraId="68E0A451" w14:textId="77777777" w:rsidR="00E119F0" w:rsidRDefault="00E119F0" w:rsidP="00566394"/>
        </w:tc>
        <w:tc>
          <w:tcPr>
            <w:tcW w:w="1695" w:type="dxa"/>
          </w:tcPr>
          <w:p w14:paraId="0D0CA486" w14:textId="77777777" w:rsidR="00E119F0" w:rsidRDefault="00E119F0" w:rsidP="00566394"/>
        </w:tc>
        <w:tc>
          <w:tcPr>
            <w:tcW w:w="1736" w:type="dxa"/>
          </w:tcPr>
          <w:p w14:paraId="39106E24" w14:textId="77777777" w:rsidR="00E119F0" w:rsidRDefault="00E119F0" w:rsidP="00566394"/>
        </w:tc>
      </w:tr>
      <w:tr w:rsidR="00E119F0" w14:paraId="6F6A323B" w14:textId="77777777" w:rsidTr="00566394">
        <w:tc>
          <w:tcPr>
            <w:tcW w:w="1303" w:type="dxa"/>
          </w:tcPr>
          <w:p w14:paraId="2391B60B" w14:textId="77777777" w:rsidR="00E119F0" w:rsidRDefault="00E119F0" w:rsidP="00566394">
            <w:r>
              <w:t>Other parameters</w:t>
            </w:r>
          </w:p>
        </w:tc>
        <w:tc>
          <w:tcPr>
            <w:tcW w:w="1697" w:type="dxa"/>
          </w:tcPr>
          <w:p w14:paraId="2801790C" w14:textId="77777777" w:rsidR="00E119F0" w:rsidRDefault="00E119F0" w:rsidP="00566394"/>
        </w:tc>
        <w:tc>
          <w:tcPr>
            <w:tcW w:w="1695" w:type="dxa"/>
          </w:tcPr>
          <w:p w14:paraId="5B8D8BE9" w14:textId="77777777" w:rsidR="00E119F0" w:rsidRDefault="00E119F0" w:rsidP="00566394"/>
        </w:tc>
        <w:tc>
          <w:tcPr>
            <w:tcW w:w="1695" w:type="dxa"/>
          </w:tcPr>
          <w:p w14:paraId="603D5F94" w14:textId="77777777" w:rsidR="00E119F0" w:rsidRDefault="00E119F0" w:rsidP="00566394"/>
        </w:tc>
        <w:tc>
          <w:tcPr>
            <w:tcW w:w="1736" w:type="dxa"/>
          </w:tcPr>
          <w:p w14:paraId="2D88AD39" w14:textId="77777777" w:rsidR="00E119F0" w:rsidRDefault="00E119F0" w:rsidP="00566394"/>
        </w:tc>
      </w:tr>
    </w:tbl>
    <w:p w14:paraId="5815E90F" w14:textId="77777777" w:rsidR="00E119F0" w:rsidRDefault="00E119F0" w:rsidP="00E119F0">
      <w:pPr>
        <w:spacing w:after="0"/>
      </w:pPr>
      <w:r>
        <w:t>Notes:</w:t>
      </w:r>
    </w:p>
    <w:p w14:paraId="5B9AC661" w14:textId="77777777" w:rsidR="00E119F0" w:rsidRDefault="00E119F0" w:rsidP="00E119F0">
      <w:pPr>
        <w:pStyle w:val="a"/>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Pr="00F94D0A" w:rsidRDefault="00E119F0" w:rsidP="00E119F0">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29424545" w14:textId="43EB9C5A" w:rsidR="00E119F0" w:rsidRDefault="007055BC">
      <w:r>
        <w:t>Please provide your view below:</w:t>
      </w:r>
    </w:p>
    <w:tbl>
      <w:tblPr>
        <w:tblStyle w:val="af7"/>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0AD61B6D" w14:textId="77777777" w:rsidR="00036C66" w:rsidRDefault="00036C66" w:rsidP="00036C66">
            <w:pPr>
              <w:spacing w:after="0"/>
              <w:rPr>
                <w:rFonts w:eastAsia="宋体"/>
                <w:lang w:val="en-US" w:eastAsia="zh-CN"/>
              </w:rPr>
            </w:pPr>
            <w:r>
              <w:rPr>
                <w:rFonts w:eastAsia="宋体" w:hint="eastAsia"/>
                <w:lang w:val="en-US" w:eastAsia="zh-CN"/>
              </w:rPr>
              <w:t>A</w:t>
            </w:r>
            <w:r>
              <w:rPr>
                <w:rFonts w:eastAsia="宋体"/>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34DAF6BA" w14:textId="36C43EDC" w:rsidR="00036C66" w:rsidRDefault="00036C66" w:rsidP="00036C66">
            <w:pPr>
              <w:spacing w:after="0"/>
              <w:rPr>
                <w:rFonts w:eastAsia="宋体"/>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r>
              <w:t>Spreadtrum</w:t>
            </w:r>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lastRenderedPageBreak/>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lastRenderedPageBreak/>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bounded-</w:t>
            </w:r>
            <w:r>
              <w:lastRenderedPageBreak/>
              <w:t xml:space="preserve">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lastRenderedPageBreak/>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UE/gNB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Proposal 2: Study a non-paired constellation approach for geometric shaping, where the transmitter employs NP-NUC, while the receiver uses the legacy QAM for demapping.</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lastRenderedPageBreak/>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Observation 3: Geometric shaping can reuse the 5G procedures for symbol mapping at the transmitter and symbol demapping at the receiver.</w:t>
            </w:r>
          </w:p>
          <w:p w14:paraId="0EB4AC35" w14:textId="77777777" w:rsidR="00BF7C22" w:rsidRDefault="00265AB9">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lastRenderedPageBreak/>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f7"/>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r>
              <w:lastRenderedPageBreak/>
              <w:t>Spreadtrum</w:t>
            </w:r>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af7"/>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lastRenderedPageBreak/>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f7"/>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Observation 3: For probabilistic shaping implemented by enumerative sphere shaping, the number of operations required by the decoding progress of the distribution matcher is about 5% of that required by demapping.</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Observation 1 :- The de-mapping complexity of 1D-NUC is comparable to that of a uniform constellation, as both require a similar number of operations for LLR computation.</w:t>
            </w:r>
          </w:p>
          <w:p w14:paraId="565B0454" w14:textId="77777777" w:rsidR="00BF7C22" w:rsidRDefault="00265AB9">
            <w:pPr>
              <w:spacing w:after="0"/>
            </w:pPr>
            <w:r>
              <w:t>Observation 2 :- The de-mapping complexity of 2D-NUC is significantly higher than that of 1D-NUC due to the need for joint processing of in-phase and quadrature components.</w:t>
            </w:r>
          </w:p>
          <w:p w14:paraId="7CC1EF4A" w14:textId="77777777" w:rsidR="00BF7C22" w:rsidRDefault="00265AB9">
            <w:pPr>
              <w:spacing w:after="0"/>
            </w:pPr>
            <w:r>
              <w:t>Proposal 1 :-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Observation 6: Uniform QAM and 1D-NUC require similar demapping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lastRenderedPageBreak/>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1D-NUC has a modest increase (~ ≤1.2x) in computational complexity compared to uniform QAM but the complexity increase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lastRenderedPageBreak/>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lastRenderedPageBreak/>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Observation 3 :-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Observation 4 :-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Observation 5 :-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Observation 6 :- Initial study using 5G-NR PUSCH chain using MCS table 2 under TDL-A channel with retransmission shows up to 10% throughput gain for 1D-NUC and 2D-NUC.</w:t>
            </w:r>
          </w:p>
          <w:p w14:paraId="05B6CF21" w14:textId="77777777" w:rsidR="00BF7C22" w:rsidRDefault="00265AB9">
            <w:pPr>
              <w:spacing w:after="0"/>
            </w:pPr>
            <w:r>
              <w:t>Observation 7 :-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Observation 8 :- NUC optimized for AWGN channel and a target SNR also provides throughput gain under fading channel (TDL-A).</w:t>
            </w:r>
          </w:p>
          <w:p w14:paraId="75D0E2D6" w14:textId="77777777" w:rsidR="00BF7C22" w:rsidRDefault="00265AB9">
            <w:pPr>
              <w:spacing w:after="0"/>
            </w:pPr>
            <w:r>
              <w:t>Observation 9 :-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lastRenderedPageBreak/>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Observation 5: Direct method based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lastRenderedPageBreak/>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lastRenderedPageBreak/>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lastRenderedPageBreak/>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lastRenderedPageBreak/>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宋体" w:hint="eastAsia"/>
                <w:lang w:val="en-US" w:eastAsia="zh-CN"/>
              </w:rPr>
              <w:t>ZTE, Sanechips</w:t>
            </w:r>
          </w:p>
        </w:tc>
        <w:tc>
          <w:tcPr>
            <w:tcW w:w="7877" w:type="dxa"/>
          </w:tcPr>
          <w:p w14:paraId="5CF25247" w14:textId="77777777" w:rsidR="00BF7C22" w:rsidRDefault="00265AB9">
            <w:pPr>
              <w:spacing w:after="0"/>
              <w:rPr>
                <w:rFonts w:eastAsia="宋体"/>
                <w:lang w:val="en-US" w:eastAsia="zh-CN"/>
              </w:rPr>
            </w:pPr>
            <w:r>
              <w:rPr>
                <w:rFonts w:eastAsia="宋体"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宋体"/>
                      <w:color w:val="000000"/>
                    </w:rPr>
                  </w:pPr>
                  <w:r>
                    <w:rPr>
                      <w:rFonts w:eastAsia="宋体"/>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宋体"/>
                      <w:color w:val="000000"/>
                    </w:rPr>
                  </w:pPr>
                  <w:r>
                    <w:rPr>
                      <w:rFonts w:eastAsia="宋体"/>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宋体"/>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宋体"/>
                      <w:color w:val="000000"/>
                    </w:rPr>
                  </w:pPr>
                  <w:r>
                    <w:rPr>
                      <w:rFonts w:eastAsia="宋体"/>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-2.2 dB for TBS of 48,</w:t>
                  </w:r>
                  <w:r>
                    <w:rPr>
                      <w:rFonts w:eastAsia="宋体"/>
                      <w:color w:val="000000"/>
                      <w:lang w:val="en-US" w:eastAsia="zh-CN" w:bidi="ar"/>
                    </w:rPr>
                    <w:br/>
                    <w:t>-1.6 dB for TBS of 104,</w:t>
                  </w:r>
                  <w:r>
                    <w:rPr>
                      <w:rFonts w:eastAsia="宋体"/>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宋体"/>
                      <w:color w:val="000000"/>
                    </w:rPr>
                  </w:pPr>
                  <w:r>
                    <w:rPr>
                      <w:rFonts w:eastAsia="宋体"/>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宋体"/>
                      <w:color w:val="000000"/>
                    </w:rPr>
                  </w:pPr>
                  <w:r>
                    <w:rPr>
                      <w:rFonts w:eastAsia="宋体"/>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宋体"/>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宋体"/>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宋体"/>
                <w:lang w:val="en-US" w:eastAsia="zh-CN"/>
              </w:rPr>
            </w:pPr>
            <w:r w:rsidRPr="003755DB">
              <w:rPr>
                <w:rFonts w:eastAsia="宋体"/>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w:t>
            </w:r>
            <w:r>
              <w:rPr>
                <w:rFonts w:eastAsiaTheme="minorEastAsia"/>
                <w:lang w:eastAsia="zh-CN"/>
              </w:rPr>
              <w:lastRenderedPageBreak/>
              <w:t xml:space="preserve">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宋体" w:hint="eastAsia"/>
                <w:lang w:val="en-US" w:eastAsia="zh-CN"/>
              </w:rPr>
              <w:t>Xiaomi</w:t>
            </w:r>
          </w:p>
        </w:tc>
        <w:tc>
          <w:tcPr>
            <w:tcW w:w="7877" w:type="dxa"/>
          </w:tcPr>
          <w:p w14:paraId="751EB122" w14:textId="77777777" w:rsidR="00BF7C22" w:rsidRDefault="00265AB9">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宋体"/>
                <w:lang w:val="en-US" w:eastAsia="ko-KR"/>
              </w:rPr>
            </w:pPr>
            <w:r>
              <w:rPr>
                <w:rFonts w:eastAsia="宋体" w:hint="eastAsia"/>
                <w:lang w:val="en-US" w:eastAsia="zh-CN"/>
              </w:rPr>
              <w:t>ZTE, Sanechips</w:t>
            </w:r>
          </w:p>
        </w:tc>
        <w:tc>
          <w:tcPr>
            <w:tcW w:w="7877" w:type="dxa"/>
          </w:tcPr>
          <w:p w14:paraId="56898F7E"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performance. We have several suggestions on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宋体"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a"/>
              <w:numPr>
                <w:ilvl w:val="0"/>
                <w:numId w:val="9"/>
              </w:numPr>
              <w:spacing w:after="0"/>
              <w:rPr>
                <w:rFonts w:eastAsia="宋体"/>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lastRenderedPageBreak/>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宋体"/>
                <w:lang w:val="en-US" w:eastAsia="zh-CN"/>
              </w:rPr>
            </w:pPr>
          </w:p>
          <w:p w14:paraId="641ECDA4"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0CC3ECA4" w14:textId="77777777" w:rsidR="00BF7C22" w:rsidRDefault="00265AB9">
            <w:pPr>
              <w:spacing w:after="0"/>
              <w:rPr>
                <w:rFonts w:eastAsia="宋体"/>
                <w:lang w:val="en-US" w:eastAsia="zh-CN"/>
              </w:rPr>
            </w:pPr>
            <w:r>
              <w:rPr>
                <w:rFonts w:eastAsia="宋体"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 in</w:t>
            </w:r>
            <w:r>
              <w:rPr>
                <w:rFonts w:eastAsia="宋体" w:hint="eastAsia"/>
                <w:lang w:val="en-US" w:eastAsia="zh-CN"/>
              </w:rPr>
              <w:t xml:space="preserve"> </w:t>
            </w:r>
            <w:r>
              <w:t>a wide range of MCS/SE points</w:t>
            </w:r>
            <w:r>
              <w:rPr>
                <w:rFonts w:eastAsia="宋体" w:hint="eastAsia"/>
                <w:lang w:val="en-US" w:eastAsia="zh-CN"/>
              </w:rPr>
              <w:t xml:space="preserve"> </w:t>
            </w:r>
            <w:r>
              <w:rPr>
                <w:rFonts w:eastAsia="宋体" w:hint="eastAsia"/>
                <w:color w:val="C00000"/>
                <w:u w:val="single"/>
                <w:lang w:val="en-US" w:eastAsia="zh-CN"/>
              </w:rPr>
              <w:t>with modulation order as 5G NR</w:t>
            </w:r>
            <w:r>
              <w:t>, subject to proper parameter choices</w:t>
            </w:r>
            <w:r>
              <w:rPr>
                <w:rFonts w:eastAsia="宋体" w:hint="eastAsia"/>
                <w:lang w:val="en-US" w:eastAsia="zh-CN"/>
              </w:rPr>
              <w:t xml:space="preserve"> </w:t>
            </w:r>
            <w:r>
              <w:rPr>
                <w:rFonts w:eastAsia="宋体"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宋体" w:hint="eastAsia"/>
                <w:lang w:val="en-US" w:eastAsia="zh-CN"/>
              </w:rPr>
              <w:t>SNR gain wise, PS &gt; 2D-NUC &gt; 1D-NUC</w:t>
            </w:r>
            <w:r>
              <w:rPr>
                <w:rFonts w:eastAsia="宋体"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宋体"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w:t>
            </w:r>
            <w:r>
              <w:rPr>
                <w:rFonts w:eastAsia="宋体" w:hint="eastAsia"/>
                <w:lang w:val="en-US" w:eastAsia="zh-CN"/>
              </w:rPr>
              <w:t xml:space="preserve"> in </w:t>
            </w:r>
            <w:r>
              <w:t>a wide range of MCS/SE points</w:t>
            </w:r>
            <w:r>
              <w:rPr>
                <w:rFonts w:eastAsia="宋体" w:hint="eastAsia"/>
                <w:lang w:val="en-US" w:eastAsia="zh-CN"/>
              </w:rPr>
              <w:t xml:space="preserve"> </w:t>
            </w:r>
            <w:r>
              <w:rPr>
                <w:rFonts w:eastAsia="宋体" w:hint="eastAsia"/>
                <w:color w:val="C00000"/>
                <w:u w:val="single"/>
                <w:lang w:val="en-US" w:eastAsia="zh-CN"/>
              </w:rPr>
              <w:t>with different modulation order  from 5G NR</w:t>
            </w:r>
            <w:r>
              <w:t>, subject to proper parameter choices</w:t>
            </w:r>
            <w:r>
              <w:rPr>
                <w:rFonts w:eastAsia="宋体"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宋体" w:hint="eastAsia"/>
                <w:lang w:val="en-US" w:eastAsia="zh-CN"/>
              </w:rPr>
              <w:t xml:space="preserve">SNR gain wise, PS &gt; 2D-NUC &gt; 1D-NUC </w:t>
            </w:r>
            <w:r>
              <w:rPr>
                <w:rFonts w:eastAsia="宋体"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宋体"/>
                <w:lang w:val="en-US" w:eastAsia="ko-KR"/>
              </w:rPr>
            </w:pPr>
            <w:r>
              <w:rPr>
                <w:rFonts w:eastAsia="宋体"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宋体"/>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宋体"/>
                <w:lang w:val="en-US" w:eastAsia="zh-CN"/>
              </w:rPr>
            </w:pPr>
            <w:r w:rsidRPr="00966DE7">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宋体"/>
                <w:lang w:val="en-US" w:eastAsia="zh-CN"/>
              </w:rPr>
            </w:pPr>
            <w:r w:rsidRPr="00966DE7">
              <w:rPr>
                <w:rFonts w:eastAsia="宋体"/>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宋体"/>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7877" w:type="dxa"/>
          </w:tcPr>
          <w:p w14:paraId="01365F2C" w14:textId="77777777" w:rsidR="009B2A8C" w:rsidRDefault="009B2A8C" w:rsidP="00074347">
            <w:pPr>
              <w:spacing w:after="0"/>
              <w:rPr>
                <w:rFonts w:eastAsia="宋体"/>
                <w:lang w:val="en-US" w:eastAsia="zh-CN"/>
              </w:rPr>
            </w:pPr>
            <w:r>
              <w:rPr>
                <w:rFonts w:eastAsia="宋体"/>
                <w:lang w:val="en-US" w:eastAsia="zh-CN"/>
              </w:rPr>
              <w:t>See our comments for Discussion 2.3-1.</w:t>
            </w:r>
          </w:p>
          <w:p w14:paraId="1DEDD8F4" w14:textId="6B1E035B" w:rsidR="009B2A8C" w:rsidRDefault="009B2A8C" w:rsidP="00074347">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eastAsia="宋体" w:hint="eastAsia"/>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宋体"/>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宋体"/>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r>
              <w:rPr>
                <w:rFonts w:eastAsiaTheme="minorEastAsia" w:hint="eastAsia"/>
                <w:lang w:eastAsia="zh-CN"/>
              </w:rPr>
              <w:lastRenderedPageBreak/>
              <w:t>Spreadtrum</w:t>
            </w:r>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D25EBDB" w14:textId="77777777" w:rsidR="00BF7C22" w:rsidRDefault="00265AB9">
            <w:pPr>
              <w:spacing w:after="0"/>
              <w:rPr>
                <w:rFonts w:eastAsia="宋体"/>
                <w:lang w:val="en-US" w:eastAsia="zh-CN"/>
              </w:rPr>
            </w:pPr>
            <w:r>
              <w:rPr>
                <w:rFonts w:eastAsia="宋体"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宋体"/>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宋体"/>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宋体"/>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宋体"/>
                <w:lang w:eastAsia="zh-CN"/>
              </w:rPr>
              <w:t xml:space="preserve"> AWGN</w:t>
            </w:r>
            <w:r>
              <w:rPr>
                <w:rFonts w:eastAsia="Batang" w:hint="eastAsia"/>
                <w:lang w:eastAsia="ko-KR"/>
              </w:rPr>
              <w:t xml:space="preserve"> channel</w:t>
            </w:r>
            <w:r w:rsidRPr="00B001FA">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BAAB30D" w14:textId="77777777" w:rsidR="00BF7C22" w:rsidRDefault="00265AB9">
            <w:pPr>
              <w:spacing w:after="0"/>
              <w:rPr>
                <w:rFonts w:eastAsia="宋体"/>
                <w:lang w:val="en-US" w:eastAsia="zh-CN"/>
              </w:rPr>
            </w:pPr>
            <w:r>
              <w:rPr>
                <w:rFonts w:eastAsia="宋体"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宋体"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宋体"/>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F62AFB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65780ED4" w14:textId="77777777">
        <w:tc>
          <w:tcPr>
            <w:tcW w:w="1975" w:type="dxa"/>
          </w:tcPr>
          <w:p w14:paraId="5F861127" w14:textId="77777777" w:rsidR="00BF7C22" w:rsidRDefault="00265AB9">
            <w:pPr>
              <w:spacing w:after="0"/>
              <w:rPr>
                <w:rFonts w:eastAsia="宋体"/>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宋体"/>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宋体"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lastRenderedPageBreak/>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2B5A0199" w14:textId="77777777" w:rsidR="009B2A8C" w:rsidRDefault="009B2A8C" w:rsidP="00074347">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宋体"/>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6D8837AA" w14:textId="77777777" w:rsidR="00BF7C22" w:rsidRDefault="00265AB9">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48724AB0" w14:textId="77777777" w:rsidR="009B2A8C" w:rsidRDefault="009B2A8C" w:rsidP="00074347">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lastRenderedPageBreak/>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The demapper complexity is similar to corresponding uniform QAM demapper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The demapper complexity should be compared with uniform QAM demapper complexity</w:t>
      </w:r>
    </w:p>
    <w:p w14:paraId="61B36E0B" w14:textId="77777777" w:rsidR="00BF7C22" w:rsidRDefault="00265AB9">
      <w:pPr>
        <w:pStyle w:val="StatementBody"/>
        <w:numPr>
          <w:ilvl w:val="2"/>
          <w:numId w:val="5"/>
        </w:numPr>
        <w:spacing w:after="0"/>
      </w:pPr>
      <w:r>
        <w:t>Can report the ratio of GS demapper complexity over the uniform QAM demapper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501C0B9" w14:textId="77777777" w:rsidR="00BF7C22" w:rsidRDefault="00265AB9">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proofErr w:type="spellStart"/>
            <w:r>
              <w:rPr>
                <w:rFonts w:eastAsia="宋体" w:hint="eastAsia"/>
                <w:kern w:val="2"/>
                <w:lang w:val="en-US" w:eastAsia="zh-CN"/>
              </w:rPr>
              <w:t>verall</w:t>
            </w:r>
            <w:proofErr w:type="spellEnd"/>
            <w:r>
              <w:rPr>
                <w:rFonts w:eastAsia="宋体" w:hint="eastAsia"/>
                <w:kern w:val="2"/>
                <w:lang w:val="en-US" w:eastAsia="zh-CN"/>
              </w:rPr>
              <w:t xml:space="preserve"> co</w:t>
            </w:r>
            <w:proofErr w:type="spellStart"/>
            <w:r>
              <w:rPr>
                <w:rFonts w:eastAsia="宋体"/>
                <w:kern w:val="2"/>
                <w:lang w:eastAsia="zh-CN"/>
              </w:rPr>
              <w:t>mputational</w:t>
            </w:r>
            <w:proofErr w:type="spellEnd"/>
            <w:r>
              <w:rPr>
                <w:rFonts w:eastAsia="宋体"/>
                <w:kern w:val="2"/>
                <w:lang w:eastAsia="zh-CN"/>
              </w:rPr>
              <w:t xml:space="preserve"> </w:t>
            </w:r>
            <w:r>
              <w:rPr>
                <w:rFonts w:eastAsia="宋体" w:hint="eastAsia"/>
                <w:kern w:val="2"/>
                <w:lang w:val="en-US" w:eastAsia="zh-CN"/>
              </w:rPr>
              <w:t>c</w:t>
            </w:r>
            <w:proofErr w:type="spellStart"/>
            <w:r>
              <w:rPr>
                <w:rFonts w:eastAsia="宋体"/>
                <w:kern w:val="2"/>
                <w:lang w:eastAsia="zh-CN"/>
              </w:rPr>
              <w:t>omplexity</w:t>
            </w:r>
            <w:proofErr w:type="spellEnd"/>
            <w:r>
              <w:rPr>
                <w:rFonts w:eastAsia="宋体"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宋体"/>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04734A7F"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complexity. We have several suggestions on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For transmitter complexity</w:t>
            </w:r>
          </w:p>
          <w:p w14:paraId="0574AA85" w14:textId="2898AE44" w:rsidR="00BF7C22" w:rsidRDefault="00265AB9">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宋体"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宋体"/>
                <w:lang w:val="en-US" w:eastAsia="zh-CN"/>
              </w:rPr>
            </w:pPr>
            <w:r>
              <w:rPr>
                <w:rFonts w:hint="eastAsia"/>
                <w:lang w:val="en-US" w:eastAsia="zh-CN"/>
              </w:rPr>
              <w:t>For storage requirement for GS, it is depends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宋体"/>
                <w:lang w:val="en-US" w:eastAsia="zh-CN"/>
              </w:rPr>
            </w:pPr>
          </w:p>
          <w:p w14:paraId="5986BBE8" w14:textId="77777777" w:rsidR="00BF7C22" w:rsidRDefault="00BF7C22">
            <w:pPr>
              <w:spacing w:after="0"/>
              <w:rPr>
                <w:rFonts w:eastAsia="宋体"/>
                <w:lang w:val="en-US" w:eastAsia="zh-CN"/>
              </w:rPr>
            </w:pPr>
          </w:p>
          <w:p w14:paraId="20E3A327"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宋体" w:hint="eastAsia"/>
                <w:lang w:val="en-US" w:eastAsia="zh-CN"/>
              </w:rPr>
              <w:t xml:space="preserve">DM complexity and/or storage requirement depends on DM algorithm used (ESS, CCDM, </w:t>
            </w:r>
            <w:proofErr w:type="spellStart"/>
            <w:r>
              <w:rPr>
                <w:rFonts w:eastAsia="宋体" w:hint="eastAsia"/>
                <w:lang w:val="en-US" w:eastAsia="zh-CN"/>
              </w:rPr>
              <w:t>etc</w:t>
            </w:r>
            <w:proofErr w:type="spellEnd"/>
            <w:r>
              <w:rPr>
                <w:rFonts w:eastAsia="宋体" w:hint="eastAsia"/>
                <w:lang w:val="en-US" w:eastAsia="zh-CN"/>
              </w:rPr>
              <w:t xml:space="preserve">), block length, </w:t>
            </w:r>
            <w:r>
              <w:rPr>
                <w:rFonts w:eastAsia="宋体" w:hint="eastAsia"/>
                <w:color w:val="C00000"/>
                <w:u w:val="single"/>
                <w:lang w:val="en-US" w:eastAsia="zh-CN"/>
              </w:rPr>
              <w:t xml:space="preserve">computation </w:t>
            </w:r>
            <w:r>
              <w:rPr>
                <w:rFonts w:eastAsia="宋体" w:hint="eastAsia"/>
                <w:color w:val="C00000"/>
                <w:u w:val="single"/>
                <w:lang w:val="en-US" w:eastAsia="zh-CN"/>
              </w:rPr>
              <w:lastRenderedPageBreak/>
              <w:t>precision in bits for encoding/decoding</w:t>
            </w:r>
            <w:r>
              <w:rPr>
                <w:rFonts w:eastAsia="宋体"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demapper complexity </w:t>
            </w:r>
            <w:r>
              <w:rPr>
                <w:strike/>
                <w:color w:val="C00000"/>
              </w:rPr>
              <w:t>is similar to corresponding</w:t>
            </w:r>
            <w:r>
              <w:t xml:space="preserve"> </w:t>
            </w:r>
            <w:r>
              <w:rPr>
                <w:rFonts w:eastAsia="宋体" w:hint="eastAsia"/>
                <w:lang w:val="en-US" w:eastAsia="zh-CN"/>
              </w:rPr>
              <w:t xml:space="preserve">should be compared with </w:t>
            </w:r>
            <w:r>
              <w:t>uniform QAM demapper complexity</w:t>
            </w:r>
          </w:p>
          <w:p w14:paraId="67AF957B" w14:textId="77777777" w:rsidR="00BF7C22" w:rsidRDefault="00265AB9">
            <w:pPr>
              <w:pStyle w:val="StatementBody"/>
              <w:numPr>
                <w:ilvl w:val="3"/>
                <w:numId w:val="5"/>
              </w:numPr>
              <w:spacing w:after="0"/>
            </w:pPr>
            <w:r>
              <w:rPr>
                <w:rFonts w:eastAsia="宋体" w:hint="eastAsia"/>
                <w:color w:val="C00000"/>
                <w:u w:val="single"/>
                <w:lang w:val="en-US" w:eastAsia="zh-CN"/>
              </w:rPr>
              <w:t>Can report the ratio of PS demapper complexity over uniform QAM demapper complexity</w:t>
            </w:r>
          </w:p>
          <w:p w14:paraId="560678A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probability distribution used (MB distribution, </w:t>
            </w:r>
            <w:proofErr w:type="spellStart"/>
            <w:r>
              <w:rPr>
                <w:rFonts w:eastAsia="宋体" w:hint="eastAsia"/>
                <w:color w:val="C00000"/>
                <w:u w:val="single"/>
                <w:lang w:val="en-US" w:eastAsia="zh-CN"/>
              </w:rPr>
              <w:t>etc</w:t>
            </w:r>
            <w:proofErr w:type="spellEnd"/>
            <w:r>
              <w:rPr>
                <w:rFonts w:eastAsia="宋体"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w:t>
            </w:r>
            <w:r>
              <w:rPr>
                <w:rFonts w:eastAsia="宋体" w:hint="eastAsia"/>
                <w:lang w:val="en-US" w:eastAsia="zh-CN"/>
              </w:rPr>
              <w:t xml:space="preserve">DM algorithm used (ESS, CCDM, </w:t>
            </w:r>
            <w:proofErr w:type="spellStart"/>
            <w:r>
              <w:rPr>
                <w:rFonts w:eastAsia="宋体" w:hint="eastAsia"/>
                <w:lang w:val="en-US" w:eastAsia="zh-CN"/>
              </w:rPr>
              <w:t>etc</w:t>
            </w:r>
            <w:proofErr w:type="spellEnd"/>
            <w:r>
              <w:rPr>
                <w:rFonts w:eastAsia="宋体"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LMMSE receiver or </w:t>
            </w:r>
            <w:proofErr w:type="spellStart"/>
            <w:r>
              <w:rPr>
                <w:rFonts w:eastAsia="宋体" w:hint="eastAsia"/>
                <w:color w:val="C00000"/>
                <w:u w:val="single"/>
                <w:lang w:val="en-US" w:eastAsia="zh-CN"/>
              </w:rPr>
              <w:t>rML</w:t>
            </w:r>
            <w:proofErr w:type="spellEnd"/>
            <w:r>
              <w:rPr>
                <w:rFonts w:eastAsia="宋体"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宋体"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宋体"/>
                <w:color w:val="C00000"/>
                <w:u w:val="single"/>
                <w:lang w:eastAsia="zh-CN"/>
              </w:rPr>
              <w:t>S</w:t>
            </w:r>
            <w:proofErr w:type="spellStart"/>
            <w:r>
              <w:rPr>
                <w:rFonts w:eastAsia="宋体" w:hint="eastAsia"/>
                <w:color w:val="C00000"/>
                <w:u w:val="single"/>
                <w:lang w:val="en-US" w:eastAsia="zh-CN"/>
              </w:rPr>
              <w:t>torage</w:t>
            </w:r>
            <w:proofErr w:type="spellEnd"/>
            <w:r>
              <w:rPr>
                <w:rFonts w:eastAsia="宋体"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宋体"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The demapper complexity should be compared with uniform QAM demapper complexity</w:t>
            </w:r>
          </w:p>
          <w:p w14:paraId="4DFBCAD1" w14:textId="77777777" w:rsidR="00BF7C22" w:rsidRDefault="00265AB9">
            <w:pPr>
              <w:pStyle w:val="StatementBody"/>
              <w:numPr>
                <w:ilvl w:val="3"/>
                <w:numId w:val="5"/>
              </w:numPr>
              <w:spacing w:after="0"/>
            </w:pPr>
            <w:r>
              <w:t>Can report the ratio of GS demapper complexity over the uniform QAM demapper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宋体"/>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宋体"/>
                <w:lang w:val="en-US" w:eastAsia="zh-CN"/>
              </w:rPr>
            </w:pPr>
            <w:r w:rsidRPr="00CC4923">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sidRPr="00CC4923">
              <w:rPr>
                <w:rFonts w:eastAsiaTheme="minorEastAsia"/>
                <w:lang w:eastAsia="zh-CN"/>
              </w:rPr>
              <w:t>should</w:t>
            </w:r>
            <w:r w:rsidRPr="00CC4923">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宋体"/>
                <w:lang w:eastAsia="zh-CN"/>
              </w:rPr>
              <w:t xml:space="preserve"> for PS and demapper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宋体"/>
                <w:lang w:val="en-US" w:eastAsia="zh-CN"/>
              </w:rPr>
            </w:pPr>
            <w:r w:rsidRPr="00B425BF">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469015B1" w14:textId="5C1C1C89" w:rsidR="009B2A8C" w:rsidRDefault="009B2A8C" w:rsidP="00074347">
            <w:pPr>
              <w:spacing w:after="0"/>
              <w:rPr>
                <w:rFonts w:eastAsia="宋体"/>
                <w:lang w:val="en-US" w:eastAsia="zh-CN"/>
              </w:rPr>
            </w:pPr>
            <w:r>
              <w:rPr>
                <w:rFonts w:eastAsia="宋体" w:hint="eastAsia"/>
                <w:lang w:val="en-US" w:eastAsia="zh-CN"/>
              </w:rPr>
              <w:t>T</w:t>
            </w:r>
            <w:r>
              <w:rPr>
                <w:rFonts w:eastAsia="宋体"/>
                <w:lang w:val="en-US" w:eastAsia="zh-CN"/>
              </w:rPr>
              <w:t>hese very high-level observations cannot help us to make conclusions, especially without the connection with the performance benefit</w:t>
            </w:r>
            <w:r w:rsidR="00B67C96">
              <w:rPr>
                <w:rFonts w:eastAsia="宋体" w:hint="eastAsia"/>
                <w:lang w:val="en-US" w:eastAsia="zh-CN"/>
              </w:rPr>
              <w:t xml:space="preserve"> </w:t>
            </w:r>
            <w:r>
              <w:rPr>
                <w:rFonts w:eastAsia="宋体"/>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宋体"/>
                <w:lang w:val="en-US" w:eastAsia="zh-CN"/>
              </w:rPr>
            </w:pPr>
            <w:r>
              <w:rPr>
                <w:rFonts w:eastAsia="宋体"/>
                <w:lang w:val="en-US" w:eastAsia="zh-CN"/>
              </w:rPr>
              <w:lastRenderedPageBreak/>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af7"/>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77777777" w:rsidR="006E7E22" w:rsidRDefault="006E7E22" w:rsidP="006E7E22">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77777777"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p>
    <w:p w14:paraId="523A0857"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宋体"/>
                <w:lang w:val="en-US" w:eastAsia="zh-CN"/>
              </w:rPr>
            </w:pPr>
            <w:r>
              <w:rPr>
                <w:rFonts w:eastAsia="宋体"/>
                <w:lang w:val="en-US" w:eastAsia="zh-CN"/>
              </w:rPr>
              <w:t>V</w:t>
            </w:r>
            <w:r>
              <w:rPr>
                <w:rFonts w:eastAsia="宋体" w:hint="eastAsia"/>
                <w:lang w:val="en-US" w:eastAsia="zh-CN"/>
              </w:rPr>
              <w:t>ivo</w:t>
            </w:r>
          </w:p>
        </w:tc>
        <w:tc>
          <w:tcPr>
            <w:tcW w:w="7877" w:type="dxa"/>
          </w:tcPr>
          <w:p w14:paraId="22367B4A" w14:textId="77777777" w:rsidR="007055BC" w:rsidRDefault="00472B54" w:rsidP="00566394">
            <w:pPr>
              <w:spacing w:after="0"/>
              <w:rPr>
                <w:rFonts w:eastAsia="宋体"/>
                <w:lang w:val="en-US" w:eastAsia="zh-CN"/>
              </w:rPr>
            </w:pPr>
            <w:r>
              <w:rPr>
                <w:rFonts w:eastAsia="宋体" w:hint="eastAsia"/>
                <w:lang w:val="en-US" w:eastAsia="zh-CN"/>
              </w:rPr>
              <w:t>I</w:t>
            </w:r>
            <w:r>
              <w:rPr>
                <w:rFonts w:eastAsia="宋体"/>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宋体"/>
                <w:lang w:val="en-US" w:eastAsia="zh-CN"/>
              </w:rPr>
            </w:pPr>
            <w:r>
              <w:rPr>
                <w:rFonts w:eastAsia="宋体" w:hint="eastAsia"/>
                <w:lang w:val="en-US" w:eastAsia="zh-CN"/>
              </w:rPr>
              <w:t>F</w:t>
            </w:r>
            <w:r>
              <w:rPr>
                <w:rFonts w:eastAsia="宋体"/>
                <w:lang w:val="en-US" w:eastAsia="zh-CN"/>
              </w:rPr>
              <w:t xml:space="preserve">or link adaptation, one important </w:t>
            </w:r>
            <w:r w:rsidR="001B2737">
              <w:rPr>
                <w:rFonts w:eastAsia="宋体"/>
                <w:lang w:val="en-US" w:eastAsia="zh-CN"/>
              </w:rPr>
              <w:t>aspect which impacts the performance of PS/GS is the applicable code rate range of PS. Because PS canno</w:t>
            </w:r>
            <w:r w:rsidR="00936AF5">
              <w:rPr>
                <w:rFonts w:eastAsia="宋体"/>
                <w:lang w:val="en-US" w:eastAsia="zh-CN"/>
              </w:rPr>
              <w:t xml:space="preserve">t be used for high code rates because the </w:t>
            </w:r>
            <w:r w:rsidR="00936AF5">
              <w:rPr>
                <w:rFonts w:eastAsia="宋体"/>
                <w:lang w:val="en-US" w:eastAsia="zh-CN"/>
              </w:rPr>
              <w:lastRenderedPageBreak/>
              <w:t>final code rate may exceed the maximum code rate 0.925 for LDPC. Hence shaping gain may not be harvested on these high code rates.</w:t>
            </w:r>
          </w:p>
          <w:p w14:paraId="6D609201" w14:textId="77777777" w:rsidR="001B2737" w:rsidRDefault="001B2737" w:rsidP="00566394">
            <w:pPr>
              <w:spacing w:after="0"/>
              <w:rPr>
                <w:rFonts w:eastAsia="宋体"/>
                <w:lang w:val="en-US" w:eastAsia="zh-CN"/>
              </w:rPr>
            </w:pPr>
            <w:r>
              <w:rPr>
                <w:rFonts w:eastAsia="宋体" w:hint="eastAsia"/>
                <w:lang w:val="en-US" w:eastAsia="zh-CN"/>
              </w:rPr>
              <w:t>F</w:t>
            </w:r>
            <w:r>
              <w:rPr>
                <w:rFonts w:eastAsia="宋体"/>
                <w:lang w:val="en-US" w:eastAsia="zh-CN"/>
              </w:rPr>
              <w:t>or HARQ, one important aspect is the</w:t>
            </w:r>
            <w:r w:rsidR="00936AF5">
              <w:rPr>
                <w:rFonts w:eastAsia="宋体"/>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宋体"/>
                <w:lang w:val="en-US" w:eastAsia="zh-CN"/>
              </w:rPr>
            </w:pPr>
            <w:r>
              <w:rPr>
                <w:rFonts w:eastAsia="宋体" w:hint="eastAsia"/>
                <w:lang w:val="en-US" w:eastAsia="zh-CN"/>
              </w:rPr>
              <w:t>T</w:t>
            </w:r>
            <w:r>
              <w:rPr>
                <w:rFonts w:eastAsia="宋体"/>
                <w:lang w:val="en-US" w:eastAsia="zh-CN"/>
              </w:rPr>
              <w:t xml:space="preserve">hese aspects need to be </w:t>
            </w:r>
            <w:proofErr w:type="gramStart"/>
            <w:r>
              <w:rPr>
                <w:rFonts w:eastAsia="宋体"/>
                <w:lang w:val="en-US" w:eastAsia="zh-CN"/>
              </w:rPr>
              <w:t>taken into account</w:t>
            </w:r>
            <w:proofErr w:type="gramEnd"/>
            <w:r>
              <w:rPr>
                <w:rFonts w:eastAsia="宋体"/>
                <w:lang w:val="en-US" w:eastAsia="zh-CN"/>
              </w:rPr>
              <w:t xml:space="preserve"> when we draw observations or perform further study.</w:t>
            </w:r>
          </w:p>
          <w:p w14:paraId="0C5D08AC" w14:textId="77777777" w:rsidR="00936AF5" w:rsidRDefault="00936AF5" w:rsidP="00566394">
            <w:pPr>
              <w:spacing w:after="0"/>
              <w:rPr>
                <w:rFonts w:eastAsia="宋体"/>
                <w:lang w:val="en-US" w:eastAsia="zh-CN"/>
              </w:rPr>
            </w:pPr>
            <w:r>
              <w:rPr>
                <w:rFonts w:eastAsia="宋体" w:hint="eastAsia"/>
                <w:lang w:val="en-US" w:eastAsia="zh-CN"/>
              </w:rPr>
              <w:t>T</w:t>
            </w:r>
            <w:r>
              <w:rPr>
                <w:rFonts w:eastAsia="宋体"/>
                <w:lang w:val="en-US" w:eastAsia="zh-CN"/>
              </w:rPr>
              <w:t>herefore, we suggest to add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 xml:space="preserve">Frequency domain </w:t>
            </w:r>
            <w:proofErr w:type="spellStart"/>
            <w:r w:rsidRPr="00B84BEB">
              <w:rPr>
                <w:color w:val="FF0000"/>
              </w:rPr>
              <w:t>interleaver</w:t>
            </w:r>
            <w:proofErr w:type="spellEnd"/>
            <w:r w:rsidRPr="00B84BEB">
              <w:rPr>
                <w:color w:val="FF0000"/>
              </w:rPr>
              <w:t xml:space="preserve">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bookmarkStart w:id="10" w:name="_GoBack"/>
            <w:bookmarkEnd w:id="10"/>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宋体"/>
                <w:lang w:val="en-US"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7055BC" w14:paraId="578CEF3A" w14:textId="77777777" w:rsidTr="00566394">
        <w:tc>
          <w:tcPr>
            <w:tcW w:w="1975" w:type="dxa"/>
          </w:tcPr>
          <w:p w14:paraId="33ADA0D9" w14:textId="77777777" w:rsidR="007055BC" w:rsidRDefault="007055BC" w:rsidP="00566394">
            <w:pPr>
              <w:spacing w:after="0"/>
              <w:rPr>
                <w:rFonts w:eastAsia="宋体"/>
                <w:lang w:val="en-US" w:eastAsia="zh-CN"/>
              </w:rPr>
            </w:pPr>
          </w:p>
        </w:tc>
        <w:tc>
          <w:tcPr>
            <w:tcW w:w="7877" w:type="dxa"/>
          </w:tcPr>
          <w:p w14:paraId="270074C8" w14:textId="77777777" w:rsidR="007055BC" w:rsidRDefault="007055BC" w:rsidP="00566394">
            <w:pPr>
              <w:spacing w:after="0"/>
              <w:rPr>
                <w:rFonts w:eastAsia="宋体"/>
                <w:lang w:val="en-US" w:eastAsia="zh-CN"/>
              </w:rPr>
            </w:pPr>
          </w:p>
        </w:tc>
      </w:tr>
    </w:tbl>
    <w:p w14:paraId="34672F79" w14:textId="77777777" w:rsidR="007055BC" w:rsidRDefault="007055BC" w:rsidP="006E7E22">
      <w:pPr>
        <w:pStyle w:val="StatementBody"/>
        <w:numPr>
          <w:ilvl w:val="0"/>
          <w:numId w:val="0"/>
        </w:numPr>
        <w:rPr>
          <w:b/>
          <w:bCs/>
        </w:rPr>
      </w:pPr>
    </w:p>
    <w:p w14:paraId="168E72DB" w14:textId="77777777" w:rsidR="006E7E22" w:rsidRDefault="006E7E22" w:rsidP="006E7E22">
      <w:pPr>
        <w:pStyle w:val="Proposal"/>
      </w:pPr>
      <w:r>
        <w:t>Discussion 2.3-6A</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The demapper complexity is similar to corresponding uniform QAM demapper complexity</w:t>
      </w:r>
    </w:p>
    <w:p w14:paraId="58FD3747" w14:textId="0A6F1F22" w:rsidR="005D4FA8" w:rsidRDefault="005D4FA8" w:rsidP="005D4FA8">
      <w:pPr>
        <w:pStyle w:val="StatementBody"/>
        <w:numPr>
          <w:ilvl w:val="2"/>
          <w:numId w:val="5"/>
        </w:numPr>
        <w:spacing w:after="0"/>
      </w:pPr>
      <w:r>
        <w:t xml:space="preserve">Can report the ratio of </w:t>
      </w:r>
      <w:r w:rsidR="00F43C9F">
        <w:t xml:space="preserve">demapper complexity with PS over </w:t>
      </w:r>
      <w:r w:rsidR="00260C09">
        <w:t xml:space="preserve">the demapper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The demapper complexity should be compared with uniform QAM demapper complexity</w:t>
      </w:r>
    </w:p>
    <w:p w14:paraId="026C2E3C" w14:textId="77777777" w:rsidR="006E7E22" w:rsidRDefault="006E7E22" w:rsidP="006E7E22">
      <w:pPr>
        <w:pStyle w:val="StatementBody"/>
        <w:numPr>
          <w:ilvl w:val="2"/>
          <w:numId w:val="5"/>
        </w:numPr>
        <w:spacing w:after="0"/>
      </w:pPr>
      <w:r>
        <w:t>Can report the ratio of GS demapper complexity over the uniform QAM demapper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宋体"/>
                <w:lang w:val="en-US" w:eastAsia="zh-CN"/>
              </w:rPr>
            </w:pPr>
            <w:r w:rsidRPr="005D1B9B">
              <w:rPr>
                <w:rFonts w:eastAsia="宋体" w:hint="eastAsia"/>
                <w:lang w:val="en-US" w:eastAsia="zh-CN"/>
              </w:rPr>
              <w:t>Spreadtrum</w:t>
            </w:r>
          </w:p>
        </w:tc>
        <w:tc>
          <w:tcPr>
            <w:tcW w:w="7877" w:type="dxa"/>
          </w:tcPr>
          <w:p w14:paraId="7B9AC8E5" w14:textId="5A393F54" w:rsidR="000C78DC" w:rsidRPr="005D1B9B" w:rsidRDefault="000B3D43" w:rsidP="00566394">
            <w:pPr>
              <w:spacing w:after="0"/>
              <w:rPr>
                <w:rFonts w:eastAsia="宋体"/>
                <w:lang w:eastAsia="zh-CN"/>
              </w:rPr>
            </w:pPr>
            <w:r w:rsidRPr="005D1B9B">
              <w:rPr>
                <w:rFonts w:eastAsia="宋体" w:hint="eastAsia"/>
                <w:lang w:val="en-US" w:eastAsia="zh-CN"/>
              </w:rPr>
              <w:t xml:space="preserve">We have a confusion about complexity of PS, </w:t>
            </w:r>
            <w:r w:rsidRPr="005D1B9B">
              <w:rPr>
                <w:rFonts w:eastAsia="宋体" w:hint="eastAsia"/>
                <w:lang w:eastAsia="zh-CN"/>
              </w:rPr>
              <w:t>d</w:t>
            </w:r>
            <w:r w:rsidRPr="005D1B9B">
              <w:rPr>
                <w:rFonts w:eastAsia="宋体"/>
                <w:lang w:eastAsia="zh-CN"/>
              </w:rPr>
              <w:t xml:space="preserve">oes the </w:t>
            </w:r>
            <w:r w:rsidRPr="005D1B9B">
              <w:t xml:space="preserve">demapper </w:t>
            </w:r>
            <w:r w:rsidRPr="005D1B9B">
              <w:rPr>
                <w:rFonts w:eastAsia="宋体"/>
                <w:lang w:eastAsia="zh-CN"/>
              </w:rPr>
              <w:t>complexity include the complexity of DDM</w:t>
            </w:r>
            <w:r w:rsidR="005A3647" w:rsidRPr="005D1B9B">
              <w:rPr>
                <w:rFonts w:eastAsia="宋体" w:hint="eastAsia"/>
                <w:lang w:eastAsia="zh-CN"/>
              </w:rPr>
              <w:t xml:space="preserve"> </w:t>
            </w:r>
            <w:r w:rsidR="005A3647" w:rsidRPr="005D1B9B">
              <w:rPr>
                <w:rFonts w:eastAsia="宋体"/>
                <w:lang w:eastAsia="zh-CN"/>
              </w:rPr>
              <w:t>(Distribution De-</w:t>
            </w:r>
            <w:r w:rsidR="005A3647" w:rsidRPr="005D1B9B">
              <w:rPr>
                <w:rFonts w:eastAsia="宋体" w:hint="eastAsia"/>
                <w:lang w:eastAsia="zh-CN"/>
              </w:rPr>
              <w:t>m</w:t>
            </w:r>
            <w:r w:rsidR="005A3647" w:rsidRPr="005D1B9B">
              <w:rPr>
                <w:rFonts w:eastAsia="宋体"/>
                <w:lang w:eastAsia="zh-CN"/>
              </w:rPr>
              <w:t>atcher)</w:t>
            </w:r>
            <w:r w:rsidRPr="005D1B9B">
              <w:rPr>
                <w:rFonts w:eastAsia="宋体"/>
                <w:lang w:eastAsia="zh-CN"/>
              </w:rPr>
              <w:t xml:space="preserve">? Because in the second bullet </w:t>
            </w:r>
            <w:r w:rsidRPr="005D1B9B">
              <w:rPr>
                <w:rFonts w:eastAsia="宋体" w:hint="eastAsia"/>
                <w:lang w:eastAsia="zh-CN"/>
              </w:rPr>
              <w:t>for</w:t>
            </w:r>
            <w:r w:rsidRPr="005D1B9B">
              <w:rPr>
                <w:rFonts w:eastAsia="宋体"/>
                <w:lang w:eastAsia="zh-CN"/>
              </w:rPr>
              <w:t xml:space="preserve"> PS, only the </w:t>
            </w:r>
            <w:r w:rsidRPr="005D1B9B">
              <w:rPr>
                <w:rFonts w:eastAsia="宋体"/>
                <w:lang w:eastAsia="zh-CN"/>
              </w:rPr>
              <w:lastRenderedPageBreak/>
              <w:t>complexity of DM is mentioned, and we are not sure where the complexity of DDM is reflected.</w:t>
            </w:r>
            <w:r w:rsidR="0036516C" w:rsidRPr="005D1B9B">
              <w:rPr>
                <w:rFonts w:eastAsia="宋体" w:hint="eastAsia"/>
                <w:lang w:eastAsia="zh-CN"/>
              </w:rPr>
              <w:t xml:space="preserve"> </w:t>
            </w:r>
            <w:r w:rsidR="000C78DC" w:rsidRPr="005D1B9B">
              <w:rPr>
                <w:rFonts w:eastAsia="宋体" w:hint="eastAsia"/>
                <w:lang w:eastAsia="zh-CN"/>
              </w:rPr>
              <w:t xml:space="preserve">In our view, </w:t>
            </w:r>
            <w:r w:rsidR="000C78DC" w:rsidRPr="005D1B9B">
              <w:rPr>
                <w:rFonts w:eastAsia="宋体"/>
                <w:lang w:eastAsia="zh-CN"/>
              </w:rPr>
              <w:t>the complexity of DDM</w:t>
            </w:r>
            <w:r w:rsidR="000C78DC" w:rsidRPr="005D1B9B">
              <w:rPr>
                <w:rFonts w:eastAsia="宋体"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宋体" w:hint="eastAsia"/>
                <w:lang w:eastAsia="zh-CN"/>
              </w:rPr>
              <w:t xml:space="preserve">We have also a </w:t>
            </w:r>
            <w:r w:rsidRPr="005D1B9B">
              <w:rPr>
                <w:rFonts w:eastAsia="宋体" w:hint="eastAsia"/>
                <w:lang w:val="en-US" w:eastAsia="zh-CN"/>
              </w:rPr>
              <w:t xml:space="preserve">confusion about </w:t>
            </w:r>
            <w:r w:rsidRPr="005D1B9B">
              <w:rPr>
                <w:rFonts w:eastAsia="宋体"/>
                <w:lang w:val="en-US" w:eastAsia="zh-CN"/>
              </w:rPr>
              <w:t>processing delay</w:t>
            </w:r>
            <w:r w:rsidR="00766104" w:rsidRPr="005D1B9B">
              <w:rPr>
                <w:rFonts w:eastAsia="宋体"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宋体"/>
                <w:lang w:eastAsia="zh-CN"/>
              </w:rPr>
              <w:t xml:space="preserve">we are not sure where the </w:t>
            </w:r>
            <w:r w:rsidR="007B1822" w:rsidRPr="005D1B9B">
              <w:rPr>
                <w:rFonts w:eastAsia="宋体"/>
                <w:lang w:val="en-US" w:eastAsia="zh-CN"/>
              </w:rPr>
              <w:t>processing delay</w:t>
            </w:r>
            <w:r w:rsidR="007B1822" w:rsidRPr="005D1B9B">
              <w:rPr>
                <w:rFonts w:eastAsia="宋体"/>
                <w:lang w:eastAsia="zh-CN"/>
              </w:rPr>
              <w:t xml:space="preserve"> of DDM is reflected</w:t>
            </w:r>
            <w:r w:rsidR="007B1822">
              <w:rPr>
                <w:rFonts w:eastAsia="宋体"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7877" w:type="dxa"/>
          </w:tcPr>
          <w:p w14:paraId="47065739" w14:textId="77777777" w:rsidR="001D24D0" w:rsidRDefault="001D24D0" w:rsidP="001D24D0">
            <w:pPr>
              <w:spacing w:after="0"/>
              <w:rPr>
                <w:rFonts w:eastAsia="宋体"/>
                <w:lang w:val="en-US" w:eastAsia="zh-CN"/>
              </w:rPr>
            </w:pPr>
            <w:r>
              <w:rPr>
                <w:rFonts w:eastAsia="宋体" w:hint="eastAsia"/>
                <w:lang w:val="en-US" w:eastAsia="zh-CN"/>
              </w:rPr>
              <w:t>R</w:t>
            </w:r>
            <w:r>
              <w:rPr>
                <w:rFonts w:eastAsia="宋体"/>
                <w:lang w:val="en-US" w:eastAsia="zh-CN"/>
              </w:rPr>
              <w:t>egarding PS, the processing delay and parallelism depend on the DM design and the block length, and they should be the evaluation metrics of interest. Suggest to change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宋体"/>
                <w:lang w:val="en-US" w:eastAsia="zh-CN"/>
              </w:rPr>
            </w:pPr>
          </w:p>
        </w:tc>
      </w:tr>
    </w:tbl>
    <w:p w14:paraId="60B0B766" w14:textId="77777777" w:rsidR="006E7E22" w:rsidRPr="006E7E22" w:rsidRDefault="006E7E22"/>
    <w:p w14:paraId="2536116D" w14:textId="77777777" w:rsidR="00BF7C22" w:rsidRDefault="00265AB9">
      <w:pPr>
        <w:pStyle w:val="2"/>
      </w:pPr>
      <w:r>
        <w:t>Discussions on new modulations for PAPR reduction</w:t>
      </w:r>
    </w:p>
    <w:p w14:paraId="26474AFB" w14:textId="77777777" w:rsidR="00BF7C22" w:rsidRDefault="00BF7C22"/>
    <w:tbl>
      <w:tblPr>
        <w:tblStyle w:val="af7"/>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lastRenderedPageBreak/>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lastRenderedPageBreak/>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87B892E"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3DCE1BC" w14:textId="77777777" w:rsidR="00BF7C22" w:rsidRDefault="00265AB9">
            <w:pPr>
              <w:spacing w:after="0"/>
              <w:rPr>
                <w:rFonts w:eastAsia="宋体"/>
                <w:lang w:val="en-US" w:eastAsia="zh-CN"/>
              </w:rPr>
            </w:pPr>
            <w:r>
              <w:rPr>
                <w:rFonts w:eastAsia="宋体" w:hint="eastAsia"/>
                <w:lang w:val="en-US" w:eastAsia="zh-CN"/>
              </w:rPr>
              <w:t>A</w:t>
            </w:r>
            <w:r>
              <w:rPr>
                <w:rFonts w:eastAsia="宋体"/>
                <w:lang w:val="en-US" w:eastAsia="zh-CN"/>
              </w:rPr>
              <w:t>s the low-PAPR modulation is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09835EF9" w14:textId="77777777" w:rsidR="00BF7C22" w:rsidRDefault="00265AB9">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2587DE88" w14:textId="77777777" w:rsidR="00BF7C22" w:rsidRDefault="00265AB9">
            <w:pPr>
              <w:spacing w:after="0"/>
              <w:rPr>
                <w:rFonts w:eastAsia="宋体"/>
                <w:lang w:val="en-US" w:eastAsia="zh-CN"/>
              </w:rPr>
            </w:pPr>
            <w:r>
              <w:rPr>
                <w:rFonts w:eastAsia="宋体"/>
                <w:lang w:eastAsia="zh-CN"/>
              </w:rPr>
              <w:t xml:space="preserve">We agree with FL's </w:t>
            </w:r>
            <w:r>
              <w:rPr>
                <w:rFonts w:eastAsia="宋体" w:hint="eastAsia"/>
                <w:lang w:val="en-US" w:eastAsia="zh-CN"/>
              </w:rPr>
              <w:t>recommendation.</w:t>
            </w:r>
            <w:r>
              <w:rPr>
                <w:rFonts w:eastAsia="宋体"/>
                <w:lang w:eastAsia="zh-CN"/>
              </w:rPr>
              <w:t xml:space="preserve"> </w:t>
            </w:r>
            <w:r>
              <w:rPr>
                <w:rFonts w:eastAsiaTheme="minorEastAsia" w:hint="eastAsia"/>
                <w:bCs/>
                <w:lang w:eastAsia="zh-CN"/>
              </w:rPr>
              <w:t>D</w:t>
            </w:r>
            <w:r>
              <w:rPr>
                <w:rFonts w:hint="eastAsia"/>
                <w:bCs/>
              </w:rPr>
              <w:t xml:space="preserve">uplicate </w:t>
            </w:r>
            <w:r>
              <w:rPr>
                <w:rFonts w:eastAsia="宋体"/>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60DFB7A" w14:textId="77777777" w:rsidR="00BF7C22" w:rsidRDefault="00265AB9">
            <w:pPr>
              <w:spacing w:after="0"/>
              <w:rPr>
                <w:rFonts w:eastAsia="宋体"/>
                <w:lang w:eastAsia="zh-CN"/>
              </w:rPr>
            </w:pPr>
            <w:r>
              <w:rPr>
                <w:rFonts w:eastAsia="宋体"/>
                <w:lang w:eastAsia="zh-CN"/>
              </w:rPr>
              <w:t>Support</w:t>
            </w:r>
          </w:p>
        </w:tc>
      </w:tr>
      <w:tr w:rsidR="00BF7C22" w14:paraId="41087D0D" w14:textId="77777777">
        <w:tc>
          <w:tcPr>
            <w:tcW w:w="1975" w:type="dxa"/>
          </w:tcPr>
          <w:p w14:paraId="3CEB213D"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2366FD19" w14:textId="77777777" w:rsidR="00BF7C22" w:rsidRDefault="00265AB9">
            <w:pPr>
              <w:spacing w:after="0"/>
              <w:rPr>
                <w:rFonts w:eastAsia="宋体"/>
                <w:lang w:eastAsia="zh-CN"/>
              </w:rPr>
            </w:pPr>
            <w:r>
              <w:rPr>
                <w:rFonts w:eastAsia="宋体"/>
                <w:lang w:eastAsia="zh-CN"/>
              </w:rPr>
              <w:t>Support</w:t>
            </w:r>
          </w:p>
        </w:tc>
      </w:tr>
      <w:tr w:rsidR="00BF7C22" w14:paraId="0FFBC808" w14:textId="77777777">
        <w:tc>
          <w:tcPr>
            <w:tcW w:w="1975" w:type="dxa"/>
          </w:tcPr>
          <w:p w14:paraId="7DB234CF"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宋体"/>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325BE0AA"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43F6149"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719E5AF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0B22057D" w14:textId="77777777">
        <w:tc>
          <w:tcPr>
            <w:tcW w:w="1975" w:type="dxa"/>
          </w:tcPr>
          <w:p w14:paraId="3FC206AF"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357D22D6"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2D9B342D" w14:textId="77777777">
        <w:tc>
          <w:tcPr>
            <w:tcW w:w="1975" w:type="dxa"/>
          </w:tcPr>
          <w:p w14:paraId="64F253D3"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3F86B359" w14:textId="77777777" w:rsidR="00BF7C22" w:rsidRDefault="00265AB9">
            <w:pPr>
              <w:spacing w:after="0"/>
              <w:rPr>
                <w:rFonts w:eastAsia="宋体"/>
                <w:lang w:val="en-US" w:eastAsia="zh-CN"/>
              </w:rPr>
            </w:pPr>
            <w:r>
              <w:rPr>
                <w:rFonts w:eastAsia="宋体"/>
                <w:lang w:val="en-US" w:eastAsia="zh-CN"/>
              </w:rPr>
              <w:t>Agree</w:t>
            </w:r>
          </w:p>
        </w:tc>
      </w:tr>
      <w:tr w:rsidR="00BF7C22" w14:paraId="02A7275A" w14:textId="77777777">
        <w:tc>
          <w:tcPr>
            <w:tcW w:w="1975" w:type="dxa"/>
          </w:tcPr>
          <w:p w14:paraId="362D69D5"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0741CECC" w14:textId="77777777" w:rsidR="00BF7C22" w:rsidRDefault="00265AB9">
            <w:pPr>
              <w:spacing w:after="0"/>
              <w:rPr>
                <w:rFonts w:eastAsia="宋体"/>
                <w:lang w:val="en-US" w:eastAsia="zh-CN"/>
              </w:rPr>
            </w:pPr>
            <w:r>
              <w:rPr>
                <w:rFonts w:eastAsia="宋体"/>
                <w:lang w:val="en-US" w:eastAsia="zh-CN"/>
              </w:rPr>
              <w:t>Support</w:t>
            </w:r>
          </w:p>
        </w:tc>
      </w:tr>
      <w:tr w:rsidR="00BF7C22" w14:paraId="3B6D3C5E" w14:textId="77777777">
        <w:tc>
          <w:tcPr>
            <w:tcW w:w="1975" w:type="dxa"/>
          </w:tcPr>
          <w:p w14:paraId="619D66DC"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宋体"/>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1D2AD84D"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6BD7EF46"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宋体"/>
                <w:lang w:val="en-US" w:eastAsia="zh-CN"/>
              </w:rPr>
            </w:pPr>
            <w:r w:rsidRPr="001B3617">
              <w:rPr>
                <w:rFonts w:eastAsia="Batang" w:hint="eastAsia"/>
                <w:lang w:val="en-US" w:eastAsia="ko-KR"/>
              </w:rPr>
              <w:lastRenderedPageBreak/>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宋体" w:hint="eastAsia"/>
                <w:lang w:val="en-US" w:eastAsia="zh-CN"/>
              </w:rPr>
              <w:t>Xiaomi</w:t>
            </w:r>
          </w:p>
        </w:tc>
        <w:tc>
          <w:tcPr>
            <w:tcW w:w="7877" w:type="dxa"/>
          </w:tcPr>
          <w:p w14:paraId="408BD07C" w14:textId="77777777" w:rsidR="00BF7C22" w:rsidRDefault="00265AB9">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039EBF74" w14:textId="77777777" w:rsidR="00BF7C22" w:rsidRDefault="00265AB9">
            <w:pPr>
              <w:spacing w:after="0"/>
              <w:rPr>
                <w:rFonts w:eastAsia="宋体"/>
                <w:lang w:val="en-US" w:eastAsia="zh-CN"/>
              </w:rPr>
            </w:pPr>
            <w:r>
              <w:rPr>
                <w:rFonts w:eastAsia="宋体"/>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393B32AC" w14:textId="77777777" w:rsidR="00BF7C22" w:rsidRDefault="00265AB9">
            <w:pPr>
              <w:spacing w:after="0"/>
              <w:rPr>
                <w:rFonts w:eastAsia="宋体"/>
                <w:lang w:val="en-US" w:eastAsia="zh-CN"/>
              </w:rPr>
            </w:pPr>
            <w:r>
              <w:rPr>
                <w:rFonts w:eastAsia="宋体"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07CEB612"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72299F79" w14:textId="77777777">
        <w:tc>
          <w:tcPr>
            <w:tcW w:w="1975" w:type="dxa"/>
          </w:tcPr>
          <w:p w14:paraId="40717F41"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D2BBE1F" w14:textId="77777777" w:rsidR="00BF7C22" w:rsidRDefault="00265AB9">
            <w:pPr>
              <w:spacing w:after="0"/>
              <w:rPr>
                <w:rFonts w:eastAsia="宋体"/>
                <w:lang w:val="en-US" w:eastAsia="zh-CN"/>
              </w:rPr>
            </w:pPr>
            <w:r>
              <w:rPr>
                <w:rFonts w:eastAsia="宋体"/>
                <w:lang w:val="en-US" w:eastAsia="zh-CN"/>
              </w:rPr>
              <w:t>Support</w:t>
            </w:r>
          </w:p>
        </w:tc>
      </w:tr>
      <w:tr w:rsidR="00BF7C22" w14:paraId="765B2C38" w14:textId="77777777">
        <w:tc>
          <w:tcPr>
            <w:tcW w:w="1975" w:type="dxa"/>
          </w:tcPr>
          <w:p w14:paraId="41D7DA98"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宋体"/>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27B13320"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宋体"/>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宋体"/>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f7"/>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r>
              <w:t>Spreadtrum</w:t>
            </w:r>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lastRenderedPageBreak/>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No need or no benefit to further study: Spreadtrum</w:t>
      </w:r>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f7"/>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宋体" w:hint="eastAsia"/>
                <w:lang w:val="en-US" w:eastAsia="zh-CN"/>
              </w:rPr>
              <w:t>We noticed that FL</w:t>
            </w:r>
            <w:r>
              <w:rPr>
                <w:rFonts w:eastAsia="宋体"/>
                <w:lang w:val="en-US" w:eastAsia="zh-CN"/>
              </w:rPr>
              <w:t>’</w:t>
            </w:r>
            <w:r>
              <w:rPr>
                <w:rFonts w:eastAsia="宋体"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宋体"/>
                <w:lang w:val="en-US" w:eastAsia="zh-CN"/>
              </w:rPr>
            </w:pPr>
            <w:r w:rsidRPr="00994540">
              <w:rPr>
                <w:rFonts w:eastAsia="宋体"/>
                <w:lang w:eastAsia="zh-CN"/>
              </w:rPr>
              <w:t xml:space="preserve">We believe that QC-block interleaving is a promising approach for jointly optimizing LDPC coding and modulation. However, because its </w:t>
            </w:r>
            <w:proofErr w:type="spellStart"/>
            <w:r w:rsidRPr="00994540">
              <w:rPr>
                <w:rFonts w:eastAsia="宋体"/>
                <w:lang w:eastAsia="zh-CN"/>
              </w:rPr>
              <w:t>behavior</w:t>
            </w:r>
            <w:proofErr w:type="spellEnd"/>
            <w:r w:rsidRPr="00994540">
              <w:rPr>
                <w:rFonts w:eastAsia="宋体"/>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1"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等线"/>
          <w:highlight w:val="green"/>
          <w:lang w:eastAsia="zh-CN"/>
        </w:rPr>
      </w:pPr>
      <w:r>
        <w:rPr>
          <w:rFonts w:eastAsia="等线"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lastRenderedPageBreak/>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等线"/>
          <w:highlight w:val="green"/>
          <w:lang w:val="en-US" w:eastAsia="zh-CN"/>
        </w:rPr>
      </w:pPr>
      <w:r>
        <w:rPr>
          <w:rFonts w:eastAsia="等线"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等线"/>
          <w:highlight w:val="green"/>
          <w:lang w:eastAsia="zh-CN"/>
        </w:rPr>
      </w:pPr>
      <w:r>
        <w:rPr>
          <w:rFonts w:eastAsia="等线"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等线"/>
          <w:highlight w:val="green"/>
          <w:lang w:eastAsia="zh-CN"/>
        </w:rPr>
      </w:pPr>
      <w:r>
        <w:rPr>
          <w:rFonts w:eastAsia="等线"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LLR demapper: Max-log (baseline)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a"/>
        <w:numPr>
          <w:ilvl w:val="0"/>
          <w:numId w:val="12"/>
        </w:numPr>
        <w:spacing w:after="0"/>
      </w:pPr>
      <w:r>
        <w:rPr>
          <w:rFonts w:eastAsiaTheme="minorEastAsia" w:hint="eastAsia"/>
          <w:lang w:eastAsia="zh-CN"/>
        </w:rPr>
        <w:lastRenderedPageBreak/>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等线"/>
          <w:highlight w:val="green"/>
          <w:lang w:eastAsia="zh-CN"/>
        </w:rPr>
      </w:pPr>
      <w:r>
        <w:rPr>
          <w:rFonts w:eastAsia="等线"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等线"/>
          <w:highlight w:val="green"/>
          <w:lang w:eastAsia="zh-CN"/>
        </w:rPr>
      </w:pPr>
      <w:r>
        <w:rPr>
          <w:rFonts w:eastAsia="等线"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1"/>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R1-2508390, Discussion on modulation, joint channel coding and modulation for 6GR, Spreadtrum,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InterDigital,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C47C6" w14:textId="77777777" w:rsidR="003A5F93" w:rsidRDefault="003A5F93">
      <w:pPr>
        <w:spacing w:after="0"/>
      </w:pPr>
      <w:r>
        <w:separator/>
      </w:r>
    </w:p>
  </w:endnote>
  <w:endnote w:type="continuationSeparator" w:id="0">
    <w:p w14:paraId="7EE13999" w14:textId="77777777" w:rsidR="003A5F93" w:rsidRDefault="003A5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76F4" w14:textId="77777777" w:rsidR="003A5F93" w:rsidRDefault="003A5F93">
      <w:pPr>
        <w:spacing w:after="0"/>
      </w:pPr>
      <w:r>
        <w:separator/>
      </w:r>
    </w:p>
  </w:footnote>
  <w:footnote w:type="continuationSeparator" w:id="0">
    <w:p w14:paraId="4E1D8DB7" w14:textId="77777777" w:rsidR="003A5F93" w:rsidRDefault="003A5F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3647"/>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193</TotalTime>
  <Pages>35</Pages>
  <Words>19715</Words>
  <Characters>112380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Hao Wu</cp:lastModifiedBy>
  <cp:revision>111</cp:revision>
  <dcterms:created xsi:type="dcterms:W3CDTF">2025-11-17T20:23:00Z</dcterms:created>
  <dcterms:modified xsi:type="dcterms:W3CDTF">2025-11-18T09:59:00Z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