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20235931"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R1-2508563</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0675206B"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2B5ACD">
        <w:rPr>
          <w:rFonts w:ascii="Arial" w:hAnsi="Arial" w:cs="Arial"/>
          <w:b/>
          <w:bCs/>
          <w:lang w:val="en-US"/>
        </w:rPr>
        <w:t>2</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11.1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9:10-9:50 online</w:t>
      </w:r>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45pt" o:ole="">
            <v:imagedata r:id="rId7" o:title=""/>
          </v:shape>
          <o:OLEObject Type="Embed" ProgID="Word.Document.12" ShapeID="_x0000_i1025" DrawAspect="Icon" ObjectID="_1824972844"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taken into account.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Companies to report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taken into account.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sequence based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on </w:t>
            </w:r>
            <w:r>
              <w:rPr>
                <w:i/>
                <w:iCs/>
                <w:sz w:val="18"/>
                <w:szCs w:val="18"/>
              </w:rPr>
              <w:t xml:space="preserve"> on-demand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start point for DL DFT-s-OFDM </w:t>
            </w:r>
            <w:r>
              <w:rPr>
                <w:i/>
                <w:iCs/>
                <w:sz w:val="18"/>
                <w:szCs w:val="18"/>
              </w:rPr>
              <w:t xml:space="preserve"> </w:t>
            </w:r>
            <w:r>
              <w:rPr>
                <w:rFonts w:eastAsia="SimSun"/>
                <w:i/>
                <w:iCs/>
                <w:sz w:val="18"/>
                <w:szCs w:val="18"/>
                <w:lang w:val="en-US" w:eastAsia="zh-CN"/>
              </w:rPr>
              <w:t>waveform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reference</w:t>
            </w:r>
            <w:r>
              <w:rPr>
                <w:rFonts w:eastAsia="Batang"/>
                <w:i/>
                <w:iCs/>
                <w:lang w:eastAsia="zh-CN"/>
              </w:rPr>
              <w:t xml:space="preserve">  –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r>
              <w:rPr>
                <w:rFonts w:eastAsia="Batang"/>
                <w:bCs/>
                <w:i/>
                <w:iCs/>
                <w:lang w:eastAsia="zh-CN"/>
              </w:rPr>
              <w:t xml:space="preserve">Note:For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taken into account.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Companies to report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In NTN scenario, since LOS paths are predominantly employed, the spatial multiplexing gain to be exploited for MIMO are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Receiver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Pr>
                <w:rFonts w:eastAsia="SimSun"/>
                <w:i/>
                <w:iCs/>
                <w:sz w:val="18"/>
                <w:szCs w:val="18"/>
                <w:lang w:eastAsia="zh-CN"/>
              </w:rPr>
              <w:t>.</w:t>
            </w:r>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Proposal 7: CP-OFDM remain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Support DFT-s-OFDM waveform as the DL waveform with regard to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provide a good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Proposal 2: For the study of the DFT-s-OFDM as the potential additional waveform for DL, RAN1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CP-OFDM is the only downlink waveform for 6GR; do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Gain </w:t>
            </w:r>
            <w:r>
              <w:rPr>
                <w:rFonts w:eastAsia="SimSun"/>
                <w:i/>
                <w:iCs/>
                <w:lang w:val="en-US" w:eastAsia="zh-CN"/>
              </w:rPr>
              <w:t xml:space="preserve"> along with the compatibility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To improve coverage, Selected Mapping(</w:t>
            </w:r>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2B5ACD">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To obtain broader insights with respect to the evaluations of different uplink low-PAPR proposal for 6GR, RAN1 to consider MPR-based system-level simulations in addition to link-level simulations..</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start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ote1: RB# is rounding to the nearest effective RB# (Integer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1: Compute average power of each waveform to be used as PA input;</w:t>
            </w:r>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Step 2: Obtain PA output according to PA input and PA model;</w:t>
            </w:r>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Study how to utilize the signal property of frequency redundancy in the spectrum extension based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 xml:space="preserve">Proposal 4: </w:t>
            </w:r>
            <w:r>
              <w:rPr>
                <w:rFonts w:eastAsia="SimSun"/>
                <w:bCs/>
                <w:i/>
                <w:iCs/>
                <w:sz w:val="18"/>
                <w:szCs w:val="18"/>
                <w:lang w:val="en-US" w:eastAsia="zh-CN"/>
              </w:rPr>
              <w:t xml:space="preserve"> Study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Impact to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Transceiver complexity associated with synthesis and reception;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enables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technique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2B5AC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2B5AC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2B5ACD">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r>
              <w:rPr>
                <w:i/>
                <w:iCs/>
              </w:rPr>
              <w:t>);</w:t>
            </w:r>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time;</w:t>
            </w:r>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frequency;</w:t>
            </w:r>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Proposal 14: Study the use of cut-off redundant subsymbols in U-OFDM as a means to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r>
                    <w:rPr>
                      <w:rFonts w:cs="Arial"/>
                      <w:lang w:val="en-US" w:eastAsia="en-US"/>
                    </w:rPr>
                    <w:t>Bandwidth (#PRBs)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r>
                    <w:rPr>
                      <w:rFonts w:cs="Arial"/>
                      <w:lang w:val="en-US" w:eastAsia="en-US"/>
                    </w:rPr>
                    <w:t>, P0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Take Table 11 as the start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Reported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scenario, but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lastRenderedPageBreak/>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taken into account.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Companies to report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We are Ok to agree to the proposed wayforward if unfortunately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the Question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r>
              <w:rPr>
                <w:lang w:val="en-US" w:eastAsia="zh-CN"/>
              </w:rPr>
              <w:t>Okay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r>
              <w:rPr>
                <w:rFonts w:hint="eastAsia"/>
                <w:lang w:val="en-US" w:eastAsia="zh-CN"/>
              </w:rPr>
              <w:t>we</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use-cases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lastRenderedPageBreak/>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r>
              <w:rPr>
                <w:rFonts w:eastAsia="Batang"/>
                <w:lang w:val="en-US" w:eastAsia="ko-KR"/>
              </w:rPr>
              <w:t>single-carrier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Alt2: Is it a transform precoding for all DL signals/channels on this symbol? If so, this is the solution we can understand. But the Alt should be modified to:</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a set of</w:t>
            </w:r>
            <w:r>
              <w:rPr>
                <w:rFonts w:eastAsia="Batang"/>
                <w:color w:val="FF0000"/>
                <w:lang w:val="en-US" w:eastAsia="ko-KR"/>
              </w:rPr>
              <w:t>all</w:t>
            </w:r>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Alt3: We understand this the FDM version of Alt2. But similar to Alt.1, it is not single-carrier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Alt1: It works. We suggest to focus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lt2: We want to clarify: On the DMRS symbol, are there also data REs? Is the DMRS symbol applied with transform precoding? We guess the DMRS symbol is DMRS only, and applied with transform procoding, similar to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We are supporting of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actually all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[on-demand]Sync.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a number of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lastRenderedPageBreak/>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taken into account.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Companies to report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discussion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If the study of DL DFT-s-OFDM waveform is deprioritized, there is no need to discuss about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r>
              <w:rPr>
                <w:lang w:val="en-US" w:eastAsia="zh-CN"/>
              </w:rPr>
              <w:t>in order to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r>
              <w:rPr>
                <w:bCs/>
                <w:lang w:val="en-US" w:eastAsia="zh-CN"/>
              </w:rPr>
              <w:t>Considering,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taken into account.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Note: Companies to report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lastRenderedPageBreak/>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2B5ACD">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set in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300ns</w:t>
            </w:r>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Single user evaluation assumption for MCS and PRB# [Huawei]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link level multi user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we can agree on a single PA, that is good. But even if we cannot, we can simply list the options and let companies to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4 study of previous releases, they don’t mandate to use a single PA either. In RAN4, any PA model is valid as long as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firstly?</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We think that agreeing on any PA assumption before refceiving RAN4 guidance can result in conflicts in future. For now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Having said that, we do not need to agree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r>
              <w:rPr>
                <w:lang w:val="en-US" w:eastAsia="zh-CN"/>
              </w:rPr>
              <w:t>”</w:t>
            </w:r>
            <w:r>
              <w:rPr>
                <w:rFonts w:hint="eastAsia"/>
                <w:lang w:val="en-US" w:eastAsia="zh-CN"/>
              </w:rPr>
              <w:t>, and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have agreed net gain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f RAN1 will evaluate net gain including MPR, RAN1 needs to clarify the evaluation metholodgy for MPR, e.g., the combination of starting PRB and number of PRB. That will be a “simplified” MPR evaluation. We do not think it is feasible to do the same MPR evaluation as RAN4 does. But how to simplifying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For the evaluation metric agreed in the previous meeting, our understanding is RAN1 will perform the overall net gain assessment taking into account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The first bullet can be used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For this study, we support OPPO’s proposal for the RAN1 study to only evaluate: PAPR reduction and SINR degradation @10%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We think it is more natural to refine the evaluation methodology agree in the last meeting by clarifying how different listed metrics come to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taken into account.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For number of Tx antennas, we should be more careful. Considering commercial UEs and future UE implementation, either we do not go beyond 2Tx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r>
              <w:rPr>
                <w:lang w:val="en-US" w:eastAsia="zh-CN"/>
              </w:rPr>
              <w:t>On Table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Additional assumptions such as the following should be taken into account: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400MHz @30kHz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lastRenderedPageBreak/>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BE37A9"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discuss about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The evaluation should start with LLS and include TDL covering different channel conditions, multiple bands including 7 GHz, 15 GHz, 30 GHz, and UE speeds up to at least 500 km/h. For UL the evaluation should take into account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2" w:name="OLE_LINK1"/>
            <w:r>
              <w:rPr>
                <w:rFonts w:hint="eastAsia"/>
                <w:lang w:val="en-US" w:eastAsia="zh-CN"/>
              </w:rPr>
              <w:t xml:space="preserve">Similar to our comment to question 6, </w:t>
            </w:r>
            <w:bookmarkEnd w:id="62"/>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his a good template helping us to understand the proposals, and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r>
              <w:rPr>
                <w:lang w:val="en-US" w:eastAsia="zh-CN"/>
              </w:rPr>
              <w:t>Agreed.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Channel bandwidth/Subcarrier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We are open for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think the evaluation assumption should be similar to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1/4th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or the system level configuration, FTP model 1, which is a realistic traffic model, should be considered. In addition, in the table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lastRenderedPageBreak/>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taken into account.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lastRenderedPageBreak/>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RAN4 metrics to be taken into account: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w:t>
      </w:r>
      <w:r w:rsidR="003F64AD">
        <w:rPr>
          <w:sz w:val="22"/>
          <w:szCs w:val="22"/>
          <w:lang w:val="en-US" w:eastAsia="zh-CN"/>
        </w:rPr>
        <w:t>UL low-PAPR proposals</w:t>
      </w:r>
      <w:r w:rsidR="003F64AD">
        <w:rPr>
          <w:sz w:val="22"/>
          <w:szCs w:val="22"/>
          <w:lang w:val="en-US" w:eastAsia="zh-CN"/>
        </w:rPr>
        <w:t xml:space="preserve">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hint="eastAsia"/>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w:t>
      </w:r>
      <w:r w:rsidR="003F64AD">
        <w:rPr>
          <w:sz w:val="22"/>
          <w:szCs w:val="22"/>
          <w:lang w:val="en-US" w:eastAsia="zh-CN"/>
        </w:rPr>
        <w:t xml:space="preserve">UL low-PAPR proposals with spectrum </w:t>
      </w:r>
      <w:r w:rsidR="003F64AD">
        <w:rPr>
          <w:sz w:val="22"/>
          <w:szCs w:val="22"/>
          <w:lang w:val="en-US" w:eastAsia="zh-CN"/>
        </w:rPr>
        <w:t>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hint="eastAsia"/>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hint="eastAsia"/>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hint="eastAsia"/>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lastRenderedPageBreak/>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9"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7"/>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9"/>
  </w:num>
  <w:num w:numId="9" w16cid:durableId="1415857112">
    <w:abstractNumId w:val="31"/>
  </w:num>
  <w:num w:numId="10" w16cid:durableId="1105226706">
    <w:abstractNumId w:val="8"/>
  </w:num>
  <w:num w:numId="11" w16cid:durableId="1849825063">
    <w:abstractNumId w:val="44"/>
  </w:num>
  <w:num w:numId="12" w16cid:durableId="2034918241">
    <w:abstractNumId w:val="28"/>
  </w:num>
  <w:num w:numId="13" w16cid:durableId="1622347085">
    <w:abstractNumId w:val="19"/>
  </w:num>
  <w:num w:numId="14" w16cid:durableId="338704727">
    <w:abstractNumId w:val="51"/>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6"/>
  </w:num>
  <w:num w:numId="21" w16cid:durableId="318047122">
    <w:abstractNumId w:val="18"/>
  </w:num>
  <w:num w:numId="22" w16cid:durableId="1880312419">
    <w:abstractNumId w:val="32"/>
  </w:num>
  <w:num w:numId="23" w16cid:durableId="716585288">
    <w:abstractNumId w:val="55"/>
  </w:num>
  <w:num w:numId="24" w16cid:durableId="937375786">
    <w:abstractNumId w:val="50"/>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8"/>
  </w:num>
  <w:num w:numId="35" w16cid:durableId="1258831810">
    <w:abstractNumId w:val="41"/>
  </w:num>
  <w:num w:numId="36" w16cid:durableId="319620286">
    <w:abstractNumId w:val="46"/>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3"/>
  </w:num>
  <w:num w:numId="45" w16cid:durableId="1462264416">
    <w:abstractNumId w:val="21"/>
  </w:num>
  <w:num w:numId="46" w16cid:durableId="988170779">
    <w:abstractNumId w:val="4"/>
  </w:num>
  <w:num w:numId="47" w16cid:durableId="1666863379">
    <w:abstractNumId w:val="53"/>
  </w:num>
  <w:num w:numId="48" w16cid:durableId="1059092611">
    <w:abstractNumId w:val="34"/>
  </w:num>
  <w:num w:numId="49" w16cid:durableId="1268659543">
    <w:abstractNumId w:val="16"/>
  </w:num>
  <w:num w:numId="50" w16cid:durableId="456218144">
    <w:abstractNumId w:val="45"/>
  </w:num>
  <w:num w:numId="51" w16cid:durableId="78798246">
    <w:abstractNumId w:val="52"/>
  </w:num>
  <w:num w:numId="52" w16cid:durableId="2033723138">
    <w:abstractNumId w:val="25"/>
  </w:num>
  <w:num w:numId="53" w16cid:durableId="379405330">
    <w:abstractNumId w:val="24"/>
  </w:num>
  <w:num w:numId="54" w16cid:durableId="1652522885">
    <w:abstractNumId w:val="42"/>
  </w:num>
  <w:num w:numId="55" w16cid:durableId="600068131">
    <w:abstractNumId w:val="11"/>
  </w:num>
  <w:num w:numId="56" w16cid:durableId="1918174144">
    <w:abstractNumId w:val="54"/>
  </w:num>
  <w:num w:numId="57" w16cid:durableId="32887607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bordersDoNotSurroundHeader/>
  <w:bordersDoNotSurroundFooter/>
  <w:hideSpellingErrors/>
  <w:proofState w:spelling="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73664"/>
    <w:rsid w:val="003748FC"/>
    <w:rsid w:val="0038020A"/>
    <w:rsid w:val="00390328"/>
    <w:rsid w:val="00391911"/>
    <w:rsid w:val="00394831"/>
    <w:rsid w:val="00395FF6"/>
    <w:rsid w:val="003B1281"/>
    <w:rsid w:val="003B2591"/>
    <w:rsid w:val="003B6B1A"/>
    <w:rsid w:val="003C6BDC"/>
    <w:rsid w:val="003D3729"/>
    <w:rsid w:val="003D7A7A"/>
    <w:rsid w:val="003F64AD"/>
    <w:rsid w:val="0040107D"/>
    <w:rsid w:val="00414226"/>
    <w:rsid w:val="0041636B"/>
    <w:rsid w:val="004169A2"/>
    <w:rsid w:val="00426F08"/>
    <w:rsid w:val="00441A41"/>
    <w:rsid w:val="00446D35"/>
    <w:rsid w:val="004516DC"/>
    <w:rsid w:val="0046260B"/>
    <w:rsid w:val="00475A90"/>
    <w:rsid w:val="004928DB"/>
    <w:rsid w:val="004971BF"/>
    <w:rsid w:val="004A3E57"/>
    <w:rsid w:val="004C194A"/>
    <w:rsid w:val="004C600A"/>
    <w:rsid w:val="004C712D"/>
    <w:rsid w:val="004C79A2"/>
    <w:rsid w:val="004E12A0"/>
    <w:rsid w:val="004E3579"/>
    <w:rsid w:val="004E6605"/>
    <w:rsid w:val="004F0F0B"/>
    <w:rsid w:val="004F2425"/>
    <w:rsid w:val="004F34A3"/>
    <w:rsid w:val="005217D6"/>
    <w:rsid w:val="00521A09"/>
    <w:rsid w:val="00521F89"/>
    <w:rsid w:val="005309DF"/>
    <w:rsid w:val="00536BDE"/>
    <w:rsid w:val="00546377"/>
    <w:rsid w:val="00550D66"/>
    <w:rsid w:val="005543DF"/>
    <w:rsid w:val="00562D4F"/>
    <w:rsid w:val="0056731C"/>
    <w:rsid w:val="00577D2D"/>
    <w:rsid w:val="005803F1"/>
    <w:rsid w:val="00596258"/>
    <w:rsid w:val="005B3856"/>
    <w:rsid w:val="005B7758"/>
    <w:rsid w:val="005C6600"/>
    <w:rsid w:val="005C7407"/>
    <w:rsid w:val="005D0D26"/>
    <w:rsid w:val="005D354E"/>
    <w:rsid w:val="005E3A67"/>
    <w:rsid w:val="005F5EE8"/>
    <w:rsid w:val="0063013B"/>
    <w:rsid w:val="006376EF"/>
    <w:rsid w:val="00642FBF"/>
    <w:rsid w:val="0065702D"/>
    <w:rsid w:val="00663107"/>
    <w:rsid w:val="0067182C"/>
    <w:rsid w:val="00675BD5"/>
    <w:rsid w:val="006A2AAB"/>
    <w:rsid w:val="006A5C60"/>
    <w:rsid w:val="006B514D"/>
    <w:rsid w:val="006C2952"/>
    <w:rsid w:val="006D2CC9"/>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D12"/>
    <w:rsid w:val="007708B0"/>
    <w:rsid w:val="00772001"/>
    <w:rsid w:val="0077320E"/>
    <w:rsid w:val="00773F8D"/>
    <w:rsid w:val="0077581C"/>
    <w:rsid w:val="00781C6F"/>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D15B1"/>
    <w:rsid w:val="008D4E5B"/>
    <w:rsid w:val="008F64B8"/>
    <w:rsid w:val="008F720C"/>
    <w:rsid w:val="008F758B"/>
    <w:rsid w:val="00921FE6"/>
    <w:rsid w:val="0092273C"/>
    <w:rsid w:val="00946042"/>
    <w:rsid w:val="0095089D"/>
    <w:rsid w:val="00951921"/>
    <w:rsid w:val="009769A1"/>
    <w:rsid w:val="00982B57"/>
    <w:rsid w:val="00997ACF"/>
    <w:rsid w:val="009A589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11653"/>
    <w:rsid w:val="00C117EC"/>
    <w:rsid w:val="00C14FA2"/>
    <w:rsid w:val="00C15366"/>
    <w:rsid w:val="00C24386"/>
    <w:rsid w:val="00C24FC2"/>
    <w:rsid w:val="00C25A71"/>
    <w:rsid w:val="00C318EB"/>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82C45"/>
    <w:rsid w:val="00D84477"/>
    <w:rsid w:val="00D95132"/>
    <w:rsid w:val="00D97657"/>
    <w:rsid w:val="00DB3944"/>
    <w:rsid w:val="00DB76E9"/>
    <w:rsid w:val="00DC1CCE"/>
    <w:rsid w:val="00DD4DFA"/>
    <w:rsid w:val="00DE37F4"/>
    <w:rsid w:val="00DE56B2"/>
    <w:rsid w:val="00DF616E"/>
    <w:rsid w:val="00DF7646"/>
    <w:rsid w:val="00E10514"/>
    <w:rsid w:val="00E1797D"/>
    <w:rsid w:val="00E17D93"/>
    <w:rsid w:val="00E249A4"/>
    <w:rsid w:val="00E45779"/>
    <w:rsid w:val="00E47595"/>
    <w:rsid w:val="00E57665"/>
    <w:rsid w:val="00E73B0D"/>
    <w:rsid w:val="00E766E9"/>
    <w:rsid w:val="00EA33A0"/>
    <w:rsid w:val="00EA56F2"/>
    <w:rsid w:val="00EA6E17"/>
    <w:rsid w:val="00EB16C4"/>
    <w:rsid w:val="00EB599E"/>
    <w:rsid w:val="00ED2785"/>
    <w:rsid w:val="00EE1916"/>
    <w:rsid w:val="00EE1D85"/>
    <w:rsid w:val="00F07067"/>
    <w:rsid w:val="00F17D3B"/>
    <w:rsid w:val="00F30577"/>
    <w:rsid w:val="00F40E35"/>
    <w:rsid w:val="00F449E7"/>
    <w:rsid w:val="00F5250B"/>
    <w:rsid w:val="00F54E42"/>
    <w:rsid w:val="00F75216"/>
    <w:rsid w:val="00F759F5"/>
    <w:rsid w:val="00F8311D"/>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ACD"/>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BE37A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BE37A9"/>
    <w:pPr>
      <w:pBdr>
        <w:top w:val="none" w:sz="0" w:space="0" w:color="auto"/>
      </w:pBdr>
      <w:spacing w:before="180"/>
      <w:outlineLvl w:val="1"/>
    </w:pPr>
    <w:rPr>
      <w:sz w:val="32"/>
    </w:rPr>
  </w:style>
  <w:style w:type="paragraph" w:styleId="Heading3">
    <w:name w:val="heading 3"/>
    <w:basedOn w:val="Heading2"/>
    <w:next w:val="Normal"/>
    <w:link w:val="Heading3Char"/>
    <w:qFormat/>
    <w:rsid w:val="00BE37A9"/>
    <w:pPr>
      <w:spacing w:before="120"/>
      <w:outlineLvl w:val="2"/>
    </w:pPr>
    <w:rPr>
      <w:sz w:val="28"/>
    </w:rPr>
  </w:style>
  <w:style w:type="paragraph" w:styleId="Heading4">
    <w:name w:val="heading 4"/>
    <w:basedOn w:val="Heading3"/>
    <w:next w:val="Normal"/>
    <w:link w:val="Heading4Char"/>
    <w:qFormat/>
    <w:rsid w:val="00BE37A9"/>
    <w:pPr>
      <w:ind w:left="1418" w:hanging="1418"/>
      <w:outlineLvl w:val="3"/>
    </w:pPr>
    <w:rPr>
      <w:sz w:val="24"/>
    </w:rPr>
  </w:style>
  <w:style w:type="paragraph" w:styleId="Heading5">
    <w:name w:val="heading 5"/>
    <w:basedOn w:val="Heading4"/>
    <w:next w:val="Normal"/>
    <w:qFormat/>
    <w:rsid w:val="00BE37A9"/>
    <w:pPr>
      <w:ind w:left="1701" w:hanging="1701"/>
      <w:outlineLvl w:val="4"/>
    </w:pPr>
    <w:rPr>
      <w:sz w:val="22"/>
    </w:rPr>
  </w:style>
  <w:style w:type="paragraph" w:styleId="Heading6">
    <w:name w:val="heading 6"/>
    <w:basedOn w:val="H6"/>
    <w:next w:val="Normal"/>
    <w:qFormat/>
    <w:rsid w:val="00BE37A9"/>
    <w:pPr>
      <w:outlineLvl w:val="5"/>
    </w:pPr>
  </w:style>
  <w:style w:type="paragraph" w:styleId="Heading7">
    <w:name w:val="heading 7"/>
    <w:basedOn w:val="H6"/>
    <w:next w:val="Normal"/>
    <w:qFormat/>
    <w:rsid w:val="00BE37A9"/>
    <w:pPr>
      <w:outlineLvl w:val="6"/>
    </w:pPr>
  </w:style>
  <w:style w:type="paragraph" w:styleId="Heading8">
    <w:name w:val="heading 8"/>
    <w:basedOn w:val="Heading1"/>
    <w:next w:val="Normal"/>
    <w:qFormat/>
    <w:rsid w:val="00BE37A9"/>
    <w:pPr>
      <w:ind w:left="0" w:firstLine="0"/>
      <w:outlineLvl w:val="7"/>
    </w:pPr>
  </w:style>
  <w:style w:type="paragraph" w:styleId="Heading9">
    <w:name w:val="heading 9"/>
    <w:basedOn w:val="Heading8"/>
    <w:next w:val="Normal"/>
    <w:qFormat/>
    <w:rsid w:val="00BE37A9"/>
    <w:pPr>
      <w:outlineLvl w:val="8"/>
    </w:pPr>
  </w:style>
  <w:style w:type="character" w:default="1" w:styleId="DefaultParagraphFont">
    <w:name w:val="Default Paragraph Font"/>
    <w:uiPriority w:val="1"/>
    <w:semiHidden/>
    <w:unhideWhenUsed/>
    <w:rsid w:val="00BE37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37A9"/>
  </w:style>
  <w:style w:type="paragraph" w:customStyle="1" w:styleId="H6">
    <w:name w:val="H6"/>
    <w:basedOn w:val="Heading5"/>
    <w:next w:val="Normal"/>
    <w:rsid w:val="00BE37A9"/>
    <w:pPr>
      <w:ind w:left="1985" w:hanging="1985"/>
      <w:outlineLvl w:val="9"/>
    </w:pPr>
    <w:rPr>
      <w:sz w:val="20"/>
    </w:rPr>
  </w:style>
  <w:style w:type="paragraph" w:styleId="List3">
    <w:name w:val="List 3"/>
    <w:basedOn w:val="List2"/>
    <w:semiHidden/>
    <w:rsid w:val="00BE37A9"/>
    <w:pPr>
      <w:ind w:left="1135"/>
    </w:pPr>
  </w:style>
  <w:style w:type="paragraph" w:styleId="List2">
    <w:name w:val="List 2"/>
    <w:basedOn w:val="List"/>
    <w:semiHidden/>
    <w:rsid w:val="00BE37A9"/>
    <w:pPr>
      <w:ind w:left="851"/>
    </w:pPr>
  </w:style>
  <w:style w:type="paragraph" w:styleId="List">
    <w:name w:val="List"/>
    <w:basedOn w:val="Normal"/>
    <w:semiHidden/>
    <w:rsid w:val="00BE37A9"/>
    <w:pPr>
      <w:ind w:left="568" w:hanging="284"/>
    </w:pPr>
  </w:style>
  <w:style w:type="paragraph" w:styleId="TOC7">
    <w:name w:val="toc 7"/>
    <w:basedOn w:val="TOC6"/>
    <w:next w:val="Normal"/>
    <w:semiHidden/>
    <w:rsid w:val="00BE37A9"/>
    <w:pPr>
      <w:ind w:left="2268" w:hanging="2268"/>
    </w:pPr>
  </w:style>
  <w:style w:type="paragraph" w:styleId="TOC6">
    <w:name w:val="toc 6"/>
    <w:basedOn w:val="TOC5"/>
    <w:next w:val="Normal"/>
    <w:semiHidden/>
    <w:rsid w:val="00BE37A9"/>
    <w:pPr>
      <w:ind w:left="1985" w:hanging="1985"/>
    </w:pPr>
  </w:style>
  <w:style w:type="paragraph" w:styleId="TOC5">
    <w:name w:val="toc 5"/>
    <w:basedOn w:val="TOC4"/>
    <w:semiHidden/>
    <w:rsid w:val="00BE37A9"/>
    <w:pPr>
      <w:ind w:left="1701" w:hanging="1701"/>
    </w:pPr>
  </w:style>
  <w:style w:type="paragraph" w:styleId="TOC4">
    <w:name w:val="toc 4"/>
    <w:basedOn w:val="TOC3"/>
    <w:semiHidden/>
    <w:rsid w:val="00BE37A9"/>
    <w:pPr>
      <w:ind w:left="1418" w:hanging="1418"/>
    </w:pPr>
  </w:style>
  <w:style w:type="paragraph" w:styleId="TOC3">
    <w:name w:val="toc 3"/>
    <w:basedOn w:val="TOC2"/>
    <w:semiHidden/>
    <w:rsid w:val="00BE37A9"/>
    <w:pPr>
      <w:ind w:left="1134" w:hanging="1134"/>
    </w:pPr>
  </w:style>
  <w:style w:type="paragraph" w:styleId="TOC2">
    <w:name w:val="toc 2"/>
    <w:basedOn w:val="TOC1"/>
    <w:semiHidden/>
    <w:rsid w:val="00BE37A9"/>
    <w:pPr>
      <w:keepNext w:val="0"/>
      <w:spacing w:before="0"/>
      <w:ind w:left="851" w:hanging="851"/>
    </w:pPr>
    <w:rPr>
      <w:sz w:val="20"/>
    </w:rPr>
  </w:style>
  <w:style w:type="paragraph" w:styleId="TOC1">
    <w:name w:val="toc 1"/>
    <w:semiHidden/>
    <w:rsid w:val="00BE37A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BE37A9"/>
    <w:pPr>
      <w:ind w:left="851"/>
    </w:pPr>
  </w:style>
  <w:style w:type="paragraph" w:styleId="ListNumber">
    <w:name w:val="List Number"/>
    <w:basedOn w:val="List"/>
    <w:semiHidden/>
    <w:rsid w:val="00BE37A9"/>
  </w:style>
  <w:style w:type="paragraph" w:styleId="ListBullet4">
    <w:name w:val="List Bullet 4"/>
    <w:basedOn w:val="ListBullet3"/>
    <w:semiHidden/>
    <w:rsid w:val="00BE37A9"/>
    <w:pPr>
      <w:ind w:left="1418"/>
    </w:pPr>
  </w:style>
  <w:style w:type="paragraph" w:styleId="ListBullet3">
    <w:name w:val="List Bullet 3"/>
    <w:basedOn w:val="ListBullet2"/>
    <w:semiHidden/>
    <w:rsid w:val="00BE37A9"/>
    <w:pPr>
      <w:ind w:left="1135"/>
    </w:pPr>
  </w:style>
  <w:style w:type="paragraph" w:styleId="ListBullet2">
    <w:name w:val="List Bullet 2"/>
    <w:basedOn w:val="ListBullet"/>
    <w:semiHidden/>
    <w:rsid w:val="00BE37A9"/>
    <w:pPr>
      <w:ind w:left="851"/>
    </w:pPr>
  </w:style>
  <w:style w:type="paragraph" w:styleId="ListBullet">
    <w:name w:val="List Bullet"/>
    <w:basedOn w:val="List"/>
    <w:semiHidden/>
    <w:rsid w:val="00BE37A9"/>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BE37A9"/>
    <w:pPr>
      <w:ind w:left="1702"/>
    </w:pPr>
  </w:style>
  <w:style w:type="paragraph" w:styleId="TOC8">
    <w:name w:val="toc 8"/>
    <w:basedOn w:val="TOC1"/>
    <w:semiHidden/>
    <w:rsid w:val="00BE37A9"/>
    <w:pPr>
      <w:spacing w:before="180"/>
      <w:ind w:left="2693" w:hanging="2693"/>
    </w:pPr>
    <w:rPr>
      <w:b/>
    </w:rPr>
  </w:style>
  <w:style w:type="paragraph" w:styleId="Footer">
    <w:name w:val="footer"/>
    <w:basedOn w:val="Header"/>
    <w:semiHidden/>
    <w:rsid w:val="00BE37A9"/>
    <w:pPr>
      <w:jc w:val="center"/>
    </w:pPr>
    <w:rPr>
      <w:i/>
    </w:rPr>
  </w:style>
  <w:style w:type="paragraph" w:styleId="Header">
    <w:name w:val="header"/>
    <w:semiHidden/>
    <w:rsid w:val="00BE37A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BE37A9"/>
    <w:pPr>
      <w:keepLines/>
      <w:spacing w:after="0"/>
      <w:ind w:left="454" w:hanging="454"/>
    </w:pPr>
    <w:rPr>
      <w:sz w:val="16"/>
    </w:rPr>
  </w:style>
  <w:style w:type="paragraph" w:styleId="List5">
    <w:name w:val="List 5"/>
    <w:basedOn w:val="List4"/>
    <w:semiHidden/>
    <w:rsid w:val="00BE37A9"/>
    <w:pPr>
      <w:ind w:left="1702"/>
    </w:pPr>
  </w:style>
  <w:style w:type="paragraph" w:styleId="List4">
    <w:name w:val="List 4"/>
    <w:basedOn w:val="List3"/>
    <w:semiHidden/>
    <w:rsid w:val="00BE37A9"/>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BE37A9"/>
    <w:pPr>
      <w:ind w:left="1418" w:hanging="1418"/>
    </w:pPr>
  </w:style>
  <w:style w:type="paragraph" w:styleId="Index1">
    <w:name w:val="index 1"/>
    <w:basedOn w:val="Normal"/>
    <w:semiHidden/>
    <w:rsid w:val="00BE37A9"/>
    <w:pPr>
      <w:keepLines/>
      <w:spacing w:after="0"/>
    </w:pPr>
  </w:style>
  <w:style w:type="paragraph" w:styleId="Index2">
    <w:name w:val="index 2"/>
    <w:basedOn w:val="Index1"/>
    <w:semiHidden/>
    <w:rsid w:val="00BE37A9"/>
    <w:pPr>
      <w:ind w:left="284"/>
    </w:pPr>
  </w:style>
  <w:style w:type="table" w:styleId="TableGrid">
    <w:name w:val="Table Grid"/>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BE37A9"/>
    <w:rPr>
      <w:b/>
      <w:position w:val="6"/>
      <w:sz w:val="16"/>
    </w:rPr>
  </w:style>
  <w:style w:type="paragraph" w:customStyle="1" w:styleId="ZT">
    <w:name w:val="ZT"/>
    <w:rsid w:val="00BE37A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BE37A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E37A9"/>
    <w:pPr>
      <w:outlineLvl w:val="9"/>
    </w:pPr>
  </w:style>
  <w:style w:type="paragraph" w:customStyle="1" w:styleId="TAH">
    <w:name w:val="TAH"/>
    <w:basedOn w:val="TAC"/>
    <w:link w:val="TAHCar"/>
    <w:rsid w:val="00BE37A9"/>
    <w:rPr>
      <w:b/>
    </w:rPr>
  </w:style>
  <w:style w:type="paragraph" w:customStyle="1" w:styleId="TAC">
    <w:name w:val="TAC"/>
    <w:basedOn w:val="TAL"/>
    <w:rsid w:val="00BE37A9"/>
    <w:pPr>
      <w:jc w:val="center"/>
    </w:pPr>
  </w:style>
  <w:style w:type="paragraph" w:customStyle="1" w:styleId="TAL">
    <w:name w:val="TAL"/>
    <w:basedOn w:val="Normal"/>
    <w:rsid w:val="00BE37A9"/>
    <w:pPr>
      <w:keepNext/>
      <w:keepLines/>
      <w:spacing w:after="0"/>
    </w:pPr>
    <w:rPr>
      <w:rFonts w:ascii="Arial" w:hAnsi="Arial"/>
      <w:sz w:val="18"/>
    </w:rPr>
  </w:style>
  <w:style w:type="paragraph" w:customStyle="1" w:styleId="TF">
    <w:name w:val="TF"/>
    <w:basedOn w:val="TH"/>
    <w:rsid w:val="00BE37A9"/>
    <w:pPr>
      <w:keepNext w:val="0"/>
      <w:spacing w:before="0" w:after="240"/>
    </w:pPr>
  </w:style>
  <w:style w:type="paragraph" w:customStyle="1" w:styleId="TH">
    <w:name w:val="TH"/>
    <w:basedOn w:val="Normal"/>
    <w:rsid w:val="00BE37A9"/>
    <w:pPr>
      <w:keepNext/>
      <w:keepLines/>
      <w:spacing w:before="60"/>
      <w:jc w:val="center"/>
    </w:pPr>
    <w:rPr>
      <w:rFonts w:ascii="Arial" w:hAnsi="Arial"/>
      <w:b/>
    </w:rPr>
  </w:style>
  <w:style w:type="paragraph" w:customStyle="1" w:styleId="NO">
    <w:name w:val="NO"/>
    <w:basedOn w:val="Normal"/>
    <w:rsid w:val="00BE37A9"/>
    <w:pPr>
      <w:keepLines/>
      <w:ind w:left="1135" w:hanging="851"/>
    </w:pPr>
  </w:style>
  <w:style w:type="paragraph" w:customStyle="1" w:styleId="EX">
    <w:name w:val="EX"/>
    <w:basedOn w:val="Normal"/>
    <w:rsid w:val="00BE37A9"/>
    <w:pPr>
      <w:keepLines/>
      <w:ind w:left="1702" w:hanging="1418"/>
    </w:pPr>
  </w:style>
  <w:style w:type="paragraph" w:customStyle="1" w:styleId="FP">
    <w:name w:val="FP"/>
    <w:basedOn w:val="Normal"/>
    <w:rsid w:val="00BE37A9"/>
    <w:pPr>
      <w:spacing w:after="0"/>
    </w:pPr>
  </w:style>
  <w:style w:type="paragraph" w:customStyle="1" w:styleId="LD">
    <w:name w:val="LD"/>
    <w:rsid w:val="00BE37A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E37A9"/>
    <w:pPr>
      <w:spacing w:after="0"/>
    </w:pPr>
  </w:style>
  <w:style w:type="paragraph" w:customStyle="1" w:styleId="EW">
    <w:name w:val="EW"/>
    <w:basedOn w:val="EX"/>
    <w:rsid w:val="00BE37A9"/>
    <w:pPr>
      <w:spacing w:after="0"/>
    </w:pPr>
  </w:style>
  <w:style w:type="paragraph" w:customStyle="1" w:styleId="EQ">
    <w:name w:val="EQ"/>
    <w:basedOn w:val="Normal"/>
    <w:next w:val="Normal"/>
    <w:rsid w:val="00BE37A9"/>
    <w:pPr>
      <w:keepLines/>
      <w:tabs>
        <w:tab w:val="center" w:pos="4536"/>
        <w:tab w:val="right" w:pos="9072"/>
      </w:tabs>
    </w:pPr>
    <w:rPr>
      <w:noProof/>
    </w:rPr>
  </w:style>
  <w:style w:type="paragraph" w:customStyle="1" w:styleId="NF">
    <w:name w:val="NF"/>
    <w:basedOn w:val="NO"/>
    <w:rsid w:val="00BE37A9"/>
    <w:pPr>
      <w:keepNext/>
      <w:spacing w:after="0"/>
    </w:pPr>
    <w:rPr>
      <w:rFonts w:ascii="Arial" w:hAnsi="Arial"/>
      <w:sz w:val="18"/>
    </w:rPr>
  </w:style>
  <w:style w:type="paragraph" w:customStyle="1" w:styleId="PL">
    <w:name w:val="PL"/>
    <w:rsid w:val="00BE37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E37A9"/>
    <w:pPr>
      <w:jc w:val="right"/>
    </w:pPr>
  </w:style>
  <w:style w:type="paragraph" w:customStyle="1" w:styleId="TAN">
    <w:name w:val="TAN"/>
    <w:basedOn w:val="TAL"/>
    <w:rsid w:val="00BE37A9"/>
    <w:pPr>
      <w:ind w:left="851" w:hanging="851"/>
    </w:pPr>
  </w:style>
  <w:style w:type="paragraph" w:customStyle="1" w:styleId="ZA">
    <w:name w:val="ZA"/>
    <w:rsid w:val="00BE37A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E37A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E37A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E37A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E37A9"/>
    <w:pPr>
      <w:framePr w:wrap="notBeside" w:y="16161"/>
    </w:pPr>
  </w:style>
  <w:style w:type="character" w:customStyle="1" w:styleId="ZGSM">
    <w:name w:val="ZGSM"/>
    <w:rsid w:val="00BE37A9"/>
  </w:style>
  <w:style w:type="paragraph" w:customStyle="1" w:styleId="ZG">
    <w:name w:val="ZG"/>
    <w:rsid w:val="00BE37A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BE37A9"/>
    <w:rPr>
      <w:color w:val="FF0000"/>
    </w:rPr>
  </w:style>
  <w:style w:type="paragraph" w:customStyle="1" w:styleId="B1">
    <w:name w:val="B1"/>
    <w:basedOn w:val="List"/>
    <w:rsid w:val="00BE37A9"/>
  </w:style>
  <w:style w:type="paragraph" w:customStyle="1" w:styleId="B2">
    <w:name w:val="B2"/>
    <w:basedOn w:val="List2"/>
    <w:rsid w:val="00BE37A9"/>
  </w:style>
  <w:style w:type="paragraph" w:customStyle="1" w:styleId="B3">
    <w:name w:val="B3"/>
    <w:basedOn w:val="List3"/>
    <w:rsid w:val="00BE37A9"/>
  </w:style>
  <w:style w:type="paragraph" w:customStyle="1" w:styleId="B4">
    <w:name w:val="B4"/>
    <w:basedOn w:val="List4"/>
    <w:rsid w:val="00BE37A9"/>
  </w:style>
  <w:style w:type="paragraph" w:customStyle="1" w:styleId="B5">
    <w:name w:val="B5"/>
    <w:basedOn w:val="List5"/>
    <w:rsid w:val="00BE37A9"/>
  </w:style>
  <w:style w:type="paragraph" w:customStyle="1" w:styleId="ZTD">
    <w:name w:val="ZTD"/>
    <w:basedOn w:val="ZB"/>
    <w:rsid w:val="00BE37A9"/>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113</TotalTime>
  <Pages>52</Pages>
  <Words>21588</Words>
  <Characters>135678</Characters>
  <Application>Microsoft Office Word</Application>
  <DocSecurity>0</DocSecurity>
  <Lines>1130</Lines>
  <Paragraphs>313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156953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11</cp:revision>
  <cp:lastPrinted>1901-01-01T06:00:00Z</cp:lastPrinted>
  <dcterms:created xsi:type="dcterms:W3CDTF">2025-11-18T14:48:00Z</dcterms:created>
  <dcterms:modified xsi:type="dcterms:W3CDTF">2025-11-18T18:06:00Z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