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77777777"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7777777"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12" ShapeID="_x0000_i1025" DrawAspect="Icon" ObjectID="_1824966377"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To obtain broader insights with respect to the evaluations of different uplink low-PAPR 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A81F318" w14:textId="77777777" w:rsidR="00414226" w:rsidRDefault="00441A41">
      <w:r>
        <w:t>~10 companies propose to deprioritize/discontinue the DL DFT-s-OFDM discussions under the waveform agenda item and take up the proposal under the specific agenda item that justifies the use case (NTN, energy efficiency, etc.)</w:t>
      </w:r>
    </w:p>
    <w:p w14:paraId="0A81F319" w14:textId="77777777" w:rsidR="00414226" w:rsidRDefault="00441A41">
      <w:r>
        <w:rPr>
          <w:b/>
          <w:bCs/>
          <w:highlight w:val="yellow"/>
        </w:rPr>
        <w:t>Question 1:</w:t>
      </w:r>
      <w:r>
        <w:rPr>
          <w:highlight w:val="yellow"/>
        </w:rPr>
        <w:t xml:space="preserve"> Discuss the following as a possible way forward</w:t>
      </w:r>
    </w:p>
    <w:p w14:paraId="0A81F31A" w14:textId="77777777"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14:paraId="0A81F31B" w14:textId="77777777"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14:paraId="0A81F31C" w14:textId="77777777"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14:paraId="0A81F31D" w14:textId="77777777" w:rsidR="00414226" w:rsidRDefault="00441A41">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14:paraId="0A81F31E" w14:textId="77777777" w:rsidR="00414226" w:rsidRDefault="00414226">
      <w:pPr>
        <w:rPr>
          <w:lang w:val="en-US"/>
        </w:rPr>
      </w:pPr>
    </w:p>
    <w:p w14:paraId="0A81F31F" w14:textId="77777777" w:rsidR="00414226" w:rsidRDefault="00441A41">
      <w:pPr>
        <w:rPr>
          <w:lang w:val="en-US"/>
        </w:rPr>
      </w:pPr>
      <w:r>
        <w:rPr>
          <w:lang w:val="en-US"/>
        </w:rPr>
        <w:t>Assuming that the work is not deprioritized/discontinued, characterize what the proposed solution alternatives are.</w:t>
      </w:r>
    </w:p>
    <w:p w14:paraId="0A81F320" w14:textId="77777777"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14:paraId="0A81F32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2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14:paraId="0A81F323" w14:textId="77777777" w:rsidR="00414226" w:rsidRDefault="00441A41">
      <w:pPr>
        <w:numPr>
          <w:ilvl w:val="0"/>
          <w:numId w:val="23"/>
        </w:numPr>
        <w:spacing w:after="0"/>
        <w:jc w:val="both"/>
        <w:rPr>
          <w:rFonts w:eastAsia="Batang"/>
          <w:lang w:val="en-US" w:eastAsia="ko-KR"/>
        </w:rPr>
      </w:pPr>
      <w:r>
        <w:rPr>
          <w:rFonts w:eastAsia="Batang"/>
          <w:lang w:val="en-US" w:eastAsia="ko-KR"/>
        </w:rPr>
        <w:t>Common PDSCH</w:t>
      </w:r>
    </w:p>
    <w:p w14:paraId="0A81F324" w14:textId="77777777"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14:paraId="0A81F325" w14:textId="77777777"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14:paraId="0A81F326" w14:textId="77777777"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14:paraId="0A81F327" w14:textId="77777777" w:rsidR="00414226" w:rsidRDefault="00414226">
      <w:pPr>
        <w:spacing w:after="0"/>
        <w:jc w:val="both"/>
        <w:rPr>
          <w:rFonts w:eastAsia="Batang"/>
          <w:lang w:val="en-US" w:eastAsia="ko-KR"/>
        </w:rPr>
      </w:pPr>
    </w:p>
    <w:p w14:paraId="0A81F328"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29"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2A"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2B"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2C"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2D"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0A81F32E"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0A81F32F"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30" w14:textId="77777777" w:rsidR="00414226" w:rsidRDefault="00414226">
      <w:pPr>
        <w:spacing w:after="0"/>
        <w:jc w:val="both"/>
        <w:rPr>
          <w:rFonts w:eastAsia="Batang"/>
          <w:lang w:val="en-US" w:eastAsia="ko-KR"/>
        </w:rPr>
      </w:pPr>
    </w:p>
    <w:p w14:paraId="0A81F331"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32" w14:textId="77777777"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0A81F333" w14:textId="77777777"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rFonts w:hint="eastAsia"/>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use-cases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lastRenderedPageBreak/>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lastRenderedPageBreak/>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lastRenderedPageBreak/>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lastRenderedPageBreak/>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rFonts w:hint="eastAsia"/>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r>
              <w:rPr>
                <w:bCs/>
                <w:lang w:val="en-US" w:eastAsia="zh-CN"/>
              </w:rPr>
              <w:t>Considering,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w:lastRenderedPageBreak/>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0A81F3F6" w14:textId="77777777"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14:paraId="0A81F3F7" w14:textId="77777777" w:rsidR="00414226" w:rsidRDefault="00414226"/>
    <w:p w14:paraId="0A81F3F8" w14:textId="77777777" w:rsidR="00414226" w:rsidRDefault="00441A41">
      <w:pPr>
        <w:rPr>
          <w:b/>
          <w:bCs/>
        </w:rPr>
      </w:pPr>
      <w:r>
        <w:rPr>
          <w:b/>
          <w:bCs/>
        </w:rPr>
        <w:t>Evaluation metrics</w:t>
      </w:r>
    </w:p>
    <w:p w14:paraId="0A81F3F9" w14:textId="77777777" w:rsidR="00414226" w:rsidRDefault="00441A41">
      <w:pPr>
        <w:pStyle w:val="ListParagraph"/>
        <w:numPr>
          <w:ilvl w:val="0"/>
          <w:numId w:val="50"/>
        </w:numPr>
      </w:pPr>
      <w:r>
        <w:t>Net gain assuming similar spectral efficiency and bandwidth for each compared method [Nokia]</w:t>
      </w:r>
    </w:p>
    <w:p w14:paraId="0A81F3FA" w14:textId="77777777" w:rsidR="00414226" w:rsidRDefault="00441A41">
      <w:pPr>
        <w:pStyle w:val="ListParagraph"/>
        <w:numPr>
          <w:ilvl w:val="0"/>
          <w:numId w:val="50"/>
        </w:numPr>
      </w:pPr>
      <w:r>
        <w:t>PAPR reduction and SINR degradation @10% BLER, Net gain including MPR can be evaluated by RAN4. [OPPO]</w:t>
      </w:r>
    </w:p>
    <w:p w14:paraId="0A81F3FB" w14:textId="77777777" w:rsidR="00414226" w:rsidRDefault="00441A41">
      <w:pPr>
        <w:pStyle w:val="ListParagraph"/>
        <w:numPr>
          <w:ilvl w:val="0"/>
          <w:numId w:val="50"/>
        </w:numPr>
      </w:pPr>
      <w:r>
        <w:t>Implementation complexity in receiver. [CATT]</w:t>
      </w:r>
    </w:p>
    <w:p w14:paraId="0A81F3FC" w14:textId="77777777" w:rsidR="00414226" w:rsidRDefault="00441A41">
      <w:pPr>
        <w:pStyle w:val="ListParagraph"/>
        <w:numPr>
          <w:ilvl w:val="0"/>
          <w:numId w:val="50"/>
        </w:numPr>
      </w:pPr>
      <w:r>
        <w:t>ACLR, EVM, IBE, SEM [NEC, Huawei]</w:t>
      </w:r>
    </w:p>
    <w:p w14:paraId="0A81F3FD" w14:textId="77777777" w:rsidR="00414226" w:rsidRDefault="00441A41">
      <w:pPr>
        <w:pStyle w:val="ListParagraph"/>
        <w:numPr>
          <w:ilvl w:val="0"/>
          <w:numId w:val="50"/>
        </w:numPr>
      </w:pPr>
      <w:r>
        <w:t>CM characteristic [Lenovo]</w:t>
      </w:r>
    </w:p>
    <w:p w14:paraId="0A81F3FE" w14:textId="77777777" w:rsidR="00414226" w:rsidRDefault="00441A41">
      <w:r>
        <w:rPr>
          <w:b/>
          <w:bCs/>
          <w:highlight w:val="yellow"/>
        </w:rPr>
        <w:t>Question 4:</w:t>
      </w:r>
      <w:r>
        <w:rPr>
          <w:highlight w:val="yellow"/>
        </w:rPr>
        <w:t xml:space="preserve"> Discuss 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lastRenderedPageBreak/>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w:t>
            </w:r>
            <w:r>
              <w:rPr>
                <w:lang w:val="en-US" w:eastAsia="zh-CN"/>
              </w:rPr>
              <w:lastRenderedPageBreak/>
              <w:t xml:space="preserve">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lastRenderedPageBreak/>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rFonts w:hint="eastAsia"/>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rFonts w:hint="eastAsia"/>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7" w14:textId="77777777" w:rsidR="00414226" w:rsidRDefault="00414226">
            <w:pPr>
              <w:overflowPunct/>
              <w:autoSpaceDE/>
              <w:autoSpaceDN/>
              <w:adjustRightInd/>
              <w:textAlignment w:val="auto"/>
              <w:rPr>
                <w:lang w:val="en-US" w:eastAsia="zh-CN"/>
              </w:rPr>
            </w:pPr>
          </w:p>
          <w:p w14:paraId="0A81F4E8" w14:textId="77777777" w:rsidR="00414226" w:rsidRDefault="00414226">
            <w:pPr>
              <w:overflowPunct/>
              <w:autoSpaceDE/>
              <w:autoSpaceDN/>
              <w:adjustRightInd/>
              <w:textAlignment w:val="auto"/>
              <w:rPr>
                <w:lang w:val="en-US" w:eastAsia="zh-CN"/>
              </w:rPr>
            </w:pP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lastRenderedPageBreak/>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rFonts w:hint="eastAsia"/>
                <w:lang w:val="en-US" w:eastAsia="zh-CN"/>
              </w:rPr>
            </w:pPr>
            <w:r>
              <w:rPr>
                <w:lang w:val="en-US" w:eastAsia="zh-CN"/>
              </w:rPr>
              <w:lastRenderedPageBreak/>
              <w:t>Lekha</w:t>
            </w:r>
          </w:p>
        </w:tc>
        <w:tc>
          <w:tcPr>
            <w:tcW w:w="7938" w:type="dxa"/>
          </w:tcPr>
          <w:p w14:paraId="18FAE1B4" w14:textId="2FB68150" w:rsidR="00781C6F" w:rsidRDefault="00781C6F" w:rsidP="00E77F94">
            <w:pPr>
              <w:overflowPunct/>
              <w:autoSpaceDE/>
              <w:autoSpaceDN/>
              <w:adjustRightInd/>
              <w:textAlignment w:val="auto"/>
              <w:rPr>
                <w:rFonts w:hint="eastAsia"/>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DE37F4"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Heading3"/>
      </w:pPr>
      <w:r>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rFonts w:hint="eastAsia"/>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rFonts w:hint="eastAsia"/>
                <w:lang w:val="en-US" w:eastAsia="zh-CN"/>
              </w:rPr>
            </w:pPr>
            <w:r>
              <w:rPr>
                <w:lang w:val="en-US" w:eastAsia="zh-CN"/>
              </w:rPr>
              <w:t>Same view as OPPO</w:t>
            </w: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rFonts w:hint="eastAsia"/>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rFonts w:hint="eastAsia"/>
                <w:lang w:val="en-US" w:eastAsia="zh-CN"/>
              </w:rPr>
            </w:pPr>
            <w:r>
              <w:rPr>
                <w:lang w:val="en-US" w:eastAsia="zh-CN"/>
              </w:rPr>
              <w:t>Same view as OPPO</w:t>
            </w: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rFonts w:hint="eastAsia"/>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rFonts w:hint="eastAsia"/>
                <w:lang w:val="en-US" w:eastAsia="zh-CN"/>
              </w:rPr>
            </w:pPr>
            <w:r>
              <w:rPr>
                <w:lang w:val="en-US" w:eastAsia="zh-CN"/>
              </w:rPr>
              <w:t>Agree with the template.</w:t>
            </w: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lastRenderedPageBreak/>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lastRenderedPageBreak/>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rFonts w:hint="eastAsia"/>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rFonts w:hint="eastAsia"/>
                <w:lang w:val="en-US" w:eastAsia="zh-CN"/>
              </w:rPr>
            </w:pPr>
            <w:r>
              <w:rPr>
                <w:lang w:val="en-US" w:eastAsia="zh-CN"/>
              </w:rPr>
              <w:t>We are open to this.</w:t>
            </w: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lastRenderedPageBreak/>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 xml:space="preserve">DFT-s-OFDM for UL with number of layers &gt; </w:t>
            </w:r>
            <w:r>
              <w:lastRenderedPageBreak/>
              <w:t>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proofErr w:type="spellStart"/>
            <w:r>
              <w:rPr>
                <w:lang w:val="en-US" w:eastAsia="zh-CN"/>
              </w:rPr>
              <w:lastRenderedPageBreak/>
              <w:t>InterDigital</w:t>
            </w:r>
            <w:proofErr w:type="spellEnd"/>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bl>
    <w:p w14:paraId="0A81F672" w14:textId="77777777" w:rsidR="00414226" w:rsidRDefault="00414226"/>
    <w:p w14:paraId="0A81F673" w14:textId="77777777" w:rsidR="00414226" w:rsidRDefault="00414226"/>
    <w:p w14:paraId="0A81F674" w14:textId="77777777" w:rsidR="00414226" w:rsidRDefault="00441A41">
      <w:pPr>
        <w:pStyle w:val="Heading1"/>
      </w:pPr>
      <w:r>
        <w:t>9.</w:t>
      </w:r>
      <w:r>
        <w:tab/>
        <w:t>Monday on-line</w:t>
      </w:r>
    </w:p>
    <w:p w14:paraId="0A81F675" w14:textId="77777777" w:rsidR="00414226" w:rsidRDefault="00441A41">
      <w:r>
        <w:t>TBA</w:t>
      </w:r>
    </w:p>
    <w:p w14:paraId="0A81F676" w14:textId="77777777" w:rsidR="00414226" w:rsidRDefault="00414226"/>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3386" w14:textId="77777777" w:rsidR="000D5E52" w:rsidRDefault="000D5E52">
      <w:pPr>
        <w:spacing w:after="0"/>
      </w:pPr>
      <w:r>
        <w:separator/>
      </w:r>
    </w:p>
  </w:endnote>
  <w:endnote w:type="continuationSeparator" w:id="0">
    <w:p w14:paraId="241FABFD" w14:textId="77777777" w:rsidR="000D5E52" w:rsidRDefault="000D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BatangChe"/>
    <w:panose1 w:val="020B0604020202020204"/>
    <w:charset w:val="81"/>
    <w:family w:val="modern"/>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6BE6" w14:textId="77777777" w:rsidR="000D5E52" w:rsidRDefault="000D5E52">
      <w:pPr>
        <w:spacing w:after="0"/>
      </w:pPr>
      <w:r>
        <w:separator/>
      </w:r>
    </w:p>
  </w:footnote>
  <w:footnote w:type="continuationSeparator" w:id="0">
    <w:p w14:paraId="08018FE1" w14:textId="77777777" w:rsidR="000D5E52" w:rsidRDefault="000D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4"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6"/>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8"/>
  </w:num>
  <w:num w:numId="9" w16cid:durableId="1415857112">
    <w:abstractNumId w:val="31"/>
  </w:num>
  <w:num w:numId="10" w16cid:durableId="1105226706">
    <w:abstractNumId w:val="8"/>
  </w:num>
  <w:num w:numId="11" w16cid:durableId="1849825063">
    <w:abstractNumId w:val="43"/>
  </w:num>
  <w:num w:numId="12" w16cid:durableId="2034918241">
    <w:abstractNumId w:val="28"/>
  </w:num>
  <w:num w:numId="13" w16cid:durableId="1622347085">
    <w:abstractNumId w:val="19"/>
  </w:num>
  <w:num w:numId="14" w16cid:durableId="338704727">
    <w:abstractNumId w:val="50"/>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4"/>
  </w:num>
  <w:num w:numId="21" w16cid:durableId="318047122">
    <w:abstractNumId w:val="18"/>
  </w:num>
  <w:num w:numId="22" w16cid:durableId="1880312419">
    <w:abstractNumId w:val="32"/>
  </w:num>
  <w:num w:numId="23" w16cid:durableId="716585288">
    <w:abstractNumId w:val="53"/>
  </w:num>
  <w:num w:numId="24" w16cid:durableId="937375786">
    <w:abstractNumId w:val="49"/>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7"/>
  </w:num>
  <w:num w:numId="35" w16cid:durableId="1258831810">
    <w:abstractNumId w:val="40"/>
  </w:num>
  <w:num w:numId="36" w16cid:durableId="319620286">
    <w:abstractNumId w:val="45"/>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2"/>
  </w:num>
  <w:num w:numId="45" w16cid:durableId="1462264416">
    <w:abstractNumId w:val="21"/>
  </w:num>
  <w:num w:numId="46" w16cid:durableId="988170779">
    <w:abstractNumId w:val="4"/>
  </w:num>
  <w:num w:numId="47" w16cid:durableId="1666863379">
    <w:abstractNumId w:val="52"/>
  </w:num>
  <w:num w:numId="48" w16cid:durableId="1059092611">
    <w:abstractNumId w:val="34"/>
  </w:num>
  <w:num w:numId="49" w16cid:durableId="1268659543">
    <w:abstractNumId w:val="16"/>
  </w:num>
  <w:num w:numId="50" w16cid:durableId="456218144">
    <w:abstractNumId w:val="44"/>
  </w:num>
  <w:num w:numId="51" w16cid:durableId="78798246">
    <w:abstractNumId w:val="51"/>
  </w:num>
  <w:num w:numId="52" w16cid:durableId="2033723138">
    <w:abstractNumId w:val="25"/>
  </w:num>
  <w:num w:numId="53" w16cid:durableId="379405330">
    <w:abstractNumId w:val="24"/>
  </w:num>
  <w:num w:numId="54" w16cid:durableId="1652522885">
    <w:abstractNumId w:val="41"/>
  </w:num>
  <w:num w:numId="55" w16cid:durableId="60006813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1911"/>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75A90"/>
    <w:rsid w:val="004928DB"/>
    <w:rsid w:val="004971BF"/>
    <w:rsid w:val="004C194A"/>
    <w:rsid w:val="004C600A"/>
    <w:rsid w:val="004C712D"/>
    <w:rsid w:val="004C79A2"/>
    <w:rsid w:val="004E12A0"/>
    <w:rsid w:val="004E3579"/>
    <w:rsid w:val="004E6605"/>
    <w:rsid w:val="004F0F0B"/>
    <w:rsid w:val="004F2425"/>
    <w:rsid w:val="004F34A3"/>
    <w:rsid w:val="005217D6"/>
    <w:rsid w:val="00521A09"/>
    <w:rsid w:val="00521F89"/>
    <w:rsid w:val="005309DF"/>
    <w:rsid w:val="00536BDE"/>
    <w:rsid w:val="00546377"/>
    <w:rsid w:val="00550D66"/>
    <w:rsid w:val="005543DF"/>
    <w:rsid w:val="00562D4F"/>
    <w:rsid w:val="0056731C"/>
    <w:rsid w:val="00577D2D"/>
    <w:rsid w:val="005803F1"/>
    <w:rsid w:val="00596258"/>
    <w:rsid w:val="005B3856"/>
    <w:rsid w:val="005B7758"/>
    <w:rsid w:val="005C6600"/>
    <w:rsid w:val="005C7407"/>
    <w:rsid w:val="005D354E"/>
    <w:rsid w:val="005E3A67"/>
    <w:rsid w:val="005F5EE8"/>
    <w:rsid w:val="0063013B"/>
    <w:rsid w:val="006376EF"/>
    <w:rsid w:val="00642FBF"/>
    <w:rsid w:val="0065702D"/>
    <w:rsid w:val="00663107"/>
    <w:rsid w:val="0067182C"/>
    <w:rsid w:val="00675BD5"/>
    <w:rsid w:val="006A2AAB"/>
    <w:rsid w:val="006A5C60"/>
    <w:rsid w:val="006B514D"/>
    <w:rsid w:val="006C2952"/>
    <w:rsid w:val="006D2CC9"/>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D12"/>
    <w:rsid w:val="007708B0"/>
    <w:rsid w:val="00772001"/>
    <w:rsid w:val="0077320E"/>
    <w:rsid w:val="00773F8D"/>
    <w:rsid w:val="0077581C"/>
    <w:rsid w:val="00781C6F"/>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D4E5B"/>
    <w:rsid w:val="008F64B8"/>
    <w:rsid w:val="008F720C"/>
    <w:rsid w:val="00921FE6"/>
    <w:rsid w:val="0092273C"/>
    <w:rsid w:val="00946042"/>
    <w:rsid w:val="0095089D"/>
    <w:rsid w:val="00951921"/>
    <w:rsid w:val="009769A1"/>
    <w:rsid w:val="00982B57"/>
    <w:rsid w:val="00997ACF"/>
    <w:rsid w:val="009A5893"/>
    <w:rsid w:val="009C0FEB"/>
    <w:rsid w:val="009D0D8E"/>
    <w:rsid w:val="009F26DB"/>
    <w:rsid w:val="009F6B08"/>
    <w:rsid w:val="00A21161"/>
    <w:rsid w:val="00A350B6"/>
    <w:rsid w:val="00A37631"/>
    <w:rsid w:val="00A40477"/>
    <w:rsid w:val="00A40486"/>
    <w:rsid w:val="00A527F5"/>
    <w:rsid w:val="00A618C5"/>
    <w:rsid w:val="00A646AC"/>
    <w:rsid w:val="00A77DBB"/>
    <w:rsid w:val="00A803CD"/>
    <w:rsid w:val="00A85A69"/>
    <w:rsid w:val="00A86F93"/>
    <w:rsid w:val="00A87D50"/>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F6F65"/>
    <w:rsid w:val="00C117EC"/>
    <w:rsid w:val="00C14FA2"/>
    <w:rsid w:val="00C15366"/>
    <w:rsid w:val="00C24386"/>
    <w:rsid w:val="00C24FC2"/>
    <w:rsid w:val="00C318EB"/>
    <w:rsid w:val="00C4030B"/>
    <w:rsid w:val="00C523D4"/>
    <w:rsid w:val="00C6073F"/>
    <w:rsid w:val="00C63D9F"/>
    <w:rsid w:val="00C77F00"/>
    <w:rsid w:val="00C85283"/>
    <w:rsid w:val="00C920BD"/>
    <w:rsid w:val="00C93D7F"/>
    <w:rsid w:val="00CC374C"/>
    <w:rsid w:val="00CE3DC5"/>
    <w:rsid w:val="00D060D3"/>
    <w:rsid w:val="00D17007"/>
    <w:rsid w:val="00D239E1"/>
    <w:rsid w:val="00D327CB"/>
    <w:rsid w:val="00D343F5"/>
    <w:rsid w:val="00D65C1E"/>
    <w:rsid w:val="00D705BB"/>
    <w:rsid w:val="00D763AF"/>
    <w:rsid w:val="00D82C45"/>
    <w:rsid w:val="00D84477"/>
    <w:rsid w:val="00D95132"/>
    <w:rsid w:val="00D97657"/>
    <w:rsid w:val="00DB3944"/>
    <w:rsid w:val="00DB76E9"/>
    <w:rsid w:val="00DC1CCE"/>
    <w:rsid w:val="00DD4DFA"/>
    <w:rsid w:val="00DE37F4"/>
    <w:rsid w:val="00DE56B2"/>
    <w:rsid w:val="00DF616E"/>
    <w:rsid w:val="00DF7646"/>
    <w:rsid w:val="00E10514"/>
    <w:rsid w:val="00E1797D"/>
    <w:rsid w:val="00E17D93"/>
    <w:rsid w:val="00E249A4"/>
    <w:rsid w:val="00E45779"/>
    <w:rsid w:val="00E47595"/>
    <w:rsid w:val="00E57665"/>
    <w:rsid w:val="00E73B0D"/>
    <w:rsid w:val="00E766E9"/>
    <w:rsid w:val="00EA33A0"/>
    <w:rsid w:val="00EA56F2"/>
    <w:rsid w:val="00EA6E17"/>
    <w:rsid w:val="00EB16C4"/>
    <w:rsid w:val="00EB599E"/>
    <w:rsid w:val="00ED2785"/>
    <w:rsid w:val="00EE1916"/>
    <w:rsid w:val="00F07067"/>
    <w:rsid w:val="00F17D3B"/>
    <w:rsid w:val="00F30577"/>
    <w:rsid w:val="00F449E7"/>
    <w:rsid w:val="00F5250B"/>
    <w:rsid w:val="00F54E42"/>
    <w:rsid w:val="00F75216"/>
    <w:rsid w:val="00F759F5"/>
    <w:rsid w:val="00F8311D"/>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Footer">
    <w:name w:val="footer"/>
    <w:basedOn w:val="Header"/>
    <w:semiHidden/>
    <w:qFormat/>
    <w:pPr>
      <w:jc w:val="center"/>
    </w:pPr>
    <w:rPr>
      <w:i/>
    </w:rPr>
  </w:style>
  <w:style w:type="paragraph" w:styleId="Header">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table" w:styleId="TableGrid">
    <w:name w:val="Table Grid"/>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26</TotalTime>
  <Pages>48</Pages>
  <Words>23202</Words>
  <Characters>127379</Characters>
  <Application>Microsoft Office Word</Application>
  <DocSecurity>0</DocSecurity>
  <Lines>3980</Lines>
  <Paragraphs>3203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Abhinaba Dey</cp:lastModifiedBy>
  <cp:revision>12</cp:revision>
  <cp:lastPrinted>1901-01-01T06:00:00Z</cp:lastPrinted>
  <dcterms:created xsi:type="dcterms:W3CDTF">2025-11-18T02:22:00Z</dcterms:created>
  <dcterms:modified xsi:type="dcterms:W3CDTF">2025-11-18T04:50:00Z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ies>
</file>