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77777777"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7777777"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#1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9:10-9:50 online</w:t>
      </w:r>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65pt" o:ole="">
            <v:imagedata r:id="rId7" o:title=""/>
          </v:shape>
          <o:OLEObject Type="Embed" ProgID="Word.Document.12" ShapeID="_x0000_i1025" DrawAspect="Icon" ObjectID="_1824912836"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start point for DL DFT-s-OFDM </w:t>
            </w:r>
            <w:r>
              <w:rPr>
                <w:i/>
                <w:iCs/>
                <w:sz w:val="18"/>
                <w:szCs w:val="18"/>
              </w:rPr>
              <w:t xml:space="preserve"> </w:t>
            </w:r>
            <w:r>
              <w:rPr>
                <w:rFonts w:eastAsia="SimSun"/>
                <w:i/>
                <w:iCs/>
                <w:sz w:val="18"/>
                <w:szCs w:val="18"/>
                <w:lang w:val="en-US" w:eastAsia="zh-CN"/>
              </w:rPr>
              <w:t>waveform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reference</w:t>
            </w:r>
            <w:r>
              <w:rPr>
                <w:rFonts w:eastAsia="Batang"/>
                <w:i/>
                <w:iCs/>
                <w:lang w:eastAsia="zh-CN"/>
              </w:rPr>
              <w:t xml:space="preserve">  –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lastRenderedPageBreak/>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lastRenderedPageBreak/>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w:t>
            </w:r>
            <w:r>
              <w:rPr>
                <w:rFonts w:hint="eastAsia"/>
                <w:bCs/>
              </w:rPr>
              <w:lastRenderedPageBreak/>
              <w:t>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lastRenderedPageBreak/>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SimSun"/>
                <w:i/>
                <w:iCs/>
                <w:sz w:val="18"/>
                <w:szCs w:val="18"/>
                <w:lang w:eastAsia="zh-CN"/>
              </w:rPr>
              <w:t>.</w:t>
            </w:r>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 xml:space="preserve">Proposal 7: CP-OFDM remain the sole downlink waveform for 6G radio to ensure simplicity, backward compatibility, and </w:t>
            </w:r>
            <w:r>
              <w:rPr>
                <w:rFonts w:eastAsia="SimSun"/>
                <w:sz w:val="18"/>
                <w:szCs w:val="18"/>
                <w:lang w:val="en-US" w:eastAsia="zh-CN"/>
              </w:rPr>
              <w:lastRenderedPageBreak/>
              <w:t>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lastRenderedPageBreak/>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w:t>
            </w:r>
            <w:r>
              <w:rPr>
                <w:szCs w:val="18"/>
                <w:lang w:val="en-US"/>
              </w:rPr>
              <w:lastRenderedPageBreak/>
              <w:t>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Gain </w:t>
            </w:r>
            <w:r>
              <w:rPr>
                <w:rFonts w:eastAsia="SimSun"/>
                <w:i/>
                <w:iCs/>
                <w:lang w:val="en-US" w:eastAsia="zh-CN"/>
              </w:rPr>
              <w:t xml:space="preserve"> along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To improve coverage, Selected Mapping(</w:t>
            </w:r>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lastRenderedPageBreak/>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FF178D">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 xml:space="preserve">To obtain broader insights with respect to the evaluations of different uplink low-PAPR </w:t>
            </w:r>
            <w:r>
              <w:rPr>
                <w:lang w:val="en-US"/>
              </w:rPr>
              <w:lastRenderedPageBreak/>
              <w:t>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 xml:space="preserve">of the </w:t>
            </w:r>
            <w:r>
              <w:rPr>
                <w:rFonts w:asciiTheme="majorBidi" w:hAnsiTheme="majorBidi" w:cstheme="majorBidi"/>
                <w:i/>
                <w:iCs/>
              </w:rPr>
              <w:lastRenderedPageBreak/>
              <w:t>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w:t>
            </w:r>
            <w:r>
              <w:rPr>
                <w:rFonts w:cs="Arial"/>
                <w:i/>
                <w:iCs/>
                <w:lang w:val="en-US"/>
              </w:rPr>
              <w:lastRenderedPageBreak/>
              <w: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Study how to utilize the signal property of frequency redundancy in the spectrum extension based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 xml:space="preserve">Proposal 4: </w:t>
            </w:r>
            <w:r>
              <w:rPr>
                <w:rFonts w:eastAsia="SimSun"/>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xml:space="preserve">: RAN1 to study the performance of DFT-s-OFDM and potential enhancement candidates under </w:t>
            </w:r>
            <w:r>
              <w:rPr>
                <w:szCs w:val="22"/>
              </w:rPr>
              <w:lastRenderedPageBreak/>
              <w:t>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lastRenderedPageBreak/>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1: For 6G Radio waveform study, limit initial focus to waveform design for communication use cases. Waveforms and specific waveform enhancements for other use cases such as sensing to be </w:t>
            </w:r>
            <w:r>
              <w:rPr>
                <w:rFonts w:ascii="Aptos" w:eastAsia="Aptos" w:hAnsi="Aptos"/>
                <w:kern w:val="2"/>
                <w:lang w:eastAsia="en-US"/>
                <w14:ligatures w14:val="standardContextual"/>
              </w:rPr>
              <w:lastRenderedPageBreak/>
              <w:t>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Transceiver complexity associated with synthesis and reception;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w:t>
            </w:r>
            <w:r>
              <w:rPr>
                <w:rFonts w:hint="eastAsia"/>
                <w:i/>
              </w:rPr>
              <w:t>≤</w:t>
            </w:r>
            <w:r>
              <w:rPr>
                <w:rFonts w:hint="eastAsia"/>
                <w:i/>
              </w:rPr>
              <w:t xml:space="preserve"> 5 RBs) and very wideband (e.g., </w:t>
            </w:r>
            <w:r>
              <w:rPr>
                <w:rFonts w:hint="eastAsia"/>
                <w:i/>
              </w:rPr>
              <w:t>≥</w:t>
            </w:r>
            <w:r>
              <w:rPr>
                <w:rFonts w:hint="eastAsia"/>
                <w:i/>
              </w:rPr>
              <w:t xml:space="preserve">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lastRenderedPageBreak/>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lastRenderedPageBreak/>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FF178D">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FF178D">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FF178D">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 xml:space="preserve">Proposal 10: Support flexible and scalable time-frequency resource allocation in 6G, considering the </w:t>
            </w:r>
            <w:r>
              <w:rPr>
                <w:i/>
                <w:iCs/>
              </w:rPr>
              <w:lastRenderedPageBreak/>
              <w:t>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 xml:space="preserve">Proposal 30: Study scheduling algorithms and control signaling for dynamic UL/DL interleaving at the </w:t>
            </w:r>
            <w:r>
              <w:rPr>
                <w:i/>
                <w:iCs/>
              </w:rPr>
              <w:lastRenderedPageBreak/>
              <w:t>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t>
            </w:r>
            <w:r>
              <w:rPr>
                <w:rFonts w:hint="eastAsia"/>
                <w:lang w:eastAsia="ja-JP"/>
              </w:rPr>
              <w:lastRenderedPageBreak/>
              <w:t>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 xml:space="preserve">New waveform families shall be considered only when they provide clear and well-justified performance gains, and only if their introduction does not compromise MRSS coexistence, synchronization, or </w:t>
            </w:r>
            <w:r>
              <w:rPr>
                <w:i/>
                <w:iCs/>
              </w:rPr>
              <w:lastRenderedPageBreak/>
              <w:t>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 xml:space="preserve">Modulation and coding </w:t>
                  </w:r>
                  <w:r>
                    <w:rPr>
                      <w:lang w:val="en-US" w:eastAsia="en-US"/>
                    </w:rPr>
                    <w:lastRenderedPageBreak/>
                    <w:t>scheme settings</w:t>
                  </w:r>
                </w:p>
              </w:tc>
              <w:tc>
                <w:tcPr>
                  <w:tcW w:w="6312" w:type="dxa"/>
                </w:tcPr>
                <w:p w14:paraId="0A81F18D" w14:textId="77777777" w:rsidR="00414226" w:rsidRDefault="00441A41">
                  <w:pPr>
                    <w:keepNext/>
                    <w:rPr>
                      <w:rFonts w:cs="Arial"/>
                      <w:lang w:val="en-US" w:eastAsia="en-US"/>
                    </w:rPr>
                  </w:pPr>
                  <w:r>
                    <w:rPr>
                      <w:rFonts w:cs="Arial"/>
                      <w:lang w:val="en-US" w:eastAsia="en-US"/>
                    </w:rPr>
                    <w:lastRenderedPageBreak/>
                    <w:t>Table 6.1.4.1-1 with q=1 in TS 38.214 (DFT-s-OFDM)</w:t>
                  </w:r>
                </w:p>
                <w:p w14:paraId="0A81F18E" w14:textId="77777777" w:rsidR="00414226" w:rsidRDefault="00441A41">
                  <w:pPr>
                    <w:keepNext/>
                    <w:rPr>
                      <w:rFonts w:cs="Arial"/>
                      <w:lang w:val="en-US" w:eastAsia="en-US"/>
                    </w:rPr>
                  </w:pPr>
                  <w:r>
                    <w:rPr>
                      <w:rFonts w:cs="Arial"/>
                      <w:lang w:val="en-US" w:eastAsia="en-US"/>
                    </w:rPr>
                    <w:lastRenderedPageBreak/>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lastRenderedPageBreak/>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lastRenderedPageBreak/>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 xml:space="preserve">for </w:t>
            </w:r>
            <w:r>
              <w:lastRenderedPageBreak/>
              <w:t>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A81F318" w14:textId="77777777" w:rsidR="00414226" w:rsidRDefault="00441A41">
      <w:r>
        <w:t>~10 companies propose to deprioritize/discontinue the DL DFT-s-OFDM discussions under the waveform agenda item and take up the proposal under the specific agenda item that justifies the use case (NTN, energy efficiency, etc.)</w:t>
      </w:r>
    </w:p>
    <w:p w14:paraId="0A81F319" w14:textId="77777777" w:rsidR="00414226" w:rsidRDefault="00441A41">
      <w:r>
        <w:rPr>
          <w:b/>
          <w:bCs/>
          <w:highlight w:val="yellow"/>
        </w:rPr>
        <w:t>Question 1:</w:t>
      </w:r>
      <w:r>
        <w:rPr>
          <w:highlight w:val="yellow"/>
        </w:rPr>
        <w:t xml:space="preserve"> Discuss the following as a possible way forward</w:t>
      </w:r>
    </w:p>
    <w:p w14:paraId="0A81F31A" w14:textId="77777777" w:rsidR="00414226" w:rsidRDefault="00441A41">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14:paraId="0A81F31B" w14:textId="77777777" w:rsidR="00414226" w:rsidRDefault="00441A41">
      <w:pPr>
        <w:numPr>
          <w:ilvl w:val="0"/>
          <w:numId w:val="23"/>
        </w:numPr>
        <w:spacing w:after="0"/>
        <w:jc w:val="both"/>
        <w:rPr>
          <w:rFonts w:eastAsia="Batang"/>
          <w:lang w:val="en-US" w:eastAsia="ko-KR"/>
        </w:rPr>
      </w:pPr>
      <w:r>
        <w:rPr>
          <w:rFonts w:eastAsia="Batang"/>
          <w:lang w:val="en-US" w:eastAsia="ko-KR"/>
        </w:rPr>
        <w:t>PDCCH/PDSCH for NTN under the NTN agenda item</w:t>
      </w:r>
    </w:p>
    <w:p w14:paraId="0A81F31C" w14:textId="77777777" w:rsidR="00414226" w:rsidRDefault="00441A41">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14:paraId="0A81F31D" w14:textId="77777777" w:rsidR="00414226" w:rsidRDefault="00441A41">
      <w:pPr>
        <w:numPr>
          <w:ilvl w:val="0"/>
          <w:numId w:val="23"/>
        </w:numPr>
        <w:spacing w:after="0"/>
        <w:jc w:val="both"/>
        <w:rPr>
          <w:rFonts w:eastAsia="Batang"/>
          <w:lang w:val="en-US" w:eastAsia="ko-KR"/>
        </w:rPr>
      </w:pPr>
      <w:r>
        <w:rPr>
          <w:rFonts w:eastAsia="Batang"/>
          <w:lang w:val="en-US" w:eastAsia="ko-KR"/>
        </w:rPr>
        <w:lastRenderedPageBreak/>
        <w:t>Wake-up signal under initial access or other physical layer signals, channels and procedures agenda item</w:t>
      </w:r>
    </w:p>
    <w:p w14:paraId="0A81F31E" w14:textId="77777777" w:rsidR="00414226" w:rsidRDefault="00414226">
      <w:pPr>
        <w:rPr>
          <w:lang w:val="en-US"/>
        </w:rPr>
      </w:pPr>
    </w:p>
    <w:p w14:paraId="0A81F31F" w14:textId="77777777" w:rsidR="00414226" w:rsidRDefault="00441A41">
      <w:pPr>
        <w:rPr>
          <w:lang w:val="en-US"/>
        </w:rPr>
      </w:pPr>
      <w:r>
        <w:rPr>
          <w:lang w:val="en-US"/>
        </w:rPr>
        <w:t>Assuming that the work is not deprioritized/discontinued, characterize what the proposed solution alternatives are.</w:t>
      </w:r>
    </w:p>
    <w:p w14:paraId="0A81F320" w14:textId="77777777" w:rsidR="00414226" w:rsidRDefault="00441A41">
      <w:pPr>
        <w:rPr>
          <w:lang w:val="en-US"/>
        </w:rPr>
      </w:pPr>
      <w:r>
        <w:rPr>
          <w:b/>
          <w:bCs/>
          <w:highlight w:val="yellow"/>
          <w:lang w:val="en-US"/>
        </w:rPr>
        <w:t>Question 2:</w:t>
      </w:r>
      <w:r>
        <w:rPr>
          <w:highlight w:val="yellow"/>
          <w:lang w:val="en-US"/>
        </w:rPr>
        <w:t xml:space="preserve"> Discuss the characterization of the solution alternatives:</w:t>
      </w:r>
    </w:p>
    <w:p w14:paraId="0A81F32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2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Common </w:t>
      </w:r>
      <w:r>
        <w:rPr>
          <w:rFonts w:eastAsia="Batang" w:hint="eastAsia"/>
          <w:lang w:val="en-US" w:eastAsia="ko-KR"/>
        </w:rPr>
        <w:t>PDCCH</w:t>
      </w:r>
    </w:p>
    <w:p w14:paraId="0A81F323" w14:textId="77777777" w:rsidR="00414226" w:rsidRDefault="00441A41">
      <w:pPr>
        <w:numPr>
          <w:ilvl w:val="0"/>
          <w:numId w:val="23"/>
        </w:numPr>
        <w:spacing w:after="0"/>
        <w:jc w:val="both"/>
        <w:rPr>
          <w:rFonts w:eastAsia="Batang"/>
          <w:lang w:val="en-US" w:eastAsia="ko-KR"/>
        </w:rPr>
      </w:pPr>
      <w:r>
        <w:rPr>
          <w:rFonts w:eastAsia="Batang"/>
          <w:lang w:val="en-US" w:eastAsia="ko-KR"/>
        </w:rPr>
        <w:t>Common PDSCH</w:t>
      </w:r>
    </w:p>
    <w:p w14:paraId="0A81F324" w14:textId="77777777" w:rsidR="00414226" w:rsidRDefault="00441A41">
      <w:pPr>
        <w:numPr>
          <w:ilvl w:val="0"/>
          <w:numId w:val="23"/>
        </w:numPr>
        <w:spacing w:after="0"/>
        <w:jc w:val="both"/>
        <w:rPr>
          <w:rFonts w:eastAsia="Batang"/>
          <w:lang w:val="en-US" w:eastAsia="ko-KR"/>
        </w:rPr>
      </w:pPr>
      <w:r>
        <w:rPr>
          <w:rFonts w:eastAsia="Batang"/>
          <w:lang w:val="en-US" w:eastAsia="ko-KR"/>
        </w:rPr>
        <w:t>UE-specific PDCCH and unicast PDSCH (including Msg4)</w:t>
      </w:r>
    </w:p>
    <w:p w14:paraId="0A81F325" w14:textId="77777777" w:rsidR="00414226" w:rsidRDefault="00441A41">
      <w:pPr>
        <w:numPr>
          <w:ilvl w:val="0"/>
          <w:numId w:val="23"/>
        </w:numPr>
        <w:spacing w:after="0"/>
        <w:jc w:val="both"/>
        <w:rPr>
          <w:rFonts w:eastAsia="Batang"/>
          <w:i/>
          <w:iCs/>
          <w:lang w:val="en-US" w:eastAsia="ko-KR"/>
        </w:rPr>
      </w:pPr>
      <w:r>
        <w:rPr>
          <w:rFonts w:eastAsia="Batang"/>
          <w:lang w:val="en-US" w:eastAsia="ko-KR"/>
        </w:rPr>
        <w:t>[On-demand] Sync/SSB</w:t>
      </w:r>
    </w:p>
    <w:p w14:paraId="0A81F326" w14:textId="77777777" w:rsidR="00414226" w:rsidRDefault="00441A41">
      <w:pPr>
        <w:numPr>
          <w:ilvl w:val="0"/>
          <w:numId w:val="23"/>
        </w:numPr>
        <w:spacing w:after="0"/>
        <w:jc w:val="both"/>
        <w:rPr>
          <w:rFonts w:eastAsia="Batang"/>
          <w:i/>
          <w:iCs/>
          <w:lang w:val="en-US" w:eastAsia="ko-KR"/>
        </w:rPr>
      </w:pPr>
      <w:r>
        <w:rPr>
          <w:rFonts w:eastAsia="Batang"/>
          <w:lang w:val="en-US" w:eastAsia="ko-KR"/>
        </w:rPr>
        <w:t>Wake-up signal</w:t>
      </w:r>
    </w:p>
    <w:p w14:paraId="0A81F327" w14:textId="77777777" w:rsidR="00414226" w:rsidRDefault="00414226">
      <w:pPr>
        <w:spacing w:after="0"/>
        <w:jc w:val="both"/>
        <w:rPr>
          <w:rFonts w:eastAsia="Batang"/>
          <w:lang w:val="en-US" w:eastAsia="ko-KR"/>
        </w:rPr>
      </w:pPr>
    </w:p>
    <w:p w14:paraId="0A81F328"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29"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2A"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2B"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2C"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2D"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0A81F32E"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0A81F32F"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30" w14:textId="77777777" w:rsidR="00414226" w:rsidRDefault="00414226">
      <w:pPr>
        <w:spacing w:after="0"/>
        <w:jc w:val="both"/>
        <w:rPr>
          <w:rFonts w:eastAsia="Batang"/>
          <w:lang w:val="en-US" w:eastAsia="ko-KR"/>
        </w:rPr>
      </w:pPr>
    </w:p>
    <w:p w14:paraId="0A81F331"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32" w14:textId="77777777" w:rsidR="00414226" w:rsidRDefault="00441A41">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0A81F333" w14:textId="77777777" w:rsidR="00414226" w:rsidRDefault="00441A41">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has to receive signals intended to be transmitted to other UEs, as each UE needs to receive the signal of the whole BW. Such </w:t>
            </w:r>
            <w:r>
              <w:rPr>
                <w:lang w:val="en-US" w:eastAsia="zh-CN"/>
              </w:rPr>
              <w:lastRenderedPageBreak/>
              <w:t>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lastRenderedPageBreak/>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lastRenderedPageBreak/>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w:t>
            </w:r>
            <w:r>
              <w:rPr>
                <w:rFonts w:eastAsia="Batang"/>
                <w:b/>
                <w:bCs/>
                <w:i/>
                <w:lang w:val="en-US" w:eastAsia="zh-CN"/>
              </w:rPr>
              <w:lastRenderedPageBreak/>
              <w:t>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tc>
          <w:tcPr>
            <w:tcW w:w="1696" w:type="dxa"/>
          </w:tcPr>
          <w:p w14:paraId="0A81F3D8" w14:textId="77777777" w:rsidR="00414226" w:rsidRDefault="00441A41">
            <w:pPr>
              <w:autoSpaceDE/>
              <w:rPr>
                <w:lang w:val="en-US" w:eastAsia="zh-CN"/>
              </w:rPr>
            </w:pPr>
            <w:r>
              <w:rPr>
                <w:rFonts w:hint="eastAsia"/>
                <w:lang w:val="en-US" w:eastAsia="zh-CN"/>
              </w:rPr>
              <w:t>Spreadtrum</w:t>
            </w:r>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3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FF178D">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0A81F3F6" w14:textId="77777777" w:rsidR="00414226" w:rsidRDefault="00441A41">
      <w:r>
        <w:rPr>
          <w:b/>
          <w:bCs/>
          <w:highlight w:val="yellow"/>
        </w:rPr>
        <w:t>Question 3:</w:t>
      </w:r>
      <w:r>
        <w:rPr>
          <w:highlight w:val="yellow"/>
        </w:rPr>
        <w:t xml:space="preserve"> Discuss whether there is a need to agree on a single PA model before receiving further guidance from RAN4, and if so, agree on the model(s) to use</w:t>
      </w:r>
    </w:p>
    <w:p w14:paraId="0A81F3F7" w14:textId="77777777" w:rsidR="00414226" w:rsidRDefault="00414226"/>
    <w:p w14:paraId="0A81F3F8" w14:textId="77777777" w:rsidR="00414226" w:rsidRDefault="00441A41">
      <w:pPr>
        <w:rPr>
          <w:b/>
          <w:bCs/>
        </w:rPr>
      </w:pPr>
      <w:r>
        <w:rPr>
          <w:b/>
          <w:bCs/>
        </w:rPr>
        <w:lastRenderedPageBreak/>
        <w:t>Evaluation metrics</w:t>
      </w:r>
    </w:p>
    <w:p w14:paraId="0A81F3F9" w14:textId="77777777" w:rsidR="00414226" w:rsidRDefault="00441A41">
      <w:pPr>
        <w:pStyle w:val="ListParagraph"/>
        <w:numPr>
          <w:ilvl w:val="0"/>
          <w:numId w:val="50"/>
        </w:numPr>
      </w:pPr>
      <w:r>
        <w:t>Net gain assuming similar spectral efficiency and bandwidth for each compared method [Nokia]</w:t>
      </w:r>
    </w:p>
    <w:p w14:paraId="0A81F3FA" w14:textId="77777777" w:rsidR="00414226" w:rsidRDefault="00441A41">
      <w:pPr>
        <w:pStyle w:val="ListParagraph"/>
        <w:numPr>
          <w:ilvl w:val="0"/>
          <w:numId w:val="50"/>
        </w:numPr>
      </w:pPr>
      <w:r>
        <w:t>PAPR reduction and SINR degradation @10% BLER, Net gain including MPR can be evaluated by RAN4. [OPPO]</w:t>
      </w:r>
    </w:p>
    <w:p w14:paraId="0A81F3FB" w14:textId="77777777" w:rsidR="00414226" w:rsidRDefault="00441A41">
      <w:pPr>
        <w:pStyle w:val="ListParagraph"/>
        <w:numPr>
          <w:ilvl w:val="0"/>
          <w:numId w:val="50"/>
        </w:numPr>
      </w:pPr>
      <w:r>
        <w:t>Implementation complexity in receiver. [CATT]</w:t>
      </w:r>
    </w:p>
    <w:p w14:paraId="0A81F3FC" w14:textId="77777777" w:rsidR="00414226" w:rsidRDefault="00441A41">
      <w:pPr>
        <w:pStyle w:val="ListParagraph"/>
        <w:numPr>
          <w:ilvl w:val="0"/>
          <w:numId w:val="50"/>
        </w:numPr>
      </w:pPr>
      <w:r>
        <w:t>ACLR, EVM, IBE, SEM [NEC, Huawei]</w:t>
      </w:r>
    </w:p>
    <w:p w14:paraId="0A81F3FD" w14:textId="77777777" w:rsidR="00414226" w:rsidRDefault="00441A41">
      <w:pPr>
        <w:pStyle w:val="ListParagraph"/>
        <w:numPr>
          <w:ilvl w:val="0"/>
          <w:numId w:val="50"/>
        </w:numPr>
      </w:pPr>
      <w:r>
        <w:t>CM characteristic [Lenovo]</w:t>
      </w:r>
    </w:p>
    <w:p w14:paraId="0A81F3FE" w14:textId="77777777" w:rsidR="00414226" w:rsidRDefault="00441A41">
      <w:r>
        <w:rPr>
          <w:b/>
          <w:bCs/>
          <w:highlight w:val="yellow"/>
        </w:rPr>
        <w:t>Question 4:</w:t>
      </w:r>
      <w:r>
        <w:rPr>
          <w:highlight w:val="yellow"/>
        </w:rPr>
        <w:t xml:space="preserve"> Discuss 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set in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5"/>
        <w:gridCol w:w="3442"/>
        <w:gridCol w:w="3367"/>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
        <w:tblW w:w="4474" w:type="pct"/>
        <w:jc w:val="center"/>
        <w:tblLook w:val="04A0" w:firstRow="1" w:lastRow="0" w:firstColumn="1" w:lastColumn="0" w:noHBand="0" w:noVBand="1"/>
      </w:tblPr>
      <w:tblGrid>
        <w:gridCol w:w="2751"/>
        <w:gridCol w:w="6067"/>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lastRenderedPageBreak/>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lastRenderedPageBreak/>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7" w14:textId="77777777" w:rsidR="00414226" w:rsidRDefault="00414226">
            <w:pPr>
              <w:overflowPunct/>
              <w:autoSpaceDE/>
              <w:autoSpaceDN/>
              <w:adjustRightInd/>
              <w:textAlignment w:val="auto"/>
              <w:rPr>
                <w:lang w:val="en-US" w:eastAsia="zh-CN"/>
              </w:rPr>
            </w:pPr>
          </w:p>
          <w:p w14:paraId="0A81F4E8" w14:textId="77777777" w:rsidR="00414226" w:rsidRDefault="00414226">
            <w:pPr>
              <w:overflowPunct/>
              <w:autoSpaceDE/>
              <w:autoSpaceDN/>
              <w:adjustRightInd/>
              <w:textAlignment w:val="auto"/>
              <w:rPr>
                <w:lang w:val="en-US" w:eastAsia="zh-CN"/>
              </w:rPr>
            </w:pP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lastRenderedPageBreak/>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lastRenderedPageBreak/>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lastRenderedPageBreak/>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0A81F54B" w14:textId="77777777" w:rsidR="00414226" w:rsidRDefault="00414226"/>
    <w:p w14:paraId="0A81F54C" w14:textId="77777777" w:rsidR="00414226" w:rsidRDefault="00441A41">
      <w:pPr>
        <w:pStyle w:val="Heading3"/>
      </w:pPr>
      <w:r>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7777777" w:rsidR="00414226" w:rsidRDefault="00414226">
            <w:pPr>
              <w:overflowPunct/>
              <w:autoSpaceDE/>
              <w:autoSpaceDN/>
              <w:adjustRightInd/>
              <w:textAlignment w:val="auto"/>
              <w:rPr>
                <w:lang w:val="en-US" w:eastAsia="en-US"/>
              </w:rPr>
            </w:pPr>
          </w:p>
        </w:tc>
        <w:tc>
          <w:tcPr>
            <w:tcW w:w="7938" w:type="dxa"/>
          </w:tcPr>
          <w:p w14:paraId="0A81F565" w14:textId="77777777" w:rsidR="00414226" w:rsidRDefault="004142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2" w:name="OLE_LINK1"/>
            <w:r>
              <w:rPr>
                <w:rFonts w:hint="eastAsia"/>
                <w:lang w:val="en-US" w:eastAsia="zh-CN"/>
              </w:rPr>
              <w:t xml:space="preserve">Similar to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77777777" w:rsidR="00414226" w:rsidRDefault="00414226">
            <w:pPr>
              <w:overflowPunct/>
              <w:autoSpaceDE/>
              <w:autoSpaceDN/>
              <w:adjustRightInd/>
              <w:textAlignment w:val="auto"/>
              <w:rPr>
                <w:lang w:val="en-US" w:eastAsia="en-US"/>
              </w:rPr>
            </w:pPr>
          </w:p>
        </w:tc>
        <w:tc>
          <w:tcPr>
            <w:tcW w:w="7938" w:type="dxa"/>
          </w:tcPr>
          <w:p w14:paraId="0A81F57C" w14:textId="77777777" w:rsidR="00414226" w:rsidRDefault="004142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77777777" w:rsidR="00414226" w:rsidRDefault="00414226">
            <w:pPr>
              <w:overflowPunct/>
              <w:autoSpaceDE/>
              <w:autoSpaceDN/>
              <w:adjustRightInd/>
              <w:textAlignment w:val="auto"/>
              <w:rPr>
                <w:rFonts w:ascii="Yu Mincho" w:eastAsia="Yu Mincho" w:hAnsi="Yu Mincho"/>
                <w:lang w:val="en-US" w:eastAsia="ja-JP"/>
              </w:rPr>
            </w:pPr>
          </w:p>
        </w:tc>
        <w:tc>
          <w:tcPr>
            <w:tcW w:w="7938" w:type="dxa"/>
          </w:tcPr>
          <w:p w14:paraId="0A81F59A" w14:textId="77777777" w:rsidR="00414226" w:rsidRDefault="004142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lastRenderedPageBreak/>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lastRenderedPageBreak/>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lastRenderedPageBreak/>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xml:space="preserve">: for better clarity and to avoid confusions, we would like to propose to explicitly mention the following for power class and power scaling in evaluation assumptions for 2TX configuration as this is where the optimal benefits and the best use case </w:t>
            </w:r>
            <w:r>
              <w:rPr>
                <w:lang w:val="en-US" w:eastAsia="zh-CN"/>
              </w:rPr>
              <w:lastRenderedPageBreak/>
              <w:t>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w:t>
            </w:r>
            <w:proofErr w:type="spellStart"/>
            <w:r>
              <w:rPr>
                <w:rFonts w:hint="eastAsia"/>
              </w:rPr>
              <w:t>gNB</w:t>
            </w:r>
            <w:proofErr w:type="spellEnd"/>
            <w:r>
              <w:rPr>
                <w:rFonts w:hint="eastAsia"/>
              </w:rPr>
              <w:t xml:space="preserve">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xml:space="preserve">, it should be determined dynamically based on at least number of allocated resource blocks, pathloss measurement, modulation, inner/outer </w:t>
            </w:r>
            <w:r>
              <w:lastRenderedPageBreak/>
              <w:t>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bl>
    <w:p w14:paraId="0A81F672" w14:textId="77777777" w:rsidR="00414226" w:rsidRDefault="00414226"/>
    <w:p w14:paraId="0A81F673" w14:textId="77777777" w:rsidR="00414226" w:rsidRDefault="00414226"/>
    <w:p w14:paraId="0A81F674" w14:textId="77777777" w:rsidR="00414226" w:rsidRDefault="00441A41">
      <w:pPr>
        <w:pStyle w:val="Heading1"/>
      </w:pPr>
      <w:r>
        <w:t>9.</w:t>
      </w:r>
      <w:r>
        <w:tab/>
        <w:t>Monday on-line</w:t>
      </w:r>
    </w:p>
    <w:p w14:paraId="0A81F675" w14:textId="77777777" w:rsidR="00414226" w:rsidRDefault="00441A41">
      <w:r>
        <w:t>TBA</w:t>
      </w:r>
    </w:p>
    <w:p w14:paraId="0A81F676" w14:textId="77777777" w:rsidR="00414226" w:rsidRDefault="00414226"/>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F67B" w14:textId="77777777" w:rsidR="00F54E42" w:rsidRDefault="00F54E42">
      <w:pPr>
        <w:spacing w:after="0"/>
      </w:pPr>
      <w:r>
        <w:separator/>
      </w:r>
    </w:p>
  </w:endnote>
  <w:endnote w:type="continuationSeparator" w:id="0">
    <w:p w14:paraId="0A81F67C" w14:textId="77777777" w:rsidR="00F54E42" w:rsidRDefault="00F54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F679" w14:textId="77777777" w:rsidR="00F54E42" w:rsidRDefault="00F54E42">
      <w:pPr>
        <w:spacing w:after="0"/>
      </w:pPr>
      <w:r>
        <w:separator/>
      </w:r>
    </w:p>
  </w:footnote>
  <w:footnote w:type="continuationSeparator" w:id="0">
    <w:p w14:paraId="0A81F67A" w14:textId="77777777" w:rsidR="00F54E42" w:rsidRDefault="00F54E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7"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2"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39"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7"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3"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5"/>
  </w:num>
  <w:num w:numId="2" w16cid:durableId="1096637590">
    <w:abstractNumId w:val="12"/>
  </w:num>
  <w:num w:numId="3" w16cid:durableId="19741949">
    <w:abstractNumId w:val="28"/>
  </w:num>
  <w:num w:numId="4" w16cid:durableId="503519171">
    <w:abstractNumId w:val="0"/>
  </w:num>
  <w:num w:numId="5" w16cid:durableId="9841587">
    <w:abstractNumId w:val="3"/>
  </w:num>
  <w:num w:numId="6" w16cid:durableId="343365318">
    <w:abstractNumId w:val="37"/>
  </w:num>
  <w:num w:numId="7" w16cid:durableId="1434395573">
    <w:abstractNumId w:val="1"/>
  </w:num>
  <w:num w:numId="8" w16cid:durableId="2118206771">
    <w:abstractNumId w:val="47"/>
  </w:num>
  <w:num w:numId="9" w16cid:durableId="1415857112">
    <w:abstractNumId w:val="30"/>
  </w:num>
  <w:num w:numId="10" w16cid:durableId="1105226706">
    <w:abstractNumId w:val="8"/>
  </w:num>
  <w:num w:numId="11" w16cid:durableId="1849825063">
    <w:abstractNumId w:val="42"/>
  </w:num>
  <w:num w:numId="12" w16cid:durableId="2034918241">
    <w:abstractNumId w:val="27"/>
  </w:num>
  <w:num w:numId="13" w16cid:durableId="1622347085">
    <w:abstractNumId w:val="18"/>
  </w:num>
  <w:num w:numId="14" w16cid:durableId="338704727">
    <w:abstractNumId w:val="49"/>
  </w:num>
  <w:num w:numId="15" w16cid:durableId="545727622">
    <w:abstractNumId w:val="9"/>
  </w:num>
  <w:num w:numId="16" w16cid:durableId="584806847">
    <w:abstractNumId w:val="34"/>
  </w:num>
  <w:num w:numId="17" w16cid:durableId="1130629576">
    <w:abstractNumId w:val="13"/>
  </w:num>
  <w:num w:numId="18" w16cid:durableId="234828412">
    <w:abstractNumId w:val="10"/>
  </w:num>
  <w:num w:numId="19" w16cid:durableId="1690597167">
    <w:abstractNumId w:val="35"/>
  </w:num>
  <w:num w:numId="20" w16cid:durableId="441731869">
    <w:abstractNumId w:val="53"/>
  </w:num>
  <w:num w:numId="21" w16cid:durableId="318047122">
    <w:abstractNumId w:val="17"/>
  </w:num>
  <w:num w:numId="22" w16cid:durableId="1880312419">
    <w:abstractNumId w:val="31"/>
  </w:num>
  <w:num w:numId="23" w16cid:durableId="716585288">
    <w:abstractNumId w:val="52"/>
  </w:num>
  <w:num w:numId="24" w16cid:durableId="937375786">
    <w:abstractNumId w:val="48"/>
  </w:num>
  <w:num w:numId="25" w16cid:durableId="1794131519">
    <w:abstractNumId w:val="2"/>
  </w:num>
  <w:num w:numId="26" w16cid:durableId="577061245">
    <w:abstractNumId w:val="29"/>
  </w:num>
  <w:num w:numId="27" w16cid:durableId="861750030">
    <w:abstractNumId w:val="21"/>
  </w:num>
  <w:num w:numId="28" w16cid:durableId="123812827">
    <w:abstractNumId w:val="11"/>
  </w:num>
  <w:num w:numId="29" w16cid:durableId="1599753945">
    <w:abstractNumId w:val="38"/>
  </w:num>
  <w:num w:numId="30" w16cid:durableId="1871603021">
    <w:abstractNumId w:val="22"/>
  </w:num>
  <w:num w:numId="31" w16cid:durableId="1207334557">
    <w:abstractNumId w:val="36"/>
  </w:num>
  <w:num w:numId="32" w16cid:durableId="800655968">
    <w:abstractNumId w:val="7"/>
  </w:num>
  <w:num w:numId="33" w16cid:durableId="735786969">
    <w:abstractNumId w:val="5"/>
  </w:num>
  <w:num w:numId="34" w16cid:durableId="1632898362">
    <w:abstractNumId w:val="46"/>
  </w:num>
  <w:num w:numId="35" w16cid:durableId="1258831810">
    <w:abstractNumId w:val="39"/>
  </w:num>
  <w:num w:numId="36" w16cid:durableId="319620286">
    <w:abstractNumId w:val="44"/>
  </w:num>
  <w:num w:numId="37" w16cid:durableId="1150361307">
    <w:abstractNumId w:val="14"/>
  </w:num>
  <w:num w:numId="38" w16cid:durableId="1281689414">
    <w:abstractNumId w:val="32"/>
  </w:num>
  <w:num w:numId="39" w16cid:durableId="1943340071">
    <w:abstractNumId w:val="6"/>
  </w:num>
  <w:num w:numId="40" w16cid:durableId="455030011">
    <w:abstractNumId w:val="19"/>
  </w:num>
  <w:num w:numId="41" w16cid:durableId="754008873">
    <w:abstractNumId w:val="26"/>
  </w:num>
  <w:num w:numId="42" w16cid:durableId="131602620">
    <w:abstractNumId w:val="16"/>
  </w:num>
  <w:num w:numId="43" w16cid:durableId="1208951065">
    <w:abstractNumId w:val="25"/>
  </w:num>
  <w:num w:numId="44" w16cid:durableId="692221903">
    <w:abstractNumId w:val="41"/>
  </w:num>
  <w:num w:numId="45" w16cid:durableId="1462264416">
    <w:abstractNumId w:val="20"/>
  </w:num>
  <w:num w:numId="46" w16cid:durableId="988170779">
    <w:abstractNumId w:val="4"/>
  </w:num>
  <w:num w:numId="47" w16cid:durableId="1666863379">
    <w:abstractNumId w:val="51"/>
  </w:num>
  <w:num w:numId="48" w16cid:durableId="1059092611">
    <w:abstractNumId w:val="33"/>
  </w:num>
  <w:num w:numId="49" w16cid:durableId="1268659543">
    <w:abstractNumId w:val="15"/>
  </w:num>
  <w:num w:numId="50" w16cid:durableId="456218144">
    <w:abstractNumId w:val="43"/>
  </w:num>
  <w:num w:numId="51" w16cid:durableId="78798246">
    <w:abstractNumId w:val="50"/>
  </w:num>
  <w:num w:numId="52" w16cid:durableId="2033723138">
    <w:abstractNumId w:val="24"/>
  </w:num>
  <w:num w:numId="53" w16cid:durableId="379405330">
    <w:abstractNumId w:val="23"/>
  </w:num>
  <w:num w:numId="54" w16cid:durableId="1652522885">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7D5"/>
    <w:rsid w:val="00017076"/>
    <w:rsid w:val="0003185F"/>
    <w:rsid w:val="0004636E"/>
    <w:rsid w:val="00057A98"/>
    <w:rsid w:val="00074225"/>
    <w:rsid w:val="000929B6"/>
    <w:rsid w:val="000A2DAE"/>
    <w:rsid w:val="000A2E2E"/>
    <w:rsid w:val="000A378F"/>
    <w:rsid w:val="000A7410"/>
    <w:rsid w:val="000B6356"/>
    <w:rsid w:val="000E161C"/>
    <w:rsid w:val="000E1A74"/>
    <w:rsid w:val="000E2551"/>
    <w:rsid w:val="000E6842"/>
    <w:rsid w:val="000F0F91"/>
    <w:rsid w:val="000F4A83"/>
    <w:rsid w:val="000F7CBE"/>
    <w:rsid w:val="001020F2"/>
    <w:rsid w:val="00106D83"/>
    <w:rsid w:val="00111544"/>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D1102"/>
    <w:rsid w:val="001D2C04"/>
    <w:rsid w:val="001D6EA6"/>
    <w:rsid w:val="00207D3E"/>
    <w:rsid w:val="00210461"/>
    <w:rsid w:val="0021690B"/>
    <w:rsid w:val="00217734"/>
    <w:rsid w:val="002214D0"/>
    <w:rsid w:val="002375E9"/>
    <w:rsid w:val="002417EC"/>
    <w:rsid w:val="00244047"/>
    <w:rsid w:val="002625FD"/>
    <w:rsid w:val="002704CD"/>
    <w:rsid w:val="00270519"/>
    <w:rsid w:val="00272152"/>
    <w:rsid w:val="00273616"/>
    <w:rsid w:val="0028408C"/>
    <w:rsid w:val="00285C59"/>
    <w:rsid w:val="00287EF8"/>
    <w:rsid w:val="00297D57"/>
    <w:rsid w:val="002B38A7"/>
    <w:rsid w:val="002B3992"/>
    <w:rsid w:val="002B4DAE"/>
    <w:rsid w:val="002B5186"/>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4831"/>
    <w:rsid w:val="00395FF6"/>
    <w:rsid w:val="003B1281"/>
    <w:rsid w:val="003B2591"/>
    <w:rsid w:val="003B6B1A"/>
    <w:rsid w:val="003D3729"/>
    <w:rsid w:val="003D7A7A"/>
    <w:rsid w:val="0040107D"/>
    <w:rsid w:val="00414226"/>
    <w:rsid w:val="0041636B"/>
    <w:rsid w:val="004169A2"/>
    <w:rsid w:val="00426F08"/>
    <w:rsid w:val="00441A41"/>
    <w:rsid w:val="00446D35"/>
    <w:rsid w:val="004516DC"/>
    <w:rsid w:val="0046260B"/>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0D66"/>
    <w:rsid w:val="005543DF"/>
    <w:rsid w:val="00562D4F"/>
    <w:rsid w:val="0056731C"/>
    <w:rsid w:val="00577D2D"/>
    <w:rsid w:val="005803F1"/>
    <w:rsid w:val="00596258"/>
    <w:rsid w:val="005B3856"/>
    <w:rsid w:val="005B7758"/>
    <w:rsid w:val="005C6600"/>
    <w:rsid w:val="005D354E"/>
    <w:rsid w:val="005E3A67"/>
    <w:rsid w:val="005F5EE8"/>
    <w:rsid w:val="006376EF"/>
    <w:rsid w:val="00642FBF"/>
    <w:rsid w:val="00663107"/>
    <w:rsid w:val="0067182C"/>
    <w:rsid w:val="00675BD5"/>
    <w:rsid w:val="006A2AAB"/>
    <w:rsid w:val="006B514D"/>
    <w:rsid w:val="006C2952"/>
    <w:rsid w:val="006D2CC9"/>
    <w:rsid w:val="006F6EE8"/>
    <w:rsid w:val="00701E59"/>
    <w:rsid w:val="00703308"/>
    <w:rsid w:val="0070637B"/>
    <w:rsid w:val="007139DE"/>
    <w:rsid w:val="00713D1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174A"/>
    <w:rsid w:val="00854AE6"/>
    <w:rsid w:val="00856B8E"/>
    <w:rsid w:val="00876351"/>
    <w:rsid w:val="00882D57"/>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527F5"/>
    <w:rsid w:val="00A618C5"/>
    <w:rsid w:val="00A646AC"/>
    <w:rsid w:val="00A77DBB"/>
    <w:rsid w:val="00A803CD"/>
    <w:rsid w:val="00A85A69"/>
    <w:rsid w:val="00A86F93"/>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2C45"/>
    <w:rsid w:val="00D84477"/>
    <w:rsid w:val="00D95132"/>
    <w:rsid w:val="00D97657"/>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EE1916"/>
    <w:rsid w:val="00F07067"/>
    <w:rsid w:val="00F17D3B"/>
    <w:rsid w:val="00F30577"/>
    <w:rsid w:val="00F449E7"/>
    <w:rsid w:val="00F5250B"/>
    <w:rsid w:val="00F54E42"/>
    <w:rsid w:val="00F75216"/>
    <w:rsid w:val="00F759F5"/>
    <w:rsid w:val="00F8311D"/>
    <w:rsid w:val="00F86609"/>
    <w:rsid w:val="00FA1204"/>
    <w:rsid w:val="00FA1363"/>
    <w:rsid w:val="00FC00AE"/>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Footer">
    <w:name w:val="footer"/>
    <w:basedOn w:val="Header"/>
    <w:semiHidden/>
    <w:qFormat/>
    <w:pPr>
      <w:jc w:val="center"/>
    </w:pPr>
    <w:rPr>
      <w:i/>
    </w:rPr>
  </w:style>
  <w:style w:type="paragraph" w:styleId="Header">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table" w:styleId="TableGrid">
    <w:name w:val="Table Grid"/>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character" w:customStyle="1" w:styleId="CommentTextChar">
    <w:name w:val="Comment Text Char"/>
    <w:basedOn w:val="DefaultParagraphFont"/>
    <w:link w:val="CommentText"/>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3gpp_70.dotx</Template>
  <TotalTime>16</TotalTime>
  <Pages>46</Pages>
  <Words>22537</Words>
  <Characters>123957</Characters>
  <Application>Microsoft Office Word</Application>
  <DocSecurity>0</DocSecurity>
  <Lines>3873</Lines>
  <Paragraphs>3184</Paragraphs>
  <ScaleCrop>false</ScaleCrop>
  <Company>ETSI Sophia Antipolis</Company>
  <LinksUpToDate>false</LinksUpToDate>
  <CharactersWithSpaces>143310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Fumihiro Hasegawa</cp:lastModifiedBy>
  <cp:revision>15</cp:revision>
  <cp:lastPrinted>1901-01-01T06:00:00Z</cp:lastPrinted>
  <dcterms:created xsi:type="dcterms:W3CDTF">2025-11-17T23:24:00Z</dcterms:created>
  <dcterms:modified xsi:type="dcterms:W3CDTF">2025-11-18T00:27:00Z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ies>
</file>