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BF53AC" w14:textId="1436D2BA" w:rsidR="00D77BCF" w:rsidRDefault="00D77BCF" w:rsidP="5378E771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szCs w:val="28"/>
          <w:lang w:val="en-US"/>
        </w:rPr>
      </w:pPr>
      <w:r w:rsidRPr="5378E771">
        <w:rPr>
          <w:rFonts w:ascii="Arial" w:hAnsi="Arial" w:cs="Arial"/>
          <w:b/>
          <w:bCs/>
          <w:sz w:val="28"/>
          <w:szCs w:val="28"/>
          <w:lang w:val="en-US"/>
        </w:rPr>
        <w:t>3GPP TSG RAN WG1 #12</w:t>
      </w:r>
      <w:r w:rsidRPr="5378E771">
        <w:rPr>
          <w:rFonts w:ascii="Arial" w:eastAsia="DengXian" w:hAnsi="Arial" w:cs="Arial"/>
          <w:b/>
          <w:bCs/>
          <w:sz w:val="28"/>
          <w:szCs w:val="28"/>
          <w:lang w:val="en-US" w:eastAsia="zh-CN"/>
        </w:rPr>
        <w:t>3</w:t>
      </w:r>
      <w:r>
        <w:tab/>
      </w:r>
      <w:r>
        <w:tab/>
      </w:r>
      <w:r>
        <w:tab/>
      </w:r>
      <w:r w:rsidRPr="5378E771">
        <w:rPr>
          <w:rFonts w:ascii="Arial" w:hAnsi="Arial" w:cs="Arial"/>
          <w:b/>
          <w:bCs/>
          <w:sz w:val="28"/>
          <w:szCs w:val="28"/>
          <w:lang w:val="en-US"/>
        </w:rPr>
        <w:t>R1-250</w:t>
      </w:r>
      <w:r w:rsidR="74EA935A" w:rsidRPr="5378E771">
        <w:rPr>
          <w:rFonts w:ascii="Arial" w:hAnsi="Arial" w:cs="Arial"/>
          <w:b/>
          <w:bCs/>
          <w:sz w:val="28"/>
          <w:szCs w:val="28"/>
          <w:lang w:val="en-US"/>
        </w:rPr>
        <w:t>9178</w:t>
      </w:r>
    </w:p>
    <w:p w14:paraId="6BB4BFF1" w14:textId="4AF9D1D0" w:rsidR="007B3CB8" w:rsidRDefault="00D77BCF" w:rsidP="00D77BCF">
      <w:pPr>
        <w:rPr>
          <w:rFonts w:ascii="Arial" w:hAnsi="Arial" w:cs="Arial"/>
          <w:b/>
          <w:bCs/>
          <w:sz w:val="28"/>
          <w:lang w:val="en-US"/>
        </w:rPr>
      </w:pPr>
      <w:r>
        <w:rPr>
          <w:rFonts w:ascii="Arial" w:hAnsi="Arial" w:cs="Arial"/>
          <w:b/>
          <w:bCs/>
          <w:sz w:val="28"/>
          <w:lang w:val="en-US"/>
        </w:rPr>
        <w:t>Dal</w:t>
      </w:r>
      <w:r>
        <w:rPr>
          <w:rFonts w:ascii="Arial" w:eastAsia="DengXian" w:hAnsi="Arial" w:cs="Arial"/>
          <w:b/>
          <w:bCs/>
          <w:sz w:val="28"/>
          <w:lang w:val="en-US" w:eastAsia="zh-CN"/>
        </w:rPr>
        <w:t>l</w:t>
      </w:r>
      <w:r>
        <w:rPr>
          <w:rFonts w:ascii="Arial" w:hAnsi="Arial" w:cs="Arial"/>
          <w:b/>
          <w:bCs/>
          <w:sz w:val="28"/>
          <w:lang w:val="en-US"/>
        </w:rPr>
        <w:t>as, USA, No</w:t>
      </w:r>
      <w:r>
        <w:rPr>
          <w:rFonts w:ascii="Arial" w:eastAsia="DengXian" w:hAnsi="Arial" w:cs="Arial"/>
          <w:b/>
          <w:bCs/>
          <w:sz w:val="28"/>
          <w:lang w:val="en-US" w:eastAsia="zh-CN"/>
        </w:rPr>
        <w:t xml:space="preserve">v </w:t>
      </w:r>
      <w:r>
        <w:rPr>
          <w:rFonts w:ascii="Arial" w:hAnsi="Arial" w:cs="Arial"/>
          <w:b/>
          <w:bCs/>
          <w:sz w:val="28"/>
          <w:lang w:val="en-US"/>
        </w:rPr>
        <w:t>1</w:t>
      </w:r>
      <w:r>
        <w:rPr>
          <w:rFonts w:ascii="Arial" w:eastAsia="DengXian" w:hAnsi="Arial" w:cs="Arial"/>
          <w:b/>
          <w:bCs/>
          <w:sz w:val="28"/>
          <w:lang w:val="en-US" w:eastAsia="zh-CN"/>
        </w:rPr>
        <w:t>7</w:t>
      </w:r>
      <w:r>
        <w:rPr>
          <w:rFonts w:ascii="Arial" w:hAnsi="Arial" w:cs="Arial"/>
          <w:b/>
          <w:bCs/>
          <w:sz w:val="28"/>
          <w:lang w:val="en-US"/>
        </w:rPr>
        <w:t xml:space="preserve">th – </w:t>
      </w:r>
      <w:r>
        <w:rPr>
          <w:rFonts w:ascii="Arial" w:eastAsia="DengXian" w:hAnsi="Arial" w:cs="Arial"/>
          <w:b/>
          <w:bCs/>
          <w:sz w:val="28"/>
          <w:lang w:val="en-US" w:eastAsia="zh-CN"/>
        </w:rPr>
        <w:t>21</w:t>
      </w:r>
      <w:r>
        <w:rPr>
          <w:rFonts w:ascii="Arial" w:hAnsi="Arial" w:cs="Arial"/>
          <w:b/>
          <w:bCs/>
          <w:sz w:val="28"/>
          <w:lang w:val="en-US"/>
        </w:rPr>
        <w:t>st, 2025</w:t>
      </w:r>
    </w:p>
    <w:p w14:paraId="32B11E77" w14:textId="77777777" w:rsidR="00D77BCF" w:rsidRDefault="00D77BCF" w:rsidP="00D77BCF">
      <w:pPr>
        <w:rPr>
          <w:rFonts w:ascii="Arial" w:hAnsi="Arial" w:cs="Arial"/>
        </w:rPr>
      </w:pPr>
    </w:p>
    <w:p w14:paraId="73181A5C" w14:textId="2419F4E6" w:rsidR="004607C3" w:rsidRPr="007B3CB8" w:rsidRDefault="005D20F1">
      <w:pPr>
        <w:spacing w:after="60"/>
        <w:ind w:left="1985" w:hanging="1985"/>
        <w:rPr>
          <w:rFonts w:ascii="Arial" w:hAnsi="Arial" w:cs="Arial"/>
          <w:b/>
        </w:rPr>
      </w:pPr>
      <w:r w:rsidRPr="007B3CB8">
        <w:rPr>
          <w:rFonts w:ascii="Arial" w:hAnsi="Arial" w:cs="Arial"/>
          <w:b/>
        </w:rPr>
        <w:t>Agenda item</w:t>
      </w:r>
      <w:r w:rsidR="004607C3" w:rsidRPr="007B3CB8">
        <w:rPr>
          <w:rFonts w:ascii="Arial" w:hAnsi="Arial" w:cs="Arial"/>
          <w:b/>
        </w:rPr>
        <w:t>:</w:t>
      </w:r>
      <w:r w:rsidR="004607C3" w:rsidRPr="007B3CB8">
        <w:rPr>
          <w:rFonts w:ascii="Arial" w:hAnsi="Arial" w:cs="Arial"/>
          <w:b/>
        </w:rPr>
        <w:tab/>
      </w:r>
      <w:r w:rsidR="007B3CB8" w:rsidRPr="007B3CB8">
        <w:rPr>
          <w:rFonts w:ascii="Arial" w:hAnsi="Arial" w:cs="Arial"/>
          <w:b/>
        </w:rPr>
        <w:t>10.6.1</w:t>
      </w:r>
    </w:p>
    <w:p w14:paraId="7EB83746" w14:textId="34E790EC" w:rsidR="005D20F1" w:rsidRPr="007B3CB8" w:rsidRDefault="005D20F1" w:rsidP="005D20F1">
      <w:pPr>
        <w:spacing w:after="60"/>
        <w:ind w:left="1985" w:hanging="1985"/>
        <w:rPr>
          <w:rFonts w:ascii="Arial" w:hAnsi="Arial" w:cs="Arial"/>
          <w:b/>
        </w:rPr>
      </w:pPr>
      <w:r w:rsidRPr="007B3CB8">
        <w:rPr>
          <w:rFonts w:ascii="Arial" w:hAnsi="Arial" w:cs="Arial"/>
          <w:b/>
        </w:rPr>
        <w:t>Title:</w:t>
      </w:r>
      <w:r w:rsidRPr="007B3CB8">
        <w:rPr>
          <w:rFonts w:ascii="Arial" w:hAnsi="Arial" w:cs="Arial"/>
          <w:b/>
        </w:rPr>
        <w:tab/>
      </w:r>
      <w:r w:rsidR="007B3CB8" w:rsidRPr="007B3CB8">
        <w:rPr>
          <w:rFonts w:ascii="Arial" w:hAnsi="Arial" w:cs="Arial"/>
          <w:b/>
        </w:rPr>
        <w:t>Discussion on NR-NTN GNSS resilien</w:t>
      </w:r>
      <w:r w:rsidR="00253F37">
        <w:rPr>
          <w:rFonts w:ascii="Arial" w:hAnsi="Arial" w:cs="Arial"/>
          <w:b/>
        </w:rPr>
        <w:t>t operation using synchronization signals</w:t>
      </w:r>
    </w:p>
    <w:p w14:paraId="7C2D825F" w14:textId="2AE0B253" w:rsidR="004607C3" w:rsidRPr="007B3CB8" w:rsidRDefault="004607C3" w:rsidP="5378E771">
      <w:pPr>
        <w:spacing w:after="60"/>
        <w:ind w:left="1985" w:hanging="1985"/>
        <w:rPr>
          <w:rFonts w:ascii="Arial" w:hAnsi="Arial" w:cs="Arial"/>
          <w:b/>
          <w:bCs/>
        </w:rPr>
      </w:pPr>
      <w:r w:rsidRPr="5378E771">
        <w:rPr>
          <w:rFonts w:ascii="Arial" w:hAnsi="Arial" w:cs="Arial"/>
          <w:b/>
          <w:bCs/>
        </w:rPr>
        <w:t>Source:</w:t>
      </w:r>
      <w:r>
        <w:tab/>
      </w:r>
      <w:r w:rsidR="007B3CB8" w:rsidRPr="5378E771">
        <w:rPr>
          <w:rFonts w:ascii="Arial" w:hAnsi="Arial" w:cs="Arial"/>
          <w:b/>
          <w:bCs/>
        </w:rPr>
        <w:t>Viasat</w:t>
      </w:r>
      <w:r w:rsidR="513B22D2" w:rsidRPr="5378E771">
        <w:rPr>
          <w:rFonts w:ascii="Arial" w:hAnsi="Arial" w:cs="Arial"/>
          <w:b/>
          <w:bCs/>
        </w:rPr>
        <w:t xml:space="preserve"> Satellite Holdings Ltd</w:t>
      </w:r>
      <w:r w:rsidR="007B3CB8" w:rsidRPr="5378E771">
        <w:rPr>
          <w:rFonts w:ascii="Arial" w:hAnsi="Arial" w:cs="Arial"/>
          <w:b/>
          <w:bCs/>
        </w:rPr>
        <w:t>, Inmarsat</w:t>
      </w:r>
    </w:p>
    <w:p w14:paraId="78EF5FC8" w14:textId="2820467E" w:rsidR="004607C3" w:rsidRPr="007B3CB8" w:rsidRDefault="005D20F1">
      <w:pPr>
        <w:spacing w:after="60"/>
        <w:ind w:left="1985" w:hanging="1985"/>
        <w:rPr>
          <w:rFonts w:ascii="Arial" w:hAnsi="Arial" w:cs="Arial"/>
          <w:b/>
        </w:rPr>
      </w:pPr>
      <w:r w:rsidRPr="007B3CB8">
        <w:rPr>
          <w:rFonts w:ascii="Arial" w:hAnsi="Arial" w:cs="Arial"/>
          <w:b/>
        </w:rPr>
        <w:t>Document for</w:t>
      </w:r>
      <w:r w:rsidR="004607C3" w:rsidRPr="007B3CB8">
        <w:rPr>
          <w:rFonts w:ascii="Arial" w:hAnsi="Arial" w:cs="Arial"/>
          <w:b/>
        </w:rPr>
        <w:t>:</w:t>
      </w:r>
      <w:r w:rsidR="004607C3" w:rsidRPr="007B3CB8">
        <w:rPr>
          <w:rFonts w:ascii="Arial" w:hAnsi="Arial" w:cs="Arial"/>
          <w:b/>
        </w:rPr>
        <w:tab/>
      </w:r>
      <w:r w:rsidR="007B3CB8" w:rsidRPr="007B3CB8">
        <w:rPr>
          <w:rFonts w:ascii="Arial" w:hAnsi="Arial" w:cs="Arial"/>
          <w:b/>
        </w:rPr>
        <w:t>Discussion and Decision</w:t>
      </w:r>
    </w:p>
    <w:p w14:paraId="123A83CE" w14:textId="77777777" w:rsidR="004607C3" w:rsidRDefault="004607C3">
      <w:pPr>
        <w:pBdr>
          <w:bottom w:val="single" w:sz="4" w:space="1" w:color="auto"/>
        </w:pBdr>
        <w:rPr>
          <w:rFonts w:ascii="Arial" w:hAnsi="Arial" w:cs="Arial"/>
        </w:rPr>
      </w:pPr>
    </w:p>
    <w:p w14:paraId="69DF2AF5" w14:textId="77777777" w:rsidR="004607C3" w:rsidRDefault="004607C3">
      <w:pPr>
        <w:rPr>
          <w:rFonts w:ascii="Arial" w:hAnsi="Arial" w:cs="Arial"/>
        </w:rPr>
      </w:pPr>
    </w:p>
    <w:p w14:paraId="317FF0E4" w14:textId="208AD3F0" w:rsidR="004607C3" w:rsidRDefault="005D20F1" w:rsidP="00B04AFC">
      <w:pPr>
        <w:pStyle w:val="Heading1"/>
        <w:numPr>
          <w:ilvl w:val="0"/>
          <w:numId w:val="11"/>
        </w:numPr>
      </w:pPr>
      <w:r>
        <w:t>Introduction</w:t>
      </w:r>
    </w:p>
    <w:p w14:paraId="21DFC4BA" w14:textId="56AC2A96" w:rsidR="00B04AFC" w:rsidRDefault="003048F5" w:rsidP="00B04AFC">
      <w:r>
        <w:t xml:space="preserve"> </w:t>
      </w:r>
      <w:r w:rsidR="00A25B3B">
        <w:t xml:space="preserve">In the RAN1 #122bis meeting, </w:t>
      </w:r>
      <w:r w:rsidR="0026214B">
        <w:t xml:space="preserve">a total of 42 contributions were submitted for discussion and decision </w:t>
      </w:r>
      <w:r w:rsidR="00970C5B">
        <w:t>regarding the Rel-20 study item (</w:t>
      </w:r>
      <w:r w:rsidR="006D1FB1">
        <w:rPr>
          <w:lang w:eastAsia="zh-CN"/>
        </w:rPr>
        <w:t xml:space="preserve">RP-251933 </w:t>
      </w:r>
      <w:r w:rsidR="00970C5B">
        <w:t>[1]) concerning GNSS-resilient NR-NTN operation.</w:t>
      </w:r>
      <w:r w:rsidR="009B455C">
        <w:t xml:space="preserve"> </w:t>
      </w:r>
      <w:r w:rsidR="00DC5773">
        <w:t>A comprehensive summary of the</w:t>
      </w:r>
      <w:r w:rsidR="003C7F31">
        <w:t xml:space="preserve"> company</w:t>
      </w:r>
      <w:r w:rsidR="00DC5773">
        <w:t xml:space="preserve"> contributions </w:t>
      </w:r>
      <w:r w:rsidR="003C7F31">
        <w:t>and the key issues can be found in the FLS document (</w:t>
      </w:r>
      <w:r w:rsidR="004606CD">
        <w:t>R1-2508178 [2]).</w:t>
      </w:r>
    </w:p>
    <w:p w14:paraId="0AD436FD" w14:textId="4655BBD6" w:rsidR="004606CD" w:rsidRDefault="004606CD" w:rsidP="00B04AFC"/>
    <w:p w14:paraId="069E2AE9" w14:textId="5DBB126F" w:rsidR="003C1F6C" w:rsidRDefault="00352199" w:rsidP="00B04AFC">
      <w:r>
        <w:t xml:space="preserve">In this contribution, we </w:t>
      </w:r>
      <w:r w:rsidR="00C50EFD">
        <w:t>outline our views on t</w:t>
      </w:r>
      <w:r w:rsidR="00D745F8">
        <w:t>he following agreements</w:t>
      </w:r>
      <w:r w:rsidR="00C50EFD">
        <w:t xml:space="preserve"> and observations</w:t>
      </w:r>
      <w:r w:rsidR="00D745F8">
        <w:t xml:space="preserve"> </w:t>
      </w:r>
      <w:r w:rsidR="00C50EFD">
        <w:t>from</w:t>
      </w:r>
      <w:r w:rsidR="000067E2">
        <w:t xml:space="preserve"> RAN1#122bis [2]:</w:t>
      </w:r>
    </w:p>
    <w:p w14:paraId="1EA9D16B" w14:textId="77777777" w:rsidR="000067E2" w:rsidRDefault="000067E2" w:rsidP="00B04AFC"/>
    <w:p w14:paraId="0FD88AA2" w14:textId="289E895A" w:rsidR="000067E2" w:rsidRDefault="0019652D" w:rsidP="00B04AFC">
      <w:r>
        <w:rPr>
          <w:noProof/>
        </w:rPr>
        <mc:AlternateContent>
          <mc:Choice Requires="wps">
            <w:drawing>
              <wp:inline distT="0" distB="0" distL="0" distR="0" wp14:anchorId="650817DC" wp14:editId="13D39F7F">
                <wp:extent cx="6343650" cy="3124200"/>
                <wp:effectExtent l="0" t="0" r="19050" b="28575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43650" cy="3124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D56644" w14:textId="05DDB3FA" w:rsidR="0019652D" w:rsidRDefault="0019652D" w:rsidP="0019652D">
                            <w:pPr>
                              <w:pStyle w:val="Doc-text2"/>
                              <w:ind w:left="0" w:firstLine="0"/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</w:pPr>
                            <w:r w:rsidRPr="00A05FC2">
                              <w:rPr>
                                <w:rFonts w:ascii="Times New Roman" w:hAnsi="Times New Roman"/>
                                <w:b/>
                                <w:highlight w:val="green"/>
                                <w:lang w:val="en-US"/>
                              </w:rPr>
                              <w:t>Agreement:</w:t>
                            </w:r>
                          </w:p>
                          <w:p w14:paraId="67C1481F" w14:textId="77777777" w:rsidR="0019652D" w:rsidRPr="00DD16AB" w:rsidRDefault="0019652D" w:rsidP="0019652D">
                            <w:pPr>
                              <w:rPr>
                                <w:bCs/>
                                <w:lang w:eastAsia="zh-CN"/>
                              </w:rPr>
                            </w:pPr>
                            <w:r w:rsidRPr="00DD16AB">
                              <w:rPr>
                                <w:bCs/>
                                <w:lang w:eastAsia="zh-CN"/>
                              </w:rPr>
                              <w:t>For the evaluation of GNSS resilient NR-NTN operation, consider the following assumptions:</w:t>
                            </w:r>
                          </w:p>
                          <w:p w14:paraId="7CF8AC31" w14:textId="77777777" w:rsidR="0019652D" w:rsidRPr="00DD16AB" w:rsidRDefault="0019652D" w:rsidP="0019652D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rPr>
                                <w:bCs/>
                                <w:strike/>
                                <w:sz w:val="20"/>
                                <w:szCs w:val="20"/>
                              </w:rPr>
                            </w:pPr>
                            <w:r w:rsidRPr="00DD16AB">
                              <w:rPr>
                                <w:bCs/>
                                <w:sz w:val="20"/>
                                <w:szCs w:val="20"/>
                              </w:rPr>
                              <w:t>For scenario 1 and 2</w:t>
                            </w:r>
                          </w:p>
                          <w:p w14:paraId="6AF2D952" w14:textId="77777777" w:rsidR="0019652D" w:rsidRPr="00DD16AB" w:rsidRDefault="0019652D" w:rsidP="0019652D">
                            <w:pPr>
                              <w:pStyle w:val="ListParagraph"/>
                              <w:numPr>
                                <w:ilvl w:val="1"/>
                                <w:numId w:val="12"/>
                              </w:numPr>
                              <w:rPr>
                                <w:bCs/>
                                <w:sz w:val="20"/>
                                <w:szCs w:val="20"/>
                              </w:rPr>
                            </w:pPr>
                            <w:r w:rsidRPr="00DD16AB">
                              <w:rPr>
                                <w:bCs/>
                                <w:sz w:val="20"/>
                                <w:szCs w:val="20"/>
                              </w:rPr>
                              <w:t>The following time/frequency differences should be evaluated:</w:t>
                            </w:r>
                          </w:p>
                          <w:p w14:paraId="01881302" w14:textId="77777777" w:rsidR="0019652D" w:rsidRPr="00DD16AB" w:rsidRDefault="0019652D" w:rsidP="0019652D">
                            <w:pPr>
                              <w:pStyle w:val="ListParagraph"/>
                              <w:numPr>
                                <w:ilvl w:val="2"/>
                                <w:numId w:val="12"/>
                              </w:numPr>
                              <w:rPr>
                                <w:bCs/>
                                <w:sz w:val="20"/>
                                <w:szCs w:val="20"/>
                              </w:rPr>
                            </w:pPr>
                            <w:r w:rsidRPr="00DD16AB">
                              <w:rPr>
                                <w:bCs/>
                                <w:sz w:val="20"/>
                                <w:szCs w:val="20"/>
                              </w:rPr>
                              <w:t>The differential one-way delay (in µs) as calculated between the largest UE-Sat delay and smallest UE sat delay within the uncertainty area.</w:t>
                            </w:r>
                          </w:p>
                          <w:p w14:paraId="5C4DDCB6" w14:textId="77777777" w:rsidR="0019652D" w:rsidRPr="00DD16AB" w:rsidRDefault="0019652D" w:rsidP="0019652D">
                            <w:pPr>
                              <w:pStyle w:val="ListParagraph"/>
                              <w:numPr>
                                <w:ilvl w:val="3"/>
                                <w:numId w:val="12"/>
                              </w:numPr>
                              <w:rPr>
                                <w:bCs/>
                                <w:sz w:val="20"/>
                                <w:szCs w:val="20"/>
                              </w:rPr>
                            </w:pPr>
                            <w:r w:rsidRPr="00DD16AB">
                              <w:rPr>
                                <w:bCs/>
                                <w:sz w:val="20"/>
                                <w:szCs w:val="20"/>
                              </w:rPr>
                              <w:t>For UL performance evaluation 2 times differential one-way delay should be considered.</w:t>
                            </w:r>
                          </w:p>
                          <w:p w14:paraId="321919AC" w14:textId="77777777" w:rsidR="0019652D" w:rsidRPr="00DD16AB" w:rsidRDefault="0019652D" w:rsidP="0019652D">
                            <w:pPr>
                              <w:pStyle w:val="ListParagraph"/>
                              <w:numPr>
                                <w:ilvl w:val="2"/>
                                <w:numId w:val="12"/>
                              </w:numPr>
                              <w:rPr>
                                <w:bCs/>
                                <w:sz w:val="20"/>
                                <w:szCs w:val="20"/>
                              </w:rPr>
                            </w:pPr>
                            <w:r w:rsidRPr="00DD16AB">
                              <w:rPr>
                                <w:bCs/>
                                <w:sz w:val="20"/>
                                <w:szCs w:val="20"/>
                              </w:rPr>
                              <w:t>The differential one-way Doppler/frequency offset (in ppm) is calculated between the largest UE-sat Doppler/frequency offset and smallest UE-sat Doppler/frequency offset within the uncertainty area.</w:t>
                            </w:r>
                          </w:p>
                          <w:p w14:paraId="07FA9B7A" w14:textId="77777777" w:rsidR="0019652D" w:rsidRDefault="0019652D" w:rsidP="0019652D">
                            <w:pPr>
                              <w:pStyle w:val="ListParagraph"/>
                              <w:numPr>
                                <w:ilvl w:val="3"/>
                                <w:numId w:val="12"/>
                              </w:numPr>
                              <w:rPr>
                                <w:bCs/>
                                <w:sz w:val="20"/>
                                <w:szCs w:val="20"/>
                              </w:rPr>
                            </w:pPr>
                            <w:r w:rsidRPr="00DD16AB">
                              <w:rPr>
                                <w:bCs/>
                                <w:sz w:val="20"/>
                                <w:szCs w:val="20"/>
                              </w:rPr>
                              <w:t>For UL performance evaluation, scaled one-way differential Doppler/frequency offset to determine UL differential Doppler/frequency offset should be considered. Scaling factor should be reported.</w:t>
                            </w:r>
                          </w:p>
                          <w:p w14:paraId="3DC65221" w14:textId="77777777" w:rsidR="000651D9" w:rsidRPr="00F61F4F" w:rsidRDefault="000651D9" w:rsidP="00F61F4F">
                            <w:pPr>
                              <w:rPr>
                                <w:bCs/>
                              </w:rPr>
                            </w:pPr>
                          </w:p>
                          <w:p w14:paraId="4B7D7FD9" w14:textId="12E56844" w:rsidR="0019652D" w:rsidRDefault="0019652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 w14:anchorId="2EE44D4B">
              <v:shapetype id="_x0000_t202" coordsize="21600,21600" o:spt="202" path="m,l,21600r21600,l21600,xe" w14:anchorId="650817DC">
                <v:stroke joinstyle="miter"/>
                <v:path gradientshapeok="t" o:connecttype="rect"/>
              </v:shapetype>
              <v:shape id="Text Box 2" style="width:499.5pt;height:24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">
                <v:textbox>
                  <w:txbxContent>
                    <w:p w:rsidR="0019652D" w:rsidP="0019652D" w:rsidRDefault="0019652D" w14:paraId="1DA02802" w14:textId="05DDB3FA">
                      <w:pPr>
                        <w:pStyle w:val="Doc-text2"/>
                        <w:ind w:left="0" w:firstLine="0"/>
                        <w:rPr>
                          <w:rFonts w:ascii="Times New Roman" w:hAnsi="Times New Roman"/>
                          <w:b/>
                          <w:lang w:val="en-US"/>
                        </w:rPr>
                      </w:pPr>
                      <w:r w:rsidRPr="00A05FC2">
                        <w:rPr>
                          <w:rFonts w:ascii="Times New Roman" w:hAnsi="Times New Roman"/>
                          <w:b/>
                          <w:highlight w:val="green"/>
                          <w:lang w:val="en-US"/>
                        </w:rPr>
                        <w:t>Agreement:</w:t>
                      </w:r>
                    </w:p>
                    <w:p w:rsidRPr="00DD16AB" w:rsidR="0019652D" w:rsidP="0019652D" w:rsidRDefault="0019652D" w14:paraId="21668889" w14:textId="77777777">
                      <w:pPr>
                        <w:rPr>
                          <w:bCs/>
                          <w:lang w:eastAsia="zh-CN"/>
                        </w:rPr>
                      </w:pPr>
                      <w:r w:rsidRPr="00DD16AB">
                        <w:rPr>
                          <w:bCs/>
                          <w:lang w:eastAsia="zh-CN"/>
                        </w:rPr>
                        <w:t>For the evaluation of GNSS resilient NR-NTN operation, consider the following assumptions:</w:t>
                      </w:r>
                    </w:p>
                    <w:p w:rsidRPr="00DD16AB" w:rsidR="0019652D" w:rsidP="0019652D" w:rsidRDefault="0019652D" w14:paraId="33A0FE26" w14:textId="77777777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rPr>
                          <w:bCs/>
                          <w:strike/>
                          <w:sz w:val="20"/>
                          <w:szCs w:val="20"/>
                        </w:rPr>
                      </w:pPr>
                      <w:r w:rsidRPr="00DD16AB">
                        <w:rPr>
                          <w:bCs/>
                          <w:sz w:val="20"/>
                          <w:szCs w:val="20"/>
                        </w:rPr>
                        <w:t>For scenario 1 and 2</w:t>
                      </w:r>
                    </w:p>
                    <w:p w:rsidRPr="00DD16AB" w:rsidR="0019652D" w:rsidP="0019652D" w:rsidRDefault="0019652D" w14:paraId="749B6556" w14:textId="77777777">
                      <w:pPr>
                        <w:pStyle w:val="ListParagraph"/>
                        <w:numPr>
                          <w:ilvl w:val="1"/>
                          <w:numId w:val="12"/>
                        </w:numPr>
                        <w:rPr>
                          <w:bCs/>
                          <w:sz w:val="20"/>
                          <w:szCs w:val="20"/>
                        </w:rPr>
                      </w:pPr>
                      <w:r w:rsidRPr="00DD16AB">
                        <w:rPr>
                          <w:bCs/>
                          <w:sz w:val="20"/>
                          <w:szCs w:val="20"/>
                        </w:rPr>
                        <w:t>The following time/frequency differences should be evaluated:</w:t>
                      </w:r>
                    </w:p>
                    <w:p w:rsidRPr="00DD16AB" w:rsidR="0019652D" w:rsidP="0019652D" w:rsidRDefault="0019652D" w14:paraId="14F31B4F" w14:textId="77777777">
                      <w:pPr>
                        <w:pStyle w:val="ListParagraph"/>
                        <w:numPr>
                          <w:ilvl w:val="2"/>
                          <w:numId w:val="12"/>
                        </w:numPr>
                        <w:rPr>
                          <w:bCs/>
                          <w:sz w:val="20"/>
                          <w:szCs w:val="20"/>
                        </w:rPr>
                      </w:pPr>
                      <w:r w:rsidRPr="00DD16AB">
                        <w:rPr>
                          <w:bCs/>
                          <w:sz w:val="20"/>
                          <w:szCs w:val="20"/>
                        </w:rPr>
                        <w:t>The differential one-way delay (in µs) as calculated between the largest UE-Sat delay and smallest UE sat delay within the uncertainty area.</w:t>
                      </w:r>
                    </w:p>
                    <w:p w:rsidRPr="00DD16AB" w:rsidR="0019652D" w:rsidP="0019652D" w:rsidRDefault="0019652D" w14:paraId="32C36401" w14:textId="77777777">
                      <w:pPr>
                        <w:pStyle w:val="ListParagraph"/>
                        <w:numPr>
                          <w:ilvl w:val="3"/>
                          <w:numId w:val="12"/>
                        </w:numPr>
                        <w:rPr>
                          <w:bCs/>
                          <w:sz w:val="20"/>
                          <w:szCs w:val="20"/>
                        </w:rPr>
                      </w:pPr>
                      <w:r w:rsidRPr="00DD16AB">
                        <w:rPr>
                          <w:bCs/>
                          <w:sz w:val="20"/>
                          <w:szCs w:val="20"/>
                        </w:rPr>
                        <w:t>For UL performance evaluation 2 times differential one-way delay should be considered.</w:t>
                      </w:r>
                    </w:p>
                    <w:p w:rsidRPr="00DD16AB" w:rsidR="0019652D" w:rsidP="0019652D" w:rsidRDefault="0019652D" w14:paraId="533CD154" w14:textId="77777777">
                      <w:pPr>
                        <w:pStyle w:val="ListParagraph"/>
                        <w:numPr>
                          <w:ilvl w:val="2"/>
                          <w:numId w:val="12"/>
                        </w:numPr>
                        <w:rPr>
                          <w:bCs/>
                          <w:sz w:val="20"/>
                          <w:szCs w:val="20"/>
                        </w:rPr>
                      </w:pPr>
                      <w:r w:rsidRPr="00DD16AB">
                        <w:rPr>
                          <w:bCs/>
                          <w:sz w:val="20"/>
                          <w:szCs w:val="20"/>
                        </w:rPr>
                        <w:t>The differential one-way Doppler/frequency offset (in ppm) is calculated between the largest UE-sat Doppler/frequency offset and smallest UE-sat Doppler/frequency offset within the uncertainty area.</w:t>
                      </w:r>
                    </w:p>
                    <w:p w:rsidR="0019652D" w:rsidP="0019652D" w:rsidRDefault="0019652D" w14:paraId="1CEA07F6" w14:textId="77777777">
                      <w:pPr>
                        <w:pStyle w:val="ListParagraph"/>
                        <w:numPr>
                          <w:ilvl w:val="3"/>
                          <w:numId w:val="12"/>
                        </w:numPr>
                        <w:rPr>
                          <w:bCs/>
                          <w:sz w:val="20"/>
                          <w:szCs w:val="20"/>
                        </w:rPr>
                      </w:pPr>
                      <w:r w:rsidRPr="00DD16AB">
                        <w:rPr>
                          <w:bCs/>
                          <w:sz w:val="20"/>
                          <w:szCs w:val="20"/>
                        </w:rPr>
                        <w:t>For UL performance evaluation, scaled one-way differential Doppler/frequency offset to determine UL differential Doppler/frequency offset should be considered. Scaling factor should be reported.</w:t>
                      </w:r>
                    </w:p>
                    <w:p w:rsidRPr="00F61F4F" w:rsidR="000651D9" w:rsidP="00F61F4F" w:rsidRDefault="000651D9" w14:paraId="672A6659" w14:textId="77777777">
                      <w:pPr>
                        <w:rPr>
                          <w:bCs/>
                        </w:rPr>
                      </w:pPr>
                    </w:p>
                    <w:p w:rsidR="0019652D" w:rsidRDefault="0019652D" w14:paraId="0A37501D" w14:textId="12E56844"/>
                  </w:txbxContent>
                </v:textbox>
                <w10:anchorlock/>
              </v:shape>
            </w:pict>
          </mc:Fallback>
        </mc:AlternateContent>
      </w:r>
    </w:p>
    <w:p w14:paraId="160F622F" w14:textId="77777777" w:rsidR="00F61F4F" w:rsidRDefault="00F61F4F" w:rsidP="00B04AFC"/>
    <w:p w14:paraId="2DE10903" w14:textId="47BC337B" w:rsidR="00F61F4F" w:rsidRDefault="00F61F4F" w:rsidP="00B04AFC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A0FBF7E" wp14:editId="1E47876F">
                <wp:simplePos x="0" y="0"/>
                <wp:positionH relativeFrom="column">
                  <wp:posOffset>-635</wp:posOffset>
                </wp:positionH>
                <wp:positionV relativeFrom="paragraph">
                  <wp:posOffset>0</wp:posOffset>
                </wp:positionV>
                <wp:extent cx="6343650" cy="1404620"/>
                <wp:effectExtent l="0" t="0" r="19050" b="12700"/>
                <wp:wrapSquare wrapText="bothSides"/>
                <wp:docPr id="73783964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436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C3E394" w14:textId="7C835804" w:rsidR="00F61F4F" w:rsidRPr="005E275A" w:rsidRDefault="00F61F4F" w:rsidP="00F61F4F">
                            <w:pPr>
                              <w:pStyle w:val="Doc-text2"/>
                              <w:ind w:left="0" w:firstLine="0"/>
                              <w:rPr>
                                <w:rFonts w:ascii="Times New Roman" w:hAnsi="Times New Roman"/>
                                <w:b/>
                                <w:sz w:val="22"/>
                                <w:szCs w:val="28"/>
                                <w:lang w:val="en-US"/>
                              </w:rPr>
                            </w:pPr>
                            <w:r w:rsidRPr="005E275A">
                              <w:rPr>
                                <w:rFonts w:ascii="Times New Roman" w:hAnsi="Times New Roman"/>
                                <w:b/>
                                <w:sz w:val="22"/>
                                <w:szCs w:val="28"/>
                                <w:highlight w:val="green"/>
                                <w:lang w:val="en-US"/>
                              </w:rPr>
                              <w:t>Agreement:</w:t>
                            </w:r>
                          </w:p>
                          <w:p w14:paraId="07FE7BE9" w14:textId="77777777" w:rsidR="00F61F4F" w:rsidRPr="00157BDF" w:rsidRDefault="00F61F4F" w:rsidP="00F61F4F">
                            <w:r w:rsidRPr="00157BDF">
                              <w:t xml:space="preserve">RAN1 to assess the impacts on connected mode during NR NTN GNSS-resilient operation, including </w:t>
                            </w:r>
                            <w:r w:rsidRPr="00157BDF">
                              <w:rPr>
                                <w:color w:val="0070C0"/>
                              </w:rPr>
                              <w:t>at least:</w:t>
                            </w:r>
                          </w:p>
                          <w:p w14:paraId="48E456A3" w14:textId="77777777" w:rsidR="00F61F4F" w:rsidRPr="00157BDF" w:rsidRDefault="00F61F4F" w:rsidP="00F61F4F">
                            <w:pPr>
                              <w:pStyle w:val="ListParagraph"/>
                              <w:numPr>
                                <w:ilvl w:val="0"/>
                                <w:numId w:val="14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157BDF">
                              <w:rPr>
                                <w:rFonts w:eastAsia="Times New Roman"/>
                                <w:sz w:val="20"/>
                                <w:szCs w:val="20"/>
                              </w:rPr>
                              <w:t>Impact on signalling overhead.</w:t>
                            </w:r>
                          </w:p>
                          <w:p w14:paraId="7ADC7F82" w14:textId="77777777" w:rsidR="00F61F4F" w:rsidRPr="00157BDF" w:rsidRDefault="00F61F4F" w:rsidP="00F61F4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14:paraId="78148553" w14:textId="77777777" w:rsidR="00F61F4F" w:rsidRPr="00157BDF" w:rsidRDefault="00F61F4F" w:rsidP="00F61F4F">
                            <w:pPr>
                              <w:pStyle w:val="Doc-text2"/>
                              <w:ind w:left="0" w:firstLine="0"/>
                              <w:rPr>
                                <w:rFonts w:ascii="Times New Roman" w:hAnsi="Times New Roman"/>
                                <w:b/>
                                <w:szCs w:val="20"/>
                                <w:lang w:val="en-US"/>
                              </w:rPr>
                            </w:pPr>
                            <w:r w:rsidRPr="00157BDF">
                              <w:rPr>
                                <w:rFonts w:ascii="Times New Roman" w:hAnsi="Times New Roman"/>
                                <w:b/>
                                <w:szCs w:val="20"/>
                                <w:lang w:val="en-US"/>
                              </w:rPr>
                              <w:t>Observation:</w:t>
                            </w:r>
                          </w:p>
                          <w:p w14:paraId="464BBEF5" w14:textId="77777777" w:rsidR="00F61F4F" w:rsidRPr="00157BDF" w:rsidRDefault="00F61F4F" w:rsidP="00F61F4F">
                            <w:pPr>
                              <w:rPr>
                                <w:bCs/>
                                <w:color w:val="000000" w:themeColor="text1"/>
                                <w:lang w:val="en-US"/>
                              </w:rPr>
                            </w:pPr>
                            <w:r w:rsidRPr="00157BDF">
                              <w:rPr>
                                <w:bCs/>
                                <w:color w:val="000000" w:themeColor="text1"/>
                                <w:lang w:val="en-US"/>
                              </w:rPr>
                              <w:t>For the study on GNSS resilient NR-NTN operation, the following solutions for initial access to increase PRACH tolerance and reducing time/frequency uncertainty are listed based on inputs/discussions in RAN1#122bis:</w:t>
                            </w:r>
                          </w:p>
                          <w:p w14:paraId="62E995F1" w14:textId="77777777" w:rsidR="00F61F4F" w:rsidRPr="00157BDF" w:rsidRDefault="00F61F4F" w:rsidP="00F61F4F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rPr>
                                <w:bCs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57BDF">
                              <w:rPr>
                                <w:bCs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w:t xml:space="preserve">Solution 1: To improve robustness: </w:t>
                            </w:r>
                          </w:p>
                          <w:p w14:paraId="362A2FB2" w14:textId="77777777" w:rsidR="00F61F4F" w:rsidRPr="00157BDF" w:rsidRDefault="00F61F4F" w:rsidP="00F61F4F">
                            <w:pPr>
                              <w:pStyle w:val="ListParagraph"/>
                              <w:numPr>
                                <w:ilvl w:val="1"/>
                                <w:numId w:val="13"/>
                              </w:numPr>
                              <w:rPr>
                                <w:bCs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57BDF">
                              <w:rPr>
                                <w:bCs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w:t>Solutions based on modified random access procedures, using existing PRACH formats:</w:t>
                            </w:r>
                          </w:p>
                          <w:p w14:paraId="0B747DC8" w14:textId="77777777" w:rsidR="00F61F4F" w:rsidRPr="00157BDF" w:rsidRDefault="00F61F4F" w:rsidP="00F61F4F">
                            <w:pPr>
                              <w:pStyle w:val="ListParagraph"/>
                              <w:numPr>
                                <w:ilvl w:val="2"/>
                                <w:numId w:val="13"/>
                              </w:numPr>
                              <w:rPr>
                                <w:bCs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57BDF">
                              <w:rPr>
                                <w:bCs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w:t xml:space="preserve">Solution 1A: Multiple PRACH transmissions </w:t>
                            </w:r>
                            <w:r w:rsidRPr="00157BDF">
                              <w:rPr>
                                <w:bCs/>
                                <w:strike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w:t>(</w:t>
                            </w:r>
                            <w:r w:rsidRPr="00157BDF">
                              <w:rPr>
                                <w:bCs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w:t>e.g. with different roots or different formats or with different time/frequency pre-compensation using multiple reference locations within the uncertainty area) using existing PRACH formats</w:t>
                            </w:r>
                          </w:p>
                          <w:p w14:paraId="0F0A2B64" w14:textId="77777777" w:rsidR="00F61F4F" w:rsidRPr="00157BDF" w:rsidRDefault="00F61F4F" w:rsidP="00F61F4F">
                            <w:pPr>
                              <w:pStyle w:val="ListParagraph"/>
                              <w:numPr>
                                <w:ilvl w:val="2"/>
                                <w:numId w:val="13"/>
                              </w:numPr>
                              <w:rPr>
                                <w:bCs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57BDF">
                              <w:rPr>
                                <w:bCs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w:t>Solution 1B: New PRACH restricted sets.</w:t>
                            </w:r>
                          </w:p>
                          <w:p w14:paraId="142F449E" w14:textId="77777777" w:rsidR="00F61F4F" w:rsidRPr="00157BDF" w:rsidRDefault="00F61F4F" w:rsidP="00F61F4F">
                            <w:pPr>
                              <w:pStyle w:val="ListParagraph"/>
                              <w:numPr>
                                <w:ilvl w:val="2"/>
                                <w:numId w:val="13"/>
                              </w:numPr>
                              <w:rPr>
                                <w:bCs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57BDF">
                              <w:rPr>
                                <w:bCs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w:t>Solution 1C: Single PRACH transmission with multiple TAC/FAC commands in RAR</w:t>
                            </w:r>
                          </w:p>
                          <w:p w14:paraId="74681818" w14:textId="77777777" w:rsidR="00F61F4F" w:rsidRPr="00157BDF" w:rsidRDefault="00F61F4F" w:rsidP="00F61F4F">
                            <w:pPr>
                              <w:pStyle w:val="ListParagraph"/>
                              <w:numPr>
                                <w:ilvl w:val="2"/>
                                <w:numId w:val="13"/>
                              </w:numPr>
                              <w:rPr>
                                <w:bCs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57BDF">
                              <w:rPr>
                                <w:bCs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w:t xml:space="preserve">Solution </w:t>
                            </w:r>
                            <w:r w:rsidRPr="00157BDF">
                              <w:rPr>
                                <w:rFonts w:eastAsia="MS Mincho"/>
                                <w:bCs/>
                                <w:color w:val="000000" w:themeColor="text1"/>
                                <w:sz w:val="20"/>
                                <w:szCs w:val="20"/>
                                <w:lang w:eastAsia="ja-JP"/>
                              </w:rPr>
                              <w:t>1D: Signalling enhancements for Msg2 (e.g. enhanced TA command, frequency adjustment command, reference point adjustment command)</w:t>
                            </w:r>
                          </w:p>
                          <w:p w14:paraId="5871417C" w14:textId="77777777" w:rsidR="00F61F4F" w:rsidRPr="00157BDF" w:rsidRDefault="00F61F4F" w:rsidP="00F61F4F">
                            <w:pPr>
                              <w:pStyle w:val="ListParagraph"/>
                              <w:numPr>
                                <w:ilvl w:val="2"/>
                                <w:numId w:val="13"/>
                              </w:numPr>
                              <w:rPr>
                                <w:bCs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57BDF">
                              <w:rPr>
                                <w:bCs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w:t>Solution 1E: Selection of a set of existing PRACH root</w:t>
                            </w:r>
                          </w:p>
                          <w:p w14:paraId="0BEA1A20" w14:textId="77777777" w:rsidR="00F61F4F" w:rsidRPr="00157BDF" w:rsidRDefault="00F61F4F" w:rsidP="00F61F4F">
                            <w:pPr>
                              <w:pStyle w:val="ListParagraph"/>
                              <w:numPr>
                                <w:ilvl w:val="2"/>
                                <w:numId w:val="13"/>
                              </w:numPr>
                              <w:rPr>
                                <w:bCs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57BDF">
                              <w:rPr>
                                <w:bCs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w:t>Solution 1F: Using TA margin and RO masking.</w:t>
                            </w:r>
                          </w:p>
                          <w:p w14:paraId="2EF8FC91" w14:textId="77777777" w:rsidR="00F61F4F" w:rsidRPr="00157BDF" w:rsidRDefault="00F61F4F" w:rsidP="00F61F4F">
                            <w:pPr>
                              <w:pStyle w:val="ListParagraph"/>
                              <w:numPr>
                                <w:ilvl w:val="2"/>
                                <w:numId w:val="13"/>
                              </w:numPr>
                              <w:rPr>
                                <w:bCs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57BDF">
                              <w:rPr>
                                <w:bCs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w:t>Other solutions are not precluded</w:t>
                            </w:r>
                          </w:p>
                          <w:p w14:paraId="20FE1055" w14:textId="77777777" w:rsidR="00F61F4F" w:rsidRPr="00157BDF" w:rsidRDefault="00F61F4F" w:rsidP="00F61F4F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rPr>
                                <w:bCs/>
                                <w:strike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57BDF">
                              <w:rPr>
                                <w:bCs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w:t xml:space="preserve">Solution 2: Solutions based on reducing time-frequency uncertainty </w:t>
                            </w:r>
                          </w:p>
                          <w:p w14:paraId="4DC5558F" w14:textId="77777777" w:rsidR="00F61F4F" w:rsidRPr="00157BDF" w:rsidRDefault="00F61F4F" w:rsidP="00F61F4F">
                            <w:pPr>
                              <w:pStyle w:val="ListParagraph"/>
                              <w:numPr>
                                <w:ilvl w:val="1"/>
                                <w:numId w:val="13"/>
                              </w:numPr>
                              <w:rPr>
                                <w:bCs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57BDF">
                              <w:rPr>
                                <w:bCs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w:t>Solution 2A: Single/multi-satellite DL-TDOA based on current specifications.</w:t>
                            </w:r>
                          </w:p>
                          <w:p w14:paraId="26703022" w14:textId="77777777" w:rsidR="00F61F4F" w:rsidRPr="00157BDF" w:rsidRDefault="00F61F4F" w:rsidP="00F61F4F">
                            <w:pPr>
                              <w:pStyle w:val="ListParagraph"/>
                              <w:numPr>
                                <w:ilvl w:val="1"/>
                                <w:numId w:val="13"/>
                              </w:numPr>
                              <w:rPr>
                                <w:bCs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57BDF">
                              <w:rPr>
                                <w:bCs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w:t>Solution 2B: multiple PRACH attempts based on different time/frequency pre-compensation hypotheses (e.g. based on multiple reference points within the uncertainty area)</w:t>
                            </w:r>
                          </w:p>
                          <w:p w14:paraId="38F35262" w14:textId="77777777" w:rsidR="00F61F4F" w:rsidRPr="00157BDF" w:rsidRDefault="00F61F4F" w:rsidP="00F61F4F">
                            <w:pPr>
                              <w:numPr>
                                <w:ilvl w:val="1"/>
                                <w:numId w:val="13"/>
                              </w:numPr>
                              <w:suppressAutoHyphens/>
                              <w:spacing w:before="120" w:after="120"/>
                              <w:jc w:val="both"/>
                              <w:rPr>
                                <w:bCs/>
                                <w:color w:val="000000" w:themeColor="text1"/>
                                <w:lang w:val="en-US"/>
                              </w:rPr>
                            </w:pPr>
                            <w:r w:rsidRPr="00157BDF">
                              <w:rPr>
                                <w:bCs/>
                                <w:color w:val="000000" w:themeColor="text1"/>
                                <w:lang w:val="en-US"/>
                              </w:rPr>
                              <w:t>Solution 2C: Solutions based on broadcasting DL timestamp(s)</w:t>
                            </w:r>
                          </w:p>
                          <w:p w14:paraId="69AC3EC2" w14:textId="77777777" w:rsidR="00F61F4F" w:rsidRPr="00157BDF" w:rsidRDefault="00F61F4F" w:rsidP="00F61F4F">
                            <w:pPr>
                              <w:numPr>
                                <w:ilvl w:val="1"/>
                                <w:numId w:val="13"/>
                              </w:numPr>
                              <w:suppressAutoHyphens/>
                              <w:spacing w:before="120" w:after="120"/>
                              <w:jc w:val="both"/>
                              <w:rPr>
                                <w:bCs/>
                                <w:color w:val="000000" w:themeColor="text1"/>
                                <w:lang w:val="en-US"/>
                              </w:rPr>
                            </w:pPr>
                            <w:r w:rsidRPr="00157BDF">
                              <w:rPr>
                                <w:bCs/>
                                <w:color w:val="000000" w:themeColor="text1"/>
                                <w:lang w:val="en-US"/>
                              </w:rPr>
                              <w:t xml:space="preserve">Solution </w:t>
                            </w:r>
                            <w:r w:rsidRPr="00157BDF">
                              <w:rPr>
                                <w:bCs/>
                                <w:color w:val="000000" w:themeColor="text1"/>
                                <w:lang w:val="en-US" w:eastAsia="zh-CN"/>
                              </w:rPr>
                              <w:t xml:space="preserve">2D: UE side </w:t>
                            </w:r>
                            <w:r w:rsidRPr="00157BDF">
                              <w:rPr>
                                <w:bCs/>
                                <w:color w:val="000000" w:themeColor="text1"/>
                                <w:lang w:val="en-US"/>
                              </w:rPr>
                              <w:t>time/frequency pre-compensation</w:t>
                            </w:r>
                            <w:r w:rsidRPr="00157BDF">
                              <w:rPr>
                                <w:bCs/>
                                <w:color w:val="000000" w:themeColor="text1"/>
                                <w:lang w:val="en-US" w:eastAsia="zh-CN"/>
                              </w:rPr>
                              <w:t xml:space="preserve"> based on reference location.</w:t>
                            </w:r>
                          </w:p>
                          <w:p w14:paraId="0FF08B6B" w14:textId="77777777" w:rsidR="00F61F4F" w:rsidRPr="00157BDF" w:rsidRDefault="00F61F4F" w:rsidP="00F61F4F">
                            <w:pPr>
                              <w:pStyle w:val="ListParagraph"/>
                              <w:numPr>
                                <w:ilvl w:val="1"/>
                                <w:numId w:val="13"/>
                              </w:numPr>
                              <w:rPr>
                                <w:bCs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57BDF">
                              <w:rPr>
                                <w:bCs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w:t>Solution 2E: service link time/frequency pre-compensation based on last acquired GNSS position</w:t>
                            </w:r>
                          </w:p>
                          <w:p w14:paraId="1A2153C7" w14:textId="77777777" w:rsidR="00F61F4F" w:rsidRPr="00157BDF" w:rsidRDefault="00F61F4F" w:rsidP="00F61F4F">
                            <w:pPr>
                              <w:pStyle w:val="ListParagraph"/>
                              <w:numPr>
                                <w:ilvl w:val="1"/>
                                <w:numId w:val="13"/>
                              </w:numPr>
                              <w:rPr>
                                <w:bCs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57BDF">
                              <w:rPr>
                                <w:bCs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w:t>Solution 2F:</w:t>
                            </w:r>
                            <w:r w:rsidRPr="00157BDF">
                              <w:rPr>
                                <w:rFonts w:eastAsia="Times New Roman"/>
                                <w:bCs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w:t xml:space="preserve"> UE side </w:t>
                            </w:r>
                            <w:r w:rsidRPr="00157BDF">
                              <w:rPr>
                                <w:bCs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w:t>time/frequency pre-compensation</w:t>
                            </w:r>
                            <w:r w:rsidRPr="00157BDF">
                              <w:rPr>
                                <w:rFonts w:eastAsia="Times New Roman"/>
                                <w:bCs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w:t xml:space="preserve"> based on reference signal.</w:t>
                            </w:r>
                          </w:p>
                          <w:p w14:paraId="0B97ACD9" w14:textId="77777777" w:rsidR="00F61F4F" w:rsidRPr="00157BDF" w:rsidRDefault="00F61F4F" w:rsidP="00F61F4F">
                            <w:pPr>
                              <w:pStyle w:val="ListParagraph"/>
                              <w:numPr>
                                <w:ilvl w:val="1"/>
                                <w:numId w:val="13"/>
                              </w:numPr>
                              <w:rPr>
                                <w:bCs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57BDF">
                              <w:rPr>
                                <w:bCs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w:t>Other solutions are not precluded</w:t>
                            </w:r>
                          </w:p>
                          <w:p w14:paraId="54CEB31C" w14:textId="77777777" w:rsidR="00F61F4F" w:rsidRPr="00157BDF" w:rsidRDefault="00F61F4F" w:rsidP="00F61F4F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rPr>
                                <w:bCs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57BDF">
                              <w:rPr>
                                <w:bCs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w:t>Solution 3: Implementation-based techniques e.g. using a long enough PRACH processing window and multiple timing hypotheses for PRACH preamble reception with large max differential delay.</w:t>
                            </w:r>
                          </w:p>
                          <w:p w14:paraId="18BA0E71" w14:textId="77777777" w:rsidR="00F61F4F" w:rsidRPr="00157BDF" w:rsidRDefault="00F61F4F" w:rsidP="00F61F4F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rPr>
                                <w:bCs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157BDF">
                              <w:rPr>
                                <w:bCs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w:t>Other Solutions are not precluded</w:t>
                            </w:r>
                          </w:p>
                          <w:p w14:paraId="2D238BF0" w14:textId="78735B52" w:rsidR="00F61F4F" w:rsidRDefault="00F61F4F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 w14:anchorId="21E164DC">
              <v:shape id="_x0000_s1027" style="position:absolute;margin-left:-.05pt;margin-top:0;width:499.5pt;height:110.6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" w14:anchorId="1A0FBF7E">
                <v:textbox style="mso-fit-shape-to-text:t">
                  <w:txbxContent>
                    <w:p w:rsidRPr="005E275A" w:rsidR="00F61F4F" w:rsidP="00F61F4F" w:rsidRDefault="00F61F4F" w14:paraId="7392C61A" w14:textId="7C835804">
                      <w:pPr>
                        <w:pStyle w:val="Doc-text2"/>
                        <w:ind w:left="0" w:firstLine="0"/>
                        <w:rPr>
                          <w:rFonts w:ascii="Times New Roman" w:hAnsi="Times New Roman"/>
                          <w:b/>
                          <w:sz w:val="22"/>
                          <w:szCs w:val="28"/>
                          <w:lang w:val="en-US"/>
                        </w:rPr>
                      </w:pPr>
                      <w:r w:rsidRPr="005E275A">
                        <w:rPr>
                          <w:rFonts w:ascii="Times New Roman" w:hAnsi="Times New Roman"/>
                          <w:b/>
                          <w:sz w:val="22"/>
                          <w:szCs w:val="28"/>
                          <w:highlight w:val="green"/>
                          <w:lang w:val="en-US"/>
                        </w:rPr>
                        <w:t>Agreement:</w:t>
                      </w:r>
                    </w:p>
                    <w:p w:rsidRPr="00157BDF" w:rsidR="00F61F4F" w:rsidP="00F61F4F" w:rsidRDefault="00F61F4F" w14:paraId="7D6D01E8" w14:textId="77777777">
                      <w:r w:rsidRPr="00157BDF">
                        <w:t xml:space="preserve">RAN1 to assess the impacts on connected mode during NR NTN GNSS-resilient operation, including </w:t>
                      </w:r>
                      <w:r w:rsidRPr="00157BDF">
                        <w:rPr>
                          <w:color w:val="0070C0"/>
                        </w:rPr>
                        <w:t>at least:</w:t>
                      </w:r>
                    </w:p>
                    <w:p w:rsidRPr="00157BDF" w:rsidR="00F61F4F" w:rsidP="00F61F4F" w:rsidRDefault="00F61F4F" w14:paraId="2948947F" w14:textId="77777777">
                      <w:pPr>
                        <w:pStyle w:val="ListParagraph"/>
                        <w:numPr>
                          <w:ilvl w:val="0"/>
                          <w:numId w:val="14"/>
                        </w:numPr>
                        <w:rPr>
                          <w:sz w:val="20"/>
                          <w:szCs w:val="20"/>
                        </w:rPr>
                      </w:pPr>
                      <w:r w:rsidRPr="00157BDF">
                        <w:rPr>
                          <w:rFonts w:eastAsia="Times New Roman"/>
                          <w:sz w:val="20"/>
                          <w:szCs w:val="20"/>
                        </w:rPr>
                        <w:t>Impact on signalling overhead.</w:t>
                      </w:r>
                    </w:p>
                    <w:p w:rsidRPr="00157BDF" w:rsidR="00F61F4F" w:rsidP="00F61F4F" w:rsidRDefault="00F61F4F" w14:paraId="5DAB6C7B" w14:textId="77777777">
                      <w:pPr>
                        <w:rPr>
                          <w:b/>
                          <w:bCs/>
                        </w:rPr>
                      </w:pPr>
                    </w:p>
                    <w:p w:rsidRPr="00157BDF" w:rsidR="00F61F4F" w:rsidP="00F61F4F" w:rsidRDefault="00F61F4F" w14:paraId="30B89B92" w14:textId="77777777">
                      <w:pPr>
                        <w:pStyle w:val="Doc-text2"/>
                        <w:ind w:left="0" w:firstLine="0"/>
                        <w:rPr>
                          <w:rFonts w:ascii="Times New Roman" w:hAnsi="Times New Roman"/>
                          <w:b/>
                          <w:szCs w:val="20"/>
                          <w:lang w:val="en-US"/>
                        </w:rPr>
                      </w:pPr>
                      <w:r w:rsidRPr="00157BDF">
                        <w:rPr>
                          <w:rFonts w:ascii="Times New Roman" w:hAnsi="Times New Roman"/>
                          <w:b/>
                          <w:szCs w:val="20"/>
                          <w:lang w:val="en-US"/>
                        </w:rPr>
                        <w:t>Observation:</w:t>
                      </w:r>
                    </w:p>
                    <w:p w:rsidRPr="00157BDF" w:rsidR="00F61F4F" w:rsidP="00F61F4F" w:rsidRDefault="00F61F4F" w14:paraId="327F7676" w14:textId="77777777">
                      <w:pPr>
                        <w:rPr>
                          <w:bCs/>
                          <w:color w:val="000000" w:themeColor="text1"/>
                          <w:lang w:val="en-US"/>
                        </w:rPr>
                      </w:pPr>
                      <w:r w:rsidRPr="00157BDF">
                        <w:rPr>
                          <w:bCs/>
                          <w:color w:val="000000" w:themeColor="text1"/>
                          <w:lang w:val="en-US"/>
                        </w:rPr>
                        <w:t>For the study on GNSS resilient NR-NTN operation, the following solutions for initial access to increase PRACH tolerance and reducing time/frequency uncertainty are listed based on inputs/discussions in RAN1#122bis:</w:t>
                      </w:r>
                    </w:p>
                    <w:p w:rsidRPr="00157BDF" w:rsidR="00F61F4F" w:rsidP="00F61F4F" w:rsidRDefault="00F61F4F" w14:paraId="201F0925" w14:textId="77777777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rPr>
                          <w:bCs/>
                          <w:color w:val="000000" w:themeColor="text1"/>
                          <w:sz w:val="20"/>
                          <w:szCs w:val="20"/>
                          <w:lang w:val="en-US"/>
                        </w:rPr>
                      </w:pPr>
                      <w:r w:rsidRPr="00157BDF">
                        <w:rPr>
                          <w:bCs/>
                          <w:color w:val="000000" w:themeColor="text1"/>
                          <w:sz w:val="20"/>
                          <w:szCs w:val="20"/>
                          <w:lang w:val="en-US"/>
                        </w:rPr>
                        <w:t xml:space="preserve">Solution 1: To improve robustness: </w:t>
                      </w:r>
                    </w:p>
                    <w:p w:rsidRPr="00157BDF" w:rsidR="00F61F4F" w:rsidP="00F61F4F" w:rsidRDefault="00F61F4F" w14:paraId="37432340" w14:textId="77777777">
                      <w:pPr>
                        <w:pStyle w:val="ListParagraph"/>
                        <w:numPr>
                          <w:ilvl w:val="1"/>
                          <w:numId w:val="13"/>
                        </w:numPr>
                        <w:rPr>
                          <w:bCs/>
                          <w:color w:val="000000" w:themeColor="text1"/>
                          <w:sz w:val="20"/>
                          <w:szCs w:val="20"/>
                          <w:lang w:val="en-US"/>
                        </w:rPr>
                      </w:pPr>
                      <w:r w:rsidRPr="00157BDF">
                        <w:rPr>
                          <w:bCs/>
                          <w:color w:val="000000" w:themeColor="text1"/>
                          <w:sz w:val="20"/>
                          <w:szCs w:val="20"/>
                          <w:lang w:val="en-US"/>
                        </w:rPr>
                        <w:t>Solutions based on modified random access procedures, using existing PRACH formats:</w:t>
                      </w:r>
                    </w:p>
                    <w:p w:rsidRPr="00157BDF" w:rsidR="00F61F4F" w:rsidP="00F61F4F" w:rsidRDefault="00F61F4F" w14:paraId="0502F425" w14:textId="77777777">
                      <w:pPr>
                        <w:pStyle w:val="ListParagraph"/>
                        <w:numPr>
                          <w:ilvl w:val="2"/>
                          <w:numId w:val="13"/>
                        </w:numPr>
                        <w:rPr>
                          <w:bCs/>
                          <w:color w:val="000000" w:themeColor="text1"/>
                          <w:sz w:val="20"/>
                          <w:szCs w:val="20"/>
                          <w:lang w:val="en-US"/>
                        </w:rPr>
                      </w:pPr>
                      <w:r w:rsidRPr="00157BDF">
                        <w:rPr>
                          <w:bCs/>
                          <w:color w:val="000000" w:themeColor="text1"/>
                          <w:sz w:val="20"/>
                          <w:szCs w:val="20"/>
                          <w:lang w:val="en-US"/>
                        </w:rPr>
                        <w:t xml:space="preserve">Solution 1A: Multiple PRACH transmissions </w:t>
                      </w:r>
                      <w:r w:rsidRPr="00157BDF">
                        <w:rPr>
                          <w:bCs/>
                          <w:strike/>
                          <w:color w:val="000000" w:themeColor="text1"/>
                          <w:sz w:val="20"/>
                          <w:szCs w:val="20"/>
                          <w:lang w:val="en-US"/>
                        </w:rPr>
                        <w:t>(</w:t>
                      </w:r>
                      <w:r w:rsidRPr="00157BDF">
                        <w:rPr>
                          <w:bCs/>
                          <w:color w:val="000000" w:themeColor="text1"/>
                          <w:sz w:val="20"/>
                          <w:szCs w:val="20"/>
                          <w:lang w:val="en-US"/>
                        </w:rPr>
                        <w:t>e.g. with different roots or different formats or with different time/frequency pre-compensation using multiple reference locations within the uncertainty area) using existing PRACH formats</w:t>
                      </w:r>
                    </w:p>
                    <w:p w:rsidRPr="00157BDF" w:rsidR="00F61F4F" w:rsidP="00F61F4F" w:rsidRDefault="00F61F4F" w14:paraId="3A1F7584" w14:textId="77777777">
                      <w:pPr>
                        <w:pStyle w:val="ListParagraph"/>
                        <w:numPr>
                          <w:ilvl w:val="2"/>
                          <w:numId w:val="13"/>
                        </w:numPr>
                        <w:rPr>
                          <w:bCs/>
                          <w:color w:val="000000" w:themeColor="text1"/>
                          <w:sz w:val="20"/>
                          <w:szCs w:val="20"/>
                          <w:lang w:val="en-US"/>
                        </w:rPr>
                      </w:pPr>
                      <w:r w:rsidRPr="00157BDF">
                        <w:rPr>
                          <w:bCs/>
                          <w:color w:val="000000" w:themeColor="text1"/>
                          <w:sz w:val="20"/>
                          <w:szCs w:val="20"/>
                          <w:lang w:val="en-US"/>
                        </w:rPr>
                        <w:t>Solution 1B: New PRACH restricted sets.</w:t>
                      </w:r>
                    </w:p>
                    <w:p w:rsidRPr="00157BDF" w:rsidR="00F61F4F" w:rsidP="00F61F4F" w:rsidRDefault="00F61F4F" w14:paraId="33CABDF4" w14:textId="77777777">
                      <w:pPr>
                        <w:pStyle w:val="ListParagraph"/>
                        <w:numPr>
                          <w:ilvl w:val="2"/>
                          <w:numId w:val="13"/>
                        </w:numPr>
                        <w:rPr>
                          <w:bCs/>
                          <w:color w:val="000000" w:themeColor="text1"/>
                          <w:sz w:val="20"/>
                          <w:szCs w:val="20"/>
                          <w:lang w:val="en-US"/>
                        </w:rPr>
                      </w:pPr>
                      <w:r w:rsidRPr="00157BDF">
                        <w:rPr>
                          <w:bCs/>
                          <w:color w:val="000000" w:themeColor="text1"/>
                          <w:sz w:val="20"/>
                          <w:szCs w:val="20"/>
                          <w:lang w:val="en-US"/>
                        </w:rPr>
                        <w:t>Solution 1C: Single PRACH transmission with multiple TAC/FAC commands in RAR</w:t>
                      </w:r>
                    </w:p>
                    <w:p w:rsidRPr="00157BDF" w:rsidR="00F61F4F" w:rsidP="00F61F4F" w:rsidRDefault="00F61F4F" w14:paraId="7B85D4A8" w14:textId="77777777">
                      <w:pPr>
                        <w:pStyle w:val="ListParagraph"/>
                        <w:numPr>
                          <w:ilvl w:val="2"/>
                          <w:numId w:val="13"/>
                        </w:numPr>
                        <w:rPr>
                          <w:bCs/>
                          <w:color w:val="000000" w:themeColor="text1"/>
                          <w:sz w:val="20"/>
                          <w:szCs w:val="20"/>
                          <w:lang w:val="en-US"/>
                        </w:rPr>
                      </w:pPr>
                      <w:r w:rsidRPr="00157BDF">
                        <w:rPr>
                          <w:bCs/>
                          <w:color w:val="000000" w:themeColor="text1"/>
                          <w:sz w:val="20"/>
                          <w:szCs w:val="20"/>
                          <w:lang w:val="en-US"/>
                        </w:rPr>
                        <w:t xml:space="preserve">Solution </w:t>
                      </w:r>
                      <w:r w:rsidRPr="00157BDF">
                        <w:rPr>
                          <w:rFonts w:eastAsia="MS Mincho"/>
                          <w:bCs/>
                          <w:color w:val="000000" w:themeColor="text1"/>
                          <w:sz w:val="20"/>
                          <w:szCs w:val="20"/>
                          <w:lang w:eastAsia="ja-JP"/>
                        </w:rPr>
                        <w:t>1D: Signalling enhancements for Msg2 (e.g. enhanced TA command, frequency adjustment command, reference point adjustment command)</w:t>
                      </w:r>
                    </w:p>
                    <w:p w:rsidRPr="00157BDF" w:rsidR="00F61F4F" w:rsidP="00F61F4F" w:rsidRDefault="00F61F4F" w14:paraId="71E6AC80" w14:textId="77777777">
                      <w:pPr>
                        <w:pStyle w:val="ListParagraph"/>
                        <w:numPr>
                          <w:ilvl w:val="2"/>
                          <w:numId w:val="13"/>
                        </w:numPr>
                        <w:rPr>
                          <w:bCs/>
                          <w:color w:val="000000" w:themeColor="text1"/>
                          <w:sz w:val="20"/>
                          <w:szCs w:val="20"/>
                          <w:lang w:val="en-US"/>
                        </w:rPr>
                      </w:pPr>
                      <w:r w:rsidRPr="00157BDF">
                        <w:rPr>
                          <w:bCs/>
                          <w:color w:val="000000" w:themeColor="text1"/>
                          <w:sz w:val="20"/>
                          <w:szCs w:val="20"/>
                          <w:lang w:val="en-US"/>
                        </w:rPr>
                        <w:t>Solution 1E: Selection of a set of existing PRACH root</w:t>
                      </w:r>
                    </w:p>
                    <w:p w:rsidRPr="00157BDF" w:rsidR="00F61F4F" w:rsidP="00F61F4F" w:rsidRDefault="00F61F4F" w14:paraId="0BFE44D8" w14:textId="77777777">
                      <w:pPr>
                        <w:pStyle w:val="ListParagraph"/>
                        <w:numPr>
                          <w:ilvl w:val="2"/>
                          <w:numId w:val="13"/>
                        </w:numPr>
                        <w:rPr>
                          <w:bCs/>
                          <w:color w:val="000000" w:themeColor="text1"/>
                          <w:sz w:val="20"/>
                          <w:szCs w:val="20"/>
                          <w:lang w:val="en-US"/>
                        </w:rPr>
                      </w:pPr>
                      <w:r w:rsidRPr="00157BDF">
                        <w:rPr>
                          <w:bCs/>
                          <w:color w:val="000000" w:themeColor="text1"/>
                          <w:sz w:val="20"/>
                          <w:szCs w:val="20"/>
                          <w:lang w:val="en-US"/>
                        </w:rPr>
                        <w:t>Solution 1F: Using TA margin and RO masking.</w:t>
                      </w:r>
                    </w:p>
                    <w:p w:rsidRPr="00157BDF" w:rsidR="00F61F4F" w:rsidP="00F61F4F" w:rsidRDefault="00F61F4F" w14:paraId="691F7C41" w14:textId="77777777">
                      <w:pPr>
                        <w:pStyle w:val="ListParagraph"/>
                        <w:numPr>
                          <w:ilvl w:val="2"/>
                          <w:numId w:val="13"/>
                        </w:numPr>
                        <w:rPr>
                          <w:bCs/>
                          <w:color w:val="000000" w:themeColor="text1"/>
                          <w:sz w:val="20"/>
                          <w:szCs w:val="20"/>
                          <w:lang w:val="en-US"/>
                        </w:rPr>
                      </w:pPr>
                      <w:r w:rsidRPr="00157BDF">
                        <w:rPr>
                          <w:bCs/>
                          <w:color w:val="000000" w:themeColor="text1"/>
                          <w:sz w:val="20"/>
                          <w:szCs w:val="20"/>
                          <w:lang w:val="en-US"/>
                        </w:rPr>
                        <w:t>Other solutions are not precluded</w:t>
                      </w:r>
                    </w:p>
                    <w:p w:rsidRPr="00157BDF" w:rsidR="00F61F4F" w:rsidP="00F61F4F" w:rsidRDefault="00F61F4F" w14:paraId="3129AD7A" w14:textId="77777777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rPr>
                          <w:bCs/>
                          <w:strike/>
                          <w:color w:val="000000" w:themeColor="text1"/>
                          <w:sz w:val="20"/>
                          <w:szCs w:val="20"/>
                          <w:lang w:val="en-US"/>
                        </w:rPr>
                      </w:pPr>
                      <w:r w:rsidRPr="00157BDF">
                        <w:rPr>
                          <w:bCs/>
                          <w:color w:val="000000" w:themeColor="text1"/>
                          <w:sz w:val="20"/>
                          <w:szCs w:val="20"/>
                          <w:lang w:val="en-US"/>
                        </w:rPr>
                        <w:t xml:space="preserve">Solution 2: Solutions based on reducing time-frequency uncertainty </w:t>
                      </w:r>
                    </w:p>
                    <w:p w:rsidRPr="00157BDF" w:rsidR="00F61F4F" w:rsidP="00F61F4F" w:rsidRDefault="00F61F4F" w14:paraId="3197CBC2" w14:textId="77777777">
                      <w:pPr>
                        <w:pStyle w:val="ListParagraph"/>
                        <w:numPr>
                          <w:ilvl w:val="1"/>
                          <w:numId w:val="13"/>
                        </w:numPr>
                        <w:rPr>
                          <w:bCs/>
                          <w:color w:val="000000" w:themeColor="text1"/>
                          <w:sz w:val="20"/>
                          <w:szCs w:val="20"/>
                          <w:lang w:val="en-US"/>
                        </w:rPr>
                      </w:pPr>
                      <w:r w:rsidRPr="00157BDF">
                        <w:rPr>
                          <w:bCs/>
                          <w:color w:val="000000" w:themeColor="text1"/>
                          <w:sz w:val="20"/>
                          <w:szCs w:val="20"/>
                          <w:lang w:val="en-US"/>
                        </w:rPr>
                        <w:t>Solution 2A: Single/multi-satellite DL-TDOA based on current specifications.</w:t>
                      </w:r>
                    </w:p>
                    <w:p w:rsidRPr="00157BDF" w:rsidR="00F61F4F" w:rsidP="00F61F4F" w:rsidRDefault="00F61F4F" w14:paraId="53B9B704" w14:textId="77777777">
                      <w:pPr>
                        <w:pStyle w:val="ListParagraph"/>
                        <w:numPr>
                          <w:ilvl w:val="1"/>
                          <w:numId w:val="13"/>
                        </w:numPr>
                        <w:rPr>
                          <w:bCs/>
                          <w:color w:val="000000" w:themeColor="text1"/>
                          <w:sz w:val="20"/>
                          <w:szCs w:val="20"/>
                          <w:lang w:val="en-US"/>
                        </w:rPr>
                      </w:pPr>
                      <w:r w:rsidRPr="00157BDF">
                        <w:rPr>
                          <w:bCs/>
                          <w:color w:val="000000" w:themeColor="text1"/>
                          <w:sz w:val="20"/>
                          <w:szCs w:val="20"/>
                          <w:lang w:val="en-US"/>
                        </w:rPr>
                        <w:t>Solution 2B: multiple PRACH attempts based on different time/frequency pre-compensation hypotheses (e.g. based on multiple reference points within the uncertainty area)</w:t>
                      </w:r>
                    </w:p>
                    <w:p w:rsidRPr="00157BDF" w:rsidR="00F61F4F" w:rsidP="00F61F4F" w:rsidRDefault="00F61F4F" w14:paraId="35966BF4" w14:textId="77777777">
                      <w:pPr>
                        <w:numPr>
                          <w:ilvl w:val="1"/>
                          <w:numId w:val="13"/>
                        </w:numPr>
                        <w:suppressAutoHyphens/>
                        <w:spacing w:before="120" w:after="120"/>
                        <w:jc w:val="both"/>
                        <w:rPr>
                          <w:bCs/>
                          <w:color w:val="000000" w:themeColor="text1"/>
                          <w:lang w:val="en-US"/>
                        </w:rPr>
                      </w:pPr>
                      <w:r w:rsidRPr="00157BDF">
                        <w:rPr>
                          <w:bCs/>
                          <w:color w:val="000000" w:themeColor="text1"/>
                          <w:lang w:val="en-US"/>
                        </w:rPr>
                        <w:t>Solution 2C: Solutions based on broadcasting DL timestamp(s)</w:t>
                      </w:r>
                    </w:p>
                    <w:p w:rsidRPr="00157BDF" w:rsidR="00F61F4F" w:rsidP="00F61F4F" w:rsidRDefault="00F61F4F" w14:paraId="52E9A407" w14:textId="77777777">
                      <w:pPr>
                        <w:numPr>
                          <w:ilvl w:val="1"/>
                          <w:numId w:val="13"/>
                        </w:numPr>
                        <w:suppressAutoHyphens/>
                        <w:spacing w:before="120" w:after="120"/>
                        <w:jc w:val="both"/>
                        <w:rPr>
                          <w:bCs/>
                          <w:color w:val="000000" w:themeColor="text1"/>
                          <w:lang w:val="en-US"/>
                        </w:rPr>
                      </w:pPr>
                      <w:r w:rsidRPr="00157BDF">
                        <w:rPr>
                          <w:bCs/>
                          <w:color w:val="000000" w:themeColor="text1"/>
                          <w:lang w:val="en-US"/>
                        </w:rPr>
                        <w:t xml:space="preserve">Solution </w:t>
                      </w:r>
                      <w:r w:rsidRPr="00157BDF">
                        <w:rPr>
                          <w:bCs/>
                          <w:color w:val="000000" w:themeColor="text1"/>
                          <w:lang w:val="en-US" w:eastAsia="zh-CN"/>
                        </w:rPr>
                        <w:t xml:space="preserve">2D: UE side </w:t>
                      </w:r>
                      <w:r w:rsidRPr="00157BDF">
                        <w:rPr>
                          <w:bCs/>
                          <w:color w:val="000000" w:themeColor="text1"/>
                          <w:lang w:val="en-US"/>
                        </w:rPr>
                        <w:t>time/frequency pre-compensation</w:t>
                      </w:r>
                      <w:r w:rsidRPr="00157BDF">
                        <w:rPr>
                          <w:bCs/>
                          <w:color w:val="000000" w:themeColor="text1"/>
                          <w:lang w:val="en-US" w:eastAsia="zh-CN"/>
                        </w:rPr>
                        <w:t xml:space="preserve"> based on reference location.</w:t>
                      </w:r>
                    </w:p>
                    <w:p w:rsidRPr="00157BDF" w:rsidR="00F61F4F" w:rsidP="00F61F4F" w:rsidRDefault="00F61F4F" w14:paraId="68F93CA5" w14:textId="77777777">
                      <w:pPr>
                        <w:pStyle w:val="ListParagraph"/>
                        <w:numPr>
                          <w:ilvl w:val="1"/>
                          <w:numId w:val="13"/>
                        </w:numPr>
                        <w:rPr>
                          <w:bCs/>
                          <w:color w:val="000000" w:themeColor="text1"/>
                          <w:sz w:val="20"/>
                          <w:szCs w:val="20"/>
                          <w:lang w:val="en-US"/>
                        </w:rPr>
                      </w:pPr>
                      <w:r w:rsidRPr="00157BDF">
                        <w:rPr>
                          <w:bCs/>
                          <w:color w:val="000000" w:themeColor="text1"/>
                          <w:sz w:val="20"/>
                          <w:szCs w:val="20"/>
                          <w:lang w:val="en-US"/>
                        </w:rPr>
                        <w:t>Solution 2E: service link time/frequency pre-compensation based on last acquired GNSS position</w:t>
                      </w:r>
                    </w:p>
                    <w:p w:rsidRPr="00157BDF" w:rsidR="00F61F4F" w:rsidP="00F61F4F" w:rsidRDefault="00F61F4F" w14:paraId="2712A165" w14:textId="77777777">
                      <w:pPr>
                        <w:pStyle w:val="ListParagraph"/>
                        <w:numPr>
                          <w:ilvl w:val="1"/>
                          <w:numId w:val="13"/>
                        </w:numPr>
                        <w:rPr>
                          <w:bCs/>
                          <w:color w:val="000000" w:themeColor="text1"/>
                          <w:sz w:val="20"/>
                          <w:szCs w:val="20"/>
                          <w:lang w:val="en-US"/>
                        </w:rPr>
                      </w:pPr>
                      <w:r w:rsidRPr="00157BDF">
                        <w:rPr>
                          <w:bCs/>
                          <w:color w:val="000000" w:themeColor="text1"/>
                          <w:sz w:val="20"/>
                          <w:szCs w:val="20"/>
                          <w:lang w:val="en-US"/>
                        </w:rPr>
                        <w:t>Solution 2F:</w:t>
                      </w:r>
                      <w:r w:rsidRPr="00157BDF">
                        <w:rPr>
                          <w:rFonts w:eastAsia="Times New Roman"/>
                          <w:bCs/>
                          <w:color w:val="000000" w:themeColor="text1"/>
                          <w:sz w:val="20"/>
                          <w:szCs w:val="20"/>
                          <w:lang w:val="en-US"/>
                        </w:rPr>
                        <w:t xml:space="preserve"> UE side </w:t>
                      </w:r>
                      <w:r w:rsidRPr="00157BDF">
                        <w:rPr>
                          <w:bCs/>
                          <w:color w:val="000000" w:themeColor="text1"/>
                          <w:sz w:val="20"/>
                          <w:szCs w:val="20"/>
                          <w:lang w:val="en-US"/>
                        </w:rPr>
                        <w:t>time/frequency pre-compensation</w:t>
                      </w:r>
                      <w:r w:rsidRPr="00157BDF">
                        <w:rPr>
                          <w:rFonts w:eastAsia="Times New Roman"/>
                          <w:bCs/>
                          <w:color w:val="000000" w:themeColor="text1"/>
                          <w:sz w:val="20"/>
                          <w:szCs w:val="20"/>
                          <w:lang w:val="en-US"/>
                        </w:rPr>
                        <w:t xml:space="preserve"> based on reference signal.</w:t>
                      </w:r>
                    </w:p>
                    <w:p w:rsidRPr="00157BDF" w:rsidR="00F61F4F" w:rsidP="00F61F4F" w:rsidRDefault="00F61F4F" w14:paraId="7A86F4D9" w14:textId="77777777">
                      <w:pPr>
                        <w:pStyle w:val="ListParagraph"/>
                        <w:numPr>
                          <w:ilvl w:val="1"/>
                          <w:numId w:val="13"/>
                        </w:numPr>
                        <w:rPr>
                          <w:bCs/>
                          <w:color w:val="000000" w:themeColor="text1"/>
                          <w:sz w:val="20"/>
                          <w:szCs w:val="20"/>
                          <w:lang w:val="en-US"/>
                        </w:rPr>
                      </w:pPr>
                      <w:r w:rsidRPr="00157BDF">
                        <w:rPr>
                          <w:bCs/>
                          <w:color w:val="000000" w:themeColor="text1"/>
                          <w:sz w:val="20"/>
                          <w:szCs w:val="20"/>
                          <w:lang w:val="en-US"/>
                        </w:rPr>
                        <w:t>Other solutions are not precluded</w:t>
                      </w:r>
                    </w:p>
                    <w:p w:rsidRPr="00157BDF" w:rsidR="00F61F4F" w:rsidP="00F61F4F" w:rsidRDefault="00F61F4F" w14:paraId="28847D2E" w14:textId="77777777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rPr>
                          <w:bCs/>
                          <w:color w:val="000000" w:themeColor="text1"/>
                          <w:sz w:val="20"/>
                          <w:szCs w:val="20"/>
                          <w:lang w:val="en-US"/>
                        </w:rPr>
                      </w:pPr>
                      <w:r w:rsidRPr="00157BDF">
                        <w:rPr>
                          <w:bCs/>
                          <w:color w:val="000000" w:themeColor="text1"/>
                          <w:sz w:val="20"/>
                          <w:szCs w:val="20"/>
                          <w:lang w:val="en-US"/>
                        </w:rPr>
                        <w:t>Solution 3: Implementation-based techniques e.g. using a long enough PRACH processing window and multiple timing hypotheses for PRACH preamble reception with large max differential delay.</w:t>
                      </w:r>
                    </w:p>
                    <w:p w:rsidRPr="00157BDF" w:rsidR="00F61F4F" w:rsidP="00F61F4F" w:rsidRDefault="00F61F4F" w14:paraId="17EEAA38" w14:textId="77777777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rPr>
                          <w:bCs/>
                          <w:color w:val="000000" w:themeColor="text1"/>
                          <w:sz w:val="20"/>
                          <w:szCs w:val="20"/>
                          <w:lang w:val="en-US"/>
                        </w:rPr>
                      </w:pPr>
                      <w:r w:rsidRPr="00157BDF">
                        <w:rPr>
                          <w:bCs/>
                          <w:color w:val="000000" w:themeColor="text1"/>
                          <w:sz w:val="20"/>
                          <w:szCs w:val="20"/>
                          <w:lang w:val="en-US"/>
                        </w:rPr>
                        <w:t>Other Solutions are not precluded</w:t>
                      </w:r>
                    </w:p>
                    <w:p w:rsidR="00F61F4F" w:rsidRDefault="00F61F4F" w14:paraId="02EB378F" w14:textId="78735B52"/>
                  </w:txbxContent>
                </v:textbox>
                <w10:wrap type="square"/>
              </v:shape>
            </w:pict>
          </mc:Fallback>
        </mc:AlternateContent>
      </w:r>
    </w:p>
    <w:p w14:paraId="2C67F6F5" w14:textId="77777777" w:rsidR="00A25B3B" w:rsidRPr="00B04AFC" w:rsidRDefault="00A25B3B" w:rsidP="00B04AFC"/>
    <w:p w14:paraId="3CF6BB21" w14:textId="19B247CE" w:rsidR="005D20F1" w:rsidRDefault="002178B6" w:rsidP="00A37356">
      <w:pPr>
        <w:pStyle w:val="Heading1"/>
        <w:numPr>
          <w:ilvl w:val="0"/>
          <w:numId w:val="11"/>
        </w:numPr>
      </w:pPr>
      <w:r>
        <w:t>Discussion</w:t>
      </w:r>
    </w:p>
    <w:p w14:paraId="28762826" w14:textId="644CFFA7" w:rsidR="0015534A" w:rsidRPr="00075512" w:rsidRDefault="00D9090C" w:rsidP="00D9090C">
      <w:r>
        <w:t xml:space="preserve">In this contribution, we focus on </w:t>
      </w:r>
      <w:r w:rsidR="00D64AF6">
        <w:t xml:space="preserve">aspects of </w:t>
      </w:r>
      <w:r w:rsidR="00D64AF6" w:rsidRPr="0012114D">
        <w:rPr>
          <w:b/>
          <w:bCs/>
        </w:rPr>
        <w:t>Solution 2</w:t>
      </w:r>
      <w:r w:rsidR="003D4DA5" w:rsidRPr="0012114D">
        <w:rPr>
          <w:b/>
          <w:bCs/>
        </w:rPr>
        <w:t xml:space="preserve">: </w:t>
      </w:r>
      <w:r w:rsidR="003D4DA5" w:rsidRPr="00075512">
        <w:t>Solutions based on reducing time-frequency uncertainty</w:t>
      </w:r>
      <w:r w:rsidR="0012114D" w:rsidRPr="00075512">
        <w:t xml:space="preserve">, </w:t>
      </w:r>
      <w:r w:rsidR="00075512">
        <w:t xml:space="preserve">and more </w:t>
      </w:r>
      <w:r w:rsidR="0012114D" w:rsidRPr="00075512">
        <w:t xml:space="preserve">specifically </w:t>
      </w:r>
      <w:r w:rsidR="0012114D">
        <w:rPr>
          <w:b/>
          <w:bCs/>
        </w:rPr>
        <w:t xml:space="preserve">Solution 2A: </w:t>
      </w:r>
      <w:r w:rsidR="0012114D" w:rsidRPr="00075512">
        <w:t>single/multi-satellite DL-TDOA based on current specifications.</w:t>
      </w:r>
      <w:r w:rsidR="00F84E9B">
        <w:t xml:space="preserve"> It is important to note that our proposals do not preclude </w:t>
      </w:r>
      <w:r w:rsidR="00526360">
        <w:t xml:space="preserve">aspects of </w:t>
      </w:r>
      <w:r w:rsidR="00526360" w:rsidRPr="00526360">
        <w:rPr>
          <w:b/>
          <w:bCs/>
        </w:rPr>
        <w:t xml:space="preserve">Solution 1: </w:t>
      </w:r>
      <w:r w:rsidR="00526360" w:rsidRPr="00526360">
        <w:t>Solutions based on modified random access procedures</w:t>
      </w:r>
      <w:r w:rsidR="00657C89">
        <w:t xml:space="preserve">. Rather, we believe that </w:t>
      </w:r>
      <w:r w:rsidR="0072633E">
        <w:t>by leveraging aspects of Solution 1 and Solution 2, the system can be made more robust and efficient.</w:t>
      </w:r>
    </w:p>
    <w:p w14:paraId="5D682C17" w14:textId="77777777" w:rsidR="0012114D" w:rsidRPr="00075512" w:rsidRDefault="0012114D" w:rsidP="00D9090C"/>
    <w:p w14:paraId="2336B089" w14:textId="77777777" w:rsidR="007A091C" w:rsidRPr="00D9090C" w:rsidRDefault="007A091C" w:rsidP="00D9090C"/>
    <w:p w14:paraId="2C58AD58" w14:textId="77777777" w:rsidR="007B7D29" w:rsidRDefault="002178B6" w:rsidP="009647A7">
      <w:pPr>
        <w:pStyle w:val="Heading2"/>
      </w:pPr>
      <w:r>
        <w:lastRenderedPageBreak/>
        <w:t xml:space="preserve">2.1 </w:t>
      </w:r>
      <w:r w:rsidR="00956A3A">
        <w:t>Reducing time-frequency uncertainty using single</w:t>
      </w:r>
      <w:r w:rsidR="009C42EA">
        <w:t>/multi-satellite DL-TDOA based on current specifications</w:t>
      </w:r>
    </w:p>
    <w:p w14:paraId="2E3E50A0" w14:textId="77777777" w:rsidR="007B7D29" w:rsidRDefault="007B7D29" w:rsidP="007B7D29"/>
    <w:p w14:paraId="2D167376" w14:textId="28582794" w:rsidR="007B7D29" w:rsidRDefault="00C238F6" w:rsidP="007B7D29">
      <w:r>
        <w:t>In absence of GNSS-based position information at the UE</w:t>
      </w:r>
      <w:r w:rsidR="00EF70FC" w:rsidRPr="00EF70FC">
        <w:t xml:space="preserve">, the key aspects need to be studied include the impacts on DL synchronization, random access procedure, and maintaining UL timing and frequency synchronization. </w:t>
      </w:r>
      <w:r>
        <w:t>Additionally, to</w:t>
      </w:r>
      <w:r w:rsidR="00EF70FC" w:rsidRPr="00EF70FC">
        <w:t xml:space="preserve"> minimize </w:t>
      </w:r>
      <w:r w:rsidR="008C705D">
        <w:t xml:space="preserve">impact on </w:t>
      </w:r>
      <w:r w:rsidR="00EF70FC" w:rsidRPr="00EF70FC">
        <w:t>physical layer procedure</w:t>
      </w:r>
      <w:r w:rsidR="008C705D">
        <w:t>s</w:t>
      </w:r>
      <w:r w:rsidR="00EF70FC" w:rsidRPr="00EF70FC">
        <w:t xml:space="preserve"> and </w:t>
      </w:r>
      <w:r w:rsidR="008C705D">
        <w:t>significant changes to</w:t>
      </w:r>
      <w:r w:rsidR="00EF70FC" w:rsidRPr="00EF70FC">
        <w:t xml:space="preserve"> physical layer </w:t>
      </w:r>
      <w:r w:rsidR="008C705D">
        <w:t>signalling</w:t>
      </w:r>
      <w:r w:rsidR="00EF70FC" w:rsidRPr="00EF70FC">
        <w:t xml:space="preserve">, </w:t>
      </w:r>
      <w:r w:rsidR="008C41FE">
        <w:t>we need to</w:t>
      </w:r>
      <w:r w:rsidR="00EF70FC" w:rsidRPr="00EF70FC">
        <w:t xml:space="preserve"> reus</w:t>
      </w:r>
      <w:r w:rsidR="008C41FE">
        <w:t>e</w:t>
      </w:r>
      <w:r w:rsidR="00EF70FC" w:rsidRPr="00EF70FC">
        <w:t xml:space="preserve"> existing DL/UL signals and synchronization mechanisms as much as possible.</w:t>
      </w:r>
    </w:p>
    <w:p w14:paraId="33FFDC2E" w14:textId="77777777" w:rsidR="004D0D2A" w:rsidRDefault="004D0D2A" w:rsidP="007B7D29"/>
    <w:p w14:paraId="416BE56E" w14:textId="77777777" w:rsidR="00FB39FF" w:rsidRDefault="00665C20" w:rsidP="007B7D29">
      <w:r>
        <w:t>C</w:t>
      </w:r>
      <w:r w:rsidR="0080468C">
        <w:t xml:space="preserve">oncerns </w:t>
      </w:r>
      <w:r>
        <w:t xml:space="preserve">have been expressed </w:t>
      </w:r>
      <w:r w:rsidR="0080468C">
        <w:t xml:space="preserve">about the additional </w:t>
      </w:r>
      <w:r>
        <w:t>signalling</w:t>
      </w:r>
      <w:r w:rsidR="0080468C">
        <w:t xml:space="preserve"> overhead associated with positioning reference signals (PRS) in NR-NTN scenarios. However, it is possible </w:t>
      </w:r>
      <w:r w:rsidR="007E2331">
        <w:t>for the UE to estimate a coarse location based on the always-ON synchronization signals (PSS/SSS)</w:t>
      </w:r>
      <w:r>
        <w:t xml:space="preserve">. </w:t>
      </w:r>
    </w:p>
    <w:p w14:paraId="2D9E5626" w14:textId="77777777" w:rsidR="00FB39FF" w:rsidRDefault="00FB39FF" w:rsidP="007B7D29"/>
    <w:p w14:paraId="359E9E6F" w14:textId="77777777" w:rsidR="00FB39FF" w:rsidRPr="003D1BFE" w:rsidRDefault="00FB39FF" w:rsidP="00FB39FF">
      <w:pPr>
        <w:rPr>
          <w:b/>
          <w:bCs/>
        </w:rPr>
      </w:pPr>
      <w:r w:rsidRPr="003D1BFE">
        <w:rPr>
          <w:b/>
          <w:bCs/>
        </w:rPr>
        <w:t xml:space="preserve">Observation 1: Always-ON synchronization signals can be used by a UE with no GNSS location information to derive a coarse location estimate by making multiple measurements with sufficient time difference even with a single LEO satellite in its view. </w:t>
      </w:r>
    </w:p>
    <w:p w14:paraId="11CF5691" w14:textId="77777777" w:rsidR="00FB39FF" w:rsidRDefault="00FB39FF" w:rsidP="007B7D29"/>
    <w:p w14:paraId="3B02E9B7" w14:textId="634D756A" w:rsidR="004D0D2A" w:rsidRDefault="005C58ED" w:rsidP="007B7D29">
      <w:r>
        <w:t xml:space="preserve">In [3], </w:t>
      </w:r>
      <w:r w:rsidR="001033AF">
        <w:t xml:space="preserve">multiple </w:t>
      </w:r>
      <w:r w:rsidR="00A125F5">
        <w:t>time difference of arrival (TDOA) and frequency difference of arrival (FDOA</w:t>
      </w:r>
      <w:r w:rsidR="007F31A9">
        <w:t xml:space="preserve">) measurements are made </w:t>
      </w:r>
      <w:r w:rsidR="001033AF">
        <w:t xml:space="preserve">from a single satellite </w:t>
      </w:r>
      <w:r w:rsidR="00E920B9">
        <w:t xml:space="preserve">at different time instants </w:t>
      </w:r>
      <w:r w:rsidR="007F31A9">
        <w:t>during the downlink timing and frequency synchronization phase</w:t>
      </w:r>
      <w:r w:rsidR="00E920B9">
        <w:t>. These measurements are used for UE geolocation</w:t>
      </w:r>
      <w:r w:rsidR="007C299F">
        <w:t xml:space="preserve"> along with the satellite’s ephemeris information to calculate the timing advance (TA) value required for random access </w:t>
      </w:r>
      <w:r w:rsidR="00CF28BB">
        <w:t xml:space="preserve">procedure. It is shown that </w:t>
      </w:r>
      <w:r w:rsidR="003F2375">
        <w:t xml:space="preserve">a globally optimal solution to the UE geolocation </w:t>
      </w:r>
      <w:r w:rsidR="00E76847">
        <w:t xml:space="preserve">estimation problem can be obtained by a quadratic penalty algorithm, and the performance of such an algorithm </w:t>
      </w:r>
      <w:r w:rsidR="00E4737C">
        <w:t>can approach the constrained Cramer-Rao lower bound (CRLB).</w:t>
      </w:r>
    </w:p>
    <w:p w14:paraId="10542C3E" w14:textId="77777777" w:rsidR="002C188A" w:rsidRDefault="002C188A" w:rsidP="007B7D29"/>
    <w:p w14:paraId="5AA9C6B6" w14:textId="5AA301E0" w:rsidR="00C7263E" w:rsidRDefault="00470240" w:rsidP="007B7D29">
      <w:r>
        <w:t>Other</w:t>
      </w:r>
      <w:r w:rsidR="004B6233">
        <w:t xml:space="preserve"> methods</w:t>
      </w:r>
      <w:r>
        <w:t xml:space="preserve"> can be considered</w:t>
      </w:r>
      <w:r w:rsidR="004B6233">
        <w:t xml:space="preserve"> to determine UE position </w:t>
      </w:r>
      <w:r w:rsidR="00E40087">
        <w:t>by capturing multiple measurements of synchronization signals that are sufficiently separated in time</w:t>
      </w:r>
      <w:r w:rsidR="00061D15">
        <w:t xml:space="preserve"> (e.g. tens of seconds). </w:t>
      </w:r>
      <w:r w:rsidR="00524390">
        <w:t xml:space="preserve">For example, one can develop </w:t>
      </w:r>
      <w:r w:rsidR="00F10DF9">
        <w:t>simple</w:t>
      </w:r>
      <w:r w:rsidR="00524390">
        <w:t xml:space="preserve"> frequency acquisition techniques for capturing and measuring the doppler shift of </w:t>
      </w:r>
      <w:r w:rsidR="001C4E59">
        <w:t>LEO synchronization signals across various frequency bands</w:t>
      </w:r>
      <w:r w:rsidR="00143C75">
        <w:t xml:space="preserve">. The UE receiver’s position can be derived from the </w:t>
      </w:r>
      <w:r w:rsidR="00F10DF9">
        <w:t xml:space="preserve">measured doppler shift using low-complexity Doppler PNT algorithms. </w:t>
      </w:r>
      <w:r w:rsidR="00061D15">
        <w:t>The</w:t>
      </w:r>
      <w:r w:rsidR="00967096">
        <w:t xml:space="preserve">re is a </w:t>
      </w:r>
      <w:r w:rsidR="00121909">
        <w:t>trade-off</w:t>
      </w:r>
      <w:r w:rsidR="00967096">
        <w:t xml:space="preserve"> between </w:t>
      </w:r>
      <w:r w:rsidR="00C7263E">
        <w:t>time separation of the measurements and the positioning error, which directly impacts the uncertainty in the timing advance estimation.</w:t>
      </w:r>
      <w:r w:rsidR="00524390">
        <w:t xml:space="preserve"> </w:t>
      </w:r>
      <w:r w:rsidR="00E5006A">
        <w:t xml:space="preserve">The m-sequences used for PSS/SSS detection yields </w:t>
      </w:r>
      <w:r w:rsidR="00917F06">
        <w:t>a very strong auto/cross-correlation response,</w:t>
      </w:r>
      <w:r w:rsidR="006570D7">
        <w:t xml:space="preserve"> which helps in </w:t>
      </w:r>
      <w:r w:rsidR="00003902">
        <w:t xml:space="preserve">estimating a Doppler shift with high reliability, even </w:t>
      </w:r>
      <w:r w:rsidR="00C74EA2">
        <w:t>at the</w:t>
      </w:r>
      <w:r w:rsidR="00003902">
        <w:t xml:space="preserve"> low SNR</w:t>
      </w:r>
      <w:r w:rsidR="00C74EA2">
        <w:t xml:space="preserve"> (e.g. -6dB) regime.</w:t>
      </w:r>
      <w:r w:rsidR="00E17DA1">
        <w:t xml:space="preserve"> The figure below shows a </w:t>
      </w:r>
      <w:r w:rsidR="00764411">
        <w:t>frequency domain correlation method to determine the Doppler frequency shift using PSS/SSS</w:t>
      </w:r>
      <w:r w:rsidR="00490074">
        <w:t>.</w:t>
      </w:r>
    </w:p>
    <w:p w14:paraId="5435135C" w14:textId="77777777" w:rsidR="00490074" w:rsidRDefault="00490074" w:rsidP="007B7D29"/>
    <w:p w14:paraId="6533E53F" w14:textId="58DE31DD" w:rsidR="00490074" w:rsidRDefault="00402266" w:rsidP="007B7D29">
      <w:r>
        <w:rPr>
          <w:noProof/>
        </w:rPr>
        <w:drawing>
          <wp:inline distT="0" distB="0" distL="0" distR="0" wp14:anchorId="56BBCE9D" wp14:editId="7BC84507">
            <wp:extent cx="3697243" cy="4486910"/>
            <wp:effectExtent l="0" t="0" r="0" b="0"/>
            <wp:docPr id="163609243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3631" cy="44946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4AB21F1" w14:textId="720956A6" w:rsidR="00F10DF9" w:rsidRDefault="00402266" w:rsidP="007B7D29">
      <w:r w:rsidRPr="00DC7684">
        <w:rPr>
          <w:b/>
          <w:bCs/>
        </w:rPr>
        <w:lastRenderedPageBreak/>
        <w:t>Figure 1:</w:t>
      </w:r>
      <w:r>
        <w:t xml:space="preserve"> Method to de</w:t>
      </w:r>
      <w:r w:rsidR="00DC7684">
        <w:t xml:space="preserve">termine the Doppler frequency shift based on frequency-domain correlation of PSS and SSS sequences. </w:t>
      </w:r>
    </w:p>
    <w:p w14:paraId="2005BF4F" w14:textId="23A8E52E" w:rsidR="00E4737C" w:rsidRDefault="00E4737C" w:rsidP="007B7D29"/>
    <w:p w14:paraId="55B9A0C1" w14:textId="058B5964" w:rsidR="00FE63B9" w:rsidRDefault="00CB6BA2" w:rsidP="007B7D29">
      <w:r>
        <w:t xml:space="preserve">The UE can determine its location (3D coordinates) along with the Doppler shift estimate </w:t>
      </w:r>
      <w:r w:rsidR="008961CE">
        <w:t xml:space="preserve">from multiple observations of PSS/SSS signal. To </w:t>
      </w:r>
      <w:r w:rsidR="00FA3622">
        <w:t xml:space="preserve">achieve reasonable measurement accuracy, the observations need to be sufficiently separated in time so that the satellite </w:t>
      </w:r>
      <w:r w:rsidR="00367BCF">
        <w:t>can move sufficiently farther apart in orbit. From the location estimation, the UE can derive the timing advance parameter needed for initiating the RACH procedure.</w:t>
      </w:r>
    </w:p>
    <w:p w14:paraId="15118A51" w14:textId="77777777" w:rsidR="00645BAA" w:rsidRDefault="00645BAA" w:rsidP="007B7D29"/>
    <w:p w14:paraId="4D5A96A0" w14:textId="77777777" w:rsidR="00FF357C" w:rsidRPr="003D1BFE" w:rsidRDefault="00FF357C" w:rsidP="00FF357C">
      <w:pPr>
        <w:rPr>
          <w:b/>
          <w:bCs/>
        </w:rPr>
      </w:pPr>
      <w:r w:rsidRPr="003D1BFE">
        <w:rPr>
          <w:b/>
          <w:bCs/>
        </w:rPr>
        <w:t>Observation 2: There are many ways to estimate UE location and derive a Timing Advance estimate based on synchronization signals. The specific algorithm(s) can be left for UE implementation.</w:t>
      </w:r>
    </w:p>
    <w:p w14:paraId="1452F3AB" w14:textId="77777777" w:rsidR="00FF357C" w:rsidRDefault="00FF357C" w:rsidP="007B7D29"/>
    <w:p w14:paraId="3836AC5A" w14:textId="2C3ABD1B" w:rsidR="006A0CA0" w:rsidRDefault="00FE63B9" w:rsidP="007B7D29">
      <w:r>
        <w:t xml:space="preserve">One of the disadvantages of the proposed method is the latency associated with the measurements. For example, it </w:t>
      </w:r>
      <w:r w:rsidR="003707FD">
        <w:t xml:space="preserve">will </w:t>
      </w:r>
      <w:r w:rsidR="002C55BB">
        <w:t>take</w:t>
      </w:r>
      <w:r w:rsidR="003707FD">
        <w:t xml:space="preserve"> </w:t>
      </w:r>
      <w:r w:rsidR="002C55BB">
        <w:t xml:space="preserve">roughly </w:t>
      </w:r>
      <w:r w:rsidR="003707FD">
        <w:t>40 seconds for the UT to make four</w:t>
      </w:r>
      <w:r w:rsidR="002C55BB">
        <w:t xml:space="preserve"> independent</w:t>
      </w:r>
      <w:r w:rsidR="003707FD">
        <w:t xml:space="preserve"> measurements</w:t>
      </w:r>
      <w:r w:rsidR="002C55BB">
        <w:t xml:space="preserve"> from the same satellite</w:t>
      </w:r>
      <w:r w:rsidR="00794A2E">
        <w:t>’s synchronization signals</w:t>
      </w:r>
      <w:r w:rsidR="00C15666">
        <w:t xml:space="preserve"> to solve for </w:t>
      </w:r>
      <w:r w:rsidR="00794A2E">
        <w:t>the</w:t>
      </w:r>
      <w:r w:rsidR="00C15666">
        <w:t xml:space="preserve"> 3D coordinates and the Doppler frequency shift. </w:t>
      </w:r>
      <w:r w:rsidR="00794A2E">
        <w:t>However, it is possible to reduce the uncertainty of timing advance parameter to a few kilometres</w:t>
      </w:r>
      <w:r w:rsidR="006A0CA0">
        <w:t xml:space="preserve"> (as demonstrated in [3]).</w:t>
      </w:r>
      <w:r w:rsidR="00BD5724">
        <w:t xml:space="preserve"> D</w:t>
      </w:r>
      <w:r w:rsidR="00BD5724" w:rsidRPr="00BD5724">
        <w:t>epending on the stability of the satellite oscillator, UE oscillator and satellite POD</w:t>
      </w:r>
      <w:r w:rsidR="00BD5724">
        <w:t xml:space="preserve">, tighter </w:t>
      </w:r>
      <w:r w:rsidR="00BD5724" w:rsidRPr="00BD5724">
        <w:t>position error</w:t>
      </w:r>
      <w:r w:rsidR="00BD5724">
        <w:t>s can be achieva</w:t>
      </w:r>
      <w:r w:rsidR="00D778D7">
        <w:t>ble</w:t>
      </w:r>
      <w:r w:rsidR="00BD5724" w:rsidRPr="00BD5724">
        <w:t>.</w:t>
      </w:r>
    </w:p>
    <w:p w14:paraId="58EE3B7A" w14:textId="77777777" w:rsidR="00FF357C" w:rsidRDefault="00FF357C" w:rsidP="007B7D29"/>
    <w:p w14:paraId="15BD5203" w14:textId="77777777" w:rsidR="00FF357C" w:rsidRPr="003D1BFE" w:rsidRDefault="00FF357C" w:rsidP="00FF357C">
      <w:pPr>
        <w:rPr>
          <w:b/>
          <w:bCs/>
        </w:rPr>
      </w:pPr>
      <w:r w:rsidRPr="003D1BFE">
        <w:rPr>
          <w:b/>
          <w:bCs/>
        </w:rPr>
        <w:t>Proposal 1: It is proposed to study UE coarse location estimation based on always-ON synchronization signals (PSS/SSS) from a single satellite and use the Timing Advance estimate for improving uncertainty in the RACH procedure.</w:t>
      </w:r>
    </w:p>
    <w:p w14:paraId="1AFFF909" w14:textId="77777777" w:rsidR="00FF357C" w:rsidRPr="003D1BFE" w:rsidRDefault="00FF357C" w:rsidP="00FF357C">
      <w:pPr>
        <w:rPr>
          <w:b/>
          <w:bCs/>
        </w:rPr>
      </w:pPr>
    </w:p>
    <w:p w14:paraId="69018DBB" w14:textId="77777777" w:rsidR="00FF357C" w:rsidRPr="003D1BFE" w:rsidRDefault="00FF357C" w:rsidP="00FF357C">
      <w:pPr>
        <w:rPr>
          <w:b/>
          <w:bCs/>
        </w:rPr>
      </w:pPr>
      <w:r w:rsidRPr="003D1BFE">
        <w:rPr>
          <w:b/>
          <w:bCs/>
        </w:rPr>
        <w:t>Proposal 2: Study performance improvement for location estimation based on measurements from multiple satellites.</w:t>
      </w:r>
    </w:p>
    <w:p w14:paraId="7BA7395D" w14:textId="77777777" w:rsidR="00FF357C" w:rsidRPr="003D1BFE" w:rsidRDefault="00FF357C" w:rsidP="00FF357C">
      <w:pPr>
        <w:rPr>
          <w:b/>
          <w:bCs/>
        </w:rPr>
      </w:pPr>
    </w:p>
    <w:p w14:paraId="59509D58" w14:textId="77777777" w:rsidR="00FF357C" w:rsidRPr="003D1BFE" w:rsidRDefault="00FF357C" w:rsidP="00FF357C">
      <w:pPr>
        <w:rPr>
          <w:b/>
          <w:bCs/>
        </w:rPr>
      </w:pPr>
      <w:r w:rsidRPr="003D1BFE">
        <w:rPr>
          <w:b/>
          <w:bCs/>
        </w:rPr>
        <w:t>Proposal 3: Study impact of coarse timing advance estimate from synchronization signals on RACH procedure enhancement methods.</w:t>
      </w:r>
    </w:p>
    <w:p w14:paraId="7D6C889D" w14:textId="7E647162" w:rsidR="009C42EA" w:rsidRDefault="009C42EA" w:rsidP="009C42EA"/>
    <w:p w14:paraId="52571D47" w14:textId="03E5A1DD" w:rsidR="005D20F1" w:rsidRDefault="005D20F1" w:rsidP="00A37356">
      <w:pPr>
        <w:pStyle w:val="Heading1"/>
        <w:numPr>
          <w:ilvl w:val="0"/>
          <w:numId w:val="11"/>
        </w:numPr>
      </w:pPr>
      <w:r>
        <w:t>Conclusion</w:t>
      </w:r>
    </w:p>
    <w:p w14:paraId="550EA25B" w14:textId="44EDEAA3" w:rsidR="00FF2E20" w:rsidRDefault="00D009E0" w:rsidP="0083694D">
      <w:r>
        <w:t xml:space="preserve">In this contribution, we propose methods </w:t>
      </w:r>
      <w:r w:rsidR="006C0E38">
        <w:t>for</w:t>
      </w:r>
      <w:r>
        <w:t xml:space="preserve"> coarse location </w:t>
      </w:r>
      <w:r w:rsidR="006C0E38">
        <w:t>estimation at the UT based on</w:t>
      </w:r>
      <w:r w:rsidR="007A2738">
        <w:t xml:space="preserve"> </w:t>
      </w:r>
      <w:r w:rsidR="004B62D6">
        <w:t xml:space="preserve">multiple time-separated </w:t>
      </w:r>
      <w:r w:rsidR="007A2738">
        <w:t>measurements of</w:t>
      </w:r>
      <w:r w:rsidR="006C0E38">
        <w:t xml:space="preserve"> always-ON synchronization signals from </w:t>
      </w:r>
      <w:r w:rsidR="007A2738">
        <w:t>a single LEO satellite</w:t>
      </w:r>
      <w:r w:rsidR="004B62D6">
        <w:t xml:space="preserve">, which </w:t>
      </w:r>
      <w:r w:rsidR="006B5BCB">
        <w:t xml:space="preserve">can be used to derive a timing advance estimate that </w:t>
      </w:r>
      <w:r w:rsidR="00B2016B">
        <w:t xml:space="preserve">has a reduced error margin of the order of a few </w:t>
      </w:r>
      <w:proofErr w:type="spellStart"/>
      <w:r w:rsidR="00B2016B">
        <w:t>kilometers</w:t>
      </w:r>
      <w:proofErr w:type="spellEnd"/>
      <w:r w:rsidR="00B2016B">
        <w:t xml:space="preserve">, as opposed to the large timing </w:t>
      </w:r>
      <w:r w:rsidR="00E96D4D">
        <w:t>uncertainty associated with no positioning information. Since the methods rely on always-ON synchronization signals</w:t>
      </w:r>
      <w:r w:rsidR="00EF63E3">
        <w:t xml:space="preserve"> (as opposed to positioning reference signals), there is no concern for </w:t>
      </w:r>
      <w:r w:rsidR="00FF2E20">
        <w:t xml:space="preserve">incurring additional overhead. These methods are not expected to </w:t>
      </w:r>
      <w:r w:rsidR="0079585F">
        <w:t xml:space="preserve">solve the GNSS resilience problem in its entirety, but can be used </w:t>
      </w:r>
      <w:r w:rsidR="003E53B2">
        <w:t xml:space="preserve">to supplement other positioning methods, or to reduce the complexity of RACH enhancement </w:t>
      </w:r>
      <w:r w:rsidR="00782D2A">
        <w:t>methods.</w:t>
      </w:r>
    </w:p>
    <w:p w14:paraId="27D27FD3" w14:textId="77777777" w:rsidR="00FB39FF" w:rsidRDefault="00FB39FF" w:rsidP="0083694D"/>
    <w:p w14:paraId="641F27F2" w14:textId="77777777" w:rsidR="00FB39FF" w:rsidRPr="00D778D7" w:rsidRDefault="00FB39FF" w:rsidP="00FB39FF">
      <w:pPr>
        <w:rPr>
          <w:b/>
          <w:bCs/>
        </w:rPr>
      </w:pPr>
      <w:r w:rsidRPr="00D778D7">
        <w:rPr>
          <w:b/>
          <w:bCs/>
        </w:rPr>
        <w:t xml:space="preserve">Observation 1: Always-ON synchronization signals can be used by a UE with no GNSS location information to derive a coarse location estimate by making multiple measurements with sufficient time difference even with a single LEO satellite in its view. </w:t>
      </w:r>
    </w:p>
    <w:p w14:paraId="1A4C6C59" w14:textId="77777777" w:rsidR="00FB39FF" w:rsidRPr="00D778D7" w:rsidRDefault="00FB39FF" w:rsidP="00FB39FF">
      <w:pPr>
        <w:rPr>
          <w:b/>
          <w:bCs/>
        </w:rPr>
      </w:pPr>
    </w:p>
    <w:p w14:paraId="00E5485C" w14:textId="77777777" w:rsidR="00FB39FF" w:rsidRPr="00D778D7" w:rsidRDefault="00FB39FF" w:rsidP="00FB39FF">
      <w:pPr>
        <w:rPr>
          <w:b/>
          <w:bCs/>
        </w:rPr>
      </w:pPr>
      <w:r w:rsidRPr="00D778D7">
        <w:rPr>
          <w:b/>
          <w:bCs/>
        </w:rPr>
        <w:t>Observation 2: There are many ways to estimate UE location and derive a Timing Advance estimate based on synchronization signals. The specific algorithm(s) can be left for UE implementation.</w:t>
      </w:r>
    </w:p>
    <w:p w14:paraId="7715A379" w14:textId="77777777" w:rsidR="00FB39FF" w:rsidRPr="00D778D7" w:rsidRDefault="00FB39FF" w:rsidP="00FB39FF">
      <w:pPr>
        <w:rPr>
          <w:b/>
          <w:bCs/>
        </w:rPr>
      </w:pPr>
    </w:p>
    <w:p w14:paraId="142D3FB0" w14:textId="77777777" w:rsidR="00FB39FF" w:rsidRPr="00D778D7" w:rsidRDefault="00FB39FF" w:rsidP="00FB39FF">
      <w:pPr>
        <w:rPr>
          <w:b/>
          <w:bCs/>
        </w:rPr>
      </w:pPr>
      <w:r w:rsidRPr="00D778D7">
        <w:rPr>
          <w:b/>
          <w:bCs/>
        </w:rPr>
        <w:t>Proposal 1: It is proposed to study UE coarse location estimation based on always-ON synchronization signals (PSS/SSS) from a single satellite and use the Timing Advance estimate for improving uncertainty in the RACH procedure.</w:t>
      </w:r>
    </w:p>
    <w:p w14:paraId="26F10327" w14:textId="77777777" w:rsidR="00FB39FF" w:rsidRPr="00D778D7" w:rsidRDefault="00FB39FF" w:rsidP="00FB39FF">
      <w:pPr>
        <w:rPr>
          <w:b/>
          <w:bCs/>
        </w:rPr>
      </w:pPr>
    </w:p>
    <w:p w14:paraId="0712BC33" w14:textId="77777777" w:rsidR="00FB39FF" w:rsidRPr="00D778D7" w:rsidRDefault="00FB39FF" w:rsidP="00FB39FF">
      <w:pPr>
        <w:rPr>
          <w:b/>
          <w:bCs/>
        </w:rPr>
      </w:pPr>
      <w:r w:rsidRPr="00D778D7">
        <w:rPr>
          <w:b/>
          <w:bCs/>
        </w:rPr>
        <w:t>Proposal 2: Study performance improvement for location estimation based on measurements from multiple satellites.</w:t>
      </w:r>
    </w:p>
    <w:p w14:paraId="74CA9983" w14:textId="77777777" w:rsidR="00FB39FF" w:rsidRPr="00D778D7" w:rsidRDefault="00FB39FF" w:rsidP="00FB39FF">
      <w:pPr>
        <w:rPr>
          <w:b/>
          <w:bCs/>
        </w:rPr>
      </w:pPr>
    </w:p>
    <w:p w14:paraId="1B701E25" w14:textId="77777777" w:rsidR="00FB39FF" w:rsidRPr="00D778D7" w:rsidRDefault="00FB39FF" w:rsidP="00FB39FF">
      <w:pPr>
        <w:rPr>
          <w:b/>
          <w:bCs/>
        </w:rPr>
      </w:pPr>
      <w:r w:rsidRPr="00D778D7">
        <w:rPr>
          <w:b/>
          <w:bCs/>
        </w:rPr>
        <w:t>Proposal 3: Study impact of coarse timing advance estimate from synchronization signals on RACH procedure enhancement methods.</w:t>
      </w:r>
    </w:p>
    <w:p w14:paraId="3EDB735E" w14:textId="592ACAF8" w:rsidR="0083694D" w:rsidRPr="0083694D" w:rsidRDefault="006C0E38" w:rsidP="0083694D">
      <w:r>
        <w:t xml:space="preserve"> </w:t>
      </w:r>
    </w:p>
    <w:p w14:paraId="334BD2C9" w14:textId="650CB768" w:rsidR="005D20F1" w:rsidRDefault="005D20F1" w:rsidP="00A37356">
      <w:pPr>
        <w:pStyle w:val="Heading1"/>
        <w:numPr>
          <w:ilvl w:val="0"/>
          <w:numId w:val="11"/>
        </w:numPr>
      </w:pPr>
      <w:r>
        <w:t>References</w:t>
      </w:r>
    </w:p>
    <w:p w14:paraId="648DADB1" w14:textId="15272FFB" w:rsidR="00256895" w:rsidRPr="00D778D7" w:rsidRDefault="00256895" w:rsidP="009B455C">
      <w:pPr>
        <w:pStyle w:val="BodyText"/>
        <w:numPr>
          <w:ilvl w:val="0"/>
          <w:numId w:val="5"/>
        </w:numPr>
        <w:rPr>
          <w:rFonts w:ascii="Times New Roman" w:hAnsi="Times New Roman" w:cs="Times New Roman"/>
          <w:color w:val="auto"/>
          <w:lang w:eastAsia="zh-CN"/>
        </w:rPr>
      </w:pPr>
      <w:bookmarkStart w:id="0" w:name="_Ref20173"/>
      <w:r w:rsidRPr="00D778D7">
        <w:rPr>
          <w:rFonts w:ascii="Times New Roman" w:hAnsi="Times New Roman" w:cs="Times New Roman"/>
          <w:color w:val="auto"/>
          <w:lang w:eastAsia="zh-CN"/>
        </w:rPr>
        <w:t xml:space="preserve">RP-251933; </w:t>
      </w:r>
      <w:r w:rsidR="00FB2A7D" w:rsidRPr="00D778D7">
        <w:rPr>
          <w:rFonts w:ascii="Times New Roman" w:hAnsi="Times New Roman" w:cs="Times New Roman"/>
          <w:color w:val="auto"/>
          <w:lang w:eastAsia="zh-CN"/>
        </w:rPr>
        <w:t>Study on GNSS (Global Navigation Satellite System) resilient NR-NTN (Non-Terrestrial Networks) operation</w:t>
      </w:r>
    </w:p>
    <w:p w14:paraId="580DCDD3" w14:textId="37A2B1AF" w:rsidR="005D20F1" w:rsidRPr="00D778D7" w:rsidRDefault="00B619A2" w:rsidP="005D20F1">
      <w:pPr>
        <w:pStyle w:val="BodyText"/>
        <w:numPr>
          <w:ilvl w:val="0"/>
          <w:numId w:val="5"/>
        </w:numPr>
        <w:jc w:val="both"/>
        <w:rPr>
          <w:rFonts w:ascii="Times New Roman" w:hAnsi="Times New Roman" w:cs="Times New Roman"/>
          <w:color w:val="auto"/>
          <w:lang w:eastAsia="zh-CN"/>
        </w:rPr>
      </w:pPr>
      <w:r w:rsidRPr="00D778D7">
        <w:rPr>
          <w:rFonts w:ascii="Times New Roman" w:hAnsi="Times New Roman" w:cs="Times New Roman"/>
          <w:color w:val="auto"/>
          <w:lang w:eastAsia="zh-CN"/>
        </w:rPr>
        <w:t>R</w:t>
      </w:r>
      <w:r w:rsidR="008D2A8D" w:rsidRPr="00D778D7">
        <w:rPr>
          <w:rFonts w:ascii="Times New Roman" w:hAnsi="Times New Roman" w:cs="Times New Roman"/>
          <w:color w:val="auto"/>
          <w:lang w:eastAsia="zh-CN"/>
        </w:rPr>
        <w:t>1</w:t>
      </w:r>
      <w:r w:rsidRPr="00D778D7">
        <w:rPr>
          <w:rFonts w:ascii="Times New Roman" w:hAnsi="Times New Roman" w:cs="Times New Roman"/>
          <w:color w:val="auto"/>
          <w:lang w:eastAsia="zh-CN"/>
        </w:rPr>
        <w:t>-25</w:t>
      </w:r>
      <w:r w:rsidR="008D2A8D" w:rsidRPr="00D778D7">
        <w:rPr>
          <w:rFonts w:ascii="Times New Roman" w:hAnsi="Times New Roman" w:cs="Times New Roman"/>
          <w:color w:val="auto"/>
          <w:lang w:eastAsia="zh-CN"/>
        </w:rPr>
        <w:t>08178</w:t>
      </w:r>
      <w:r w:rsidRPr="00D778D7">
        <w:rPr>
          <w:rFonts w:ascii="Times New Roman" w:hAnsi="Times New Roman" w:cs="Times New Roman"/>
          <w:color w:val="auto"/>
          <w:lang w:eastAsia="zh-CN"/>
        </w:rPr>
        <w:t xml:space="preserve">; </w:t>
      </w:r>
      <w:r w:rsidR="009B455C" w:rsidRPr="00D778D7">
        <w:rPr>
          <w:rFonts w:ascii="Times New Roman" w:hAnsi="Times New Roman" w:cs="Times New Roman"/>
          <w:color w:val="auto"/>
          <w:lang w:eastAsia="zh-CN"/>
        </w:rPr>
        <w:t>FL Summary #5 - NR-NTN GNSS resilience</w:t>
      </w:r>
      <w:bookmarkEnd w:id="0"/>
      <w:r w:rsidR="001C3A3D" w:rsidRPr="00D778D7">
        <w:rPr>
          <w:rFonts w:ascii="Times New Roman" w:hAnsi="Times New Roman" w:cs="Times New Roman"/>
          <w:color w:val="auto"/>
          <w:lang w:eastAsia="zh-CN"/>
        </w:rPr>
        <w:t>, RAN1#122bis</w:t>
      </w:r>
    </w:p>
    <w:p w14:paraId="40C15A9A" w14:textId="3C241715" w:rsidR="00EF29BE" w:rsidRPr="00D778D7" w:rsidRDefault="004A19C4" w:rsidP="00782D2A">
      <w:pPr>
        <w:pStyle w:val="BodyText"/>
        <w:numPr>
          <w:ilvl w:val="0"/>
          <w:numId w:val="5"/>
        </w:numPr>
        <w:jc w:val="both"/>
        <w:rPr>
          <w:rFonts w:ascii="Times New Roman" w:hAnsi="Times New Roman" w:cs="Times New Roman"/>
          <w:color w:val="auto"/>
          <w:lang w:eastAsia="zh-CN"/>
        </w:rPr>
      </w:pPr>
      <w:r w:rsidRPr="00D778D7">
        <w:rPr>
          <w:rFonts w:ascii="Times New Roman" w:hAnsi="Times New Roman" w:cs="Times New Roman"/>
          <w:color w:val="auto"/>
          <w:lang w:eastAsia="zh-CN"/>
        </w:rPr>
        <w:t>W. Wang et al, Location-based timing advance estimation for 5G integrated LEO satellite communications</w:t>
      </w:r>
      <w:r w:rsidR="006C6709" w:rsidRPr="00D778D7">
        <w:rPr>
          <w:rFonts w:ascii="Times New Roman" w:hAnsi="Times New Roman" w:cs="Times New Roman"/>
          <w:color w:val="auto"/>
          <w:lang w:eastAsia="zh-CN"/>
        </w:rPr>
        <w:t>, IEEE Transactions on Vehicular Technology 70(6), 6002-6017</w:t>
      </w:r>
    </w:p>
    <w:sectPr w:rsidR="00EF29BE" w:rsidRPr="00D778D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97EFC9" w14:textId="77777777" w:rsidR="00971C7B" w:rsidRDefault="00971C7B">
      <w:r>
        <w:separator/>
      </w:r>
    </w:p>
  </w:endnote>
  <w:endnote w:type="continuationSeparator" w:id="0">
    <w:p w14:paraId="3362858C" w14:textId="77777777" w:rsidR="00971C7B" w:rsidRDefault="00971C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stem Font Regular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815005" w14:textId="77777777" w:rsidR="00971C7B" w:rsidRDefault="00971C7B">
      <w:r>
        <w:separator/>
      </w:r>
    </w:p>
  </w:footnote>
  <w:footnote w:type="continuationSeparator" w:id="0">
    <w:p w14:paraId="2C90044B" w14:textId="77777777" w:rsidR="00971C7B" w:rsidRDefault="00971C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665D8"/>
    <w:multiLevelType w:val="hybridMultilevel"/>
    <w:tmpl w:val="A2A89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B981C5F"/>
    <w:multiLevelType w:val="multilevel"/>
    <w:tmpl w:val="18A6EC2C"/>
    <w:lvl w:ilvl="0">
      <w:start w:val="1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6616B48"/>
    <w:multiLevelType w:val="hybridMultilevel"/>
    <w:tmpl w:val="EE9EAA2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50B7309"/>
    <w:multiLevelType w:val="hybridMultilevel"/>
    <w:tmpl w:val="D188F4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99D297B"/>
    <w:multiLevelType w:val="hybridMultilevel"/>
    <w:tmpl w:val="F77AA0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08270C"/>
    <w:multiLevelType w:val="hybridMultilevel"/>
    <w:tmpl w:val="D954EB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4D87BB2"/>
    <w:multiLevelType w:val="multilevel"/>
    <w:tmpl w:val="49DCC9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677963F5"/>
    <w:multiLevelType w:val="multilevel"/>
    <w:tmpl w:val="677963F5"/>
    <w:lvl w:ilvl="0">
      <w:start w:val="1"/>
      <w:numFmt w:val="bullet"/>
      <w:lvlText w:val="-"/>
      <w:lvlJc w:val="left"/>
      <w:pPr>
        <w:tabs>
          <w:tab w:val="left" w:pos="0"/>
        </w:tabs>
        <w:ind w:left="36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8967A1"/>
    <w:multiLevelType w:val="hybridMultilevel"/>
    <w:tmpl w:val="D1EA86F2"/>
    <w:lvl w:ilvl="0" w:tplc="6D2243DE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</w:rPr>
    </w:lvl>
    <w:lvl w:ilvl="1" w:tplc="03E0F660"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841228E8"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System Font Regular" w:hAnsi="System Font Regular" w:hint="default"/>
      </w:rPr>
    </w:lvl>
    <w:lvl w:ilvl="3" w:tplc="CFFC9BF2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Verdana" w:hAnsi="Verdana" w:hint="default"/>
      </w:rPr>
    </w:lvl>
    <w:lvl w:ilvl="4" w:tplc="22FA31DE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Verdana" w:hAnsi="Verdana" w:hint="default"/>
      </w:rPr>
    </w:lvl>
    <w:lvl w:ilvl="5" w:tplc="8F86AD2A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Verdana" w:hAnsi="Verdana" w:hint="default"/>
      </w:rPr>
    </w:lvl>
    <w:lvl w:ilvl="6" w:tplc="BB449C32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Verdana" w:hAnsi="Verdana" w:hint="default"/>
      </w:rPr>
    </w:lvl>
    <w:lvl w:ilvl="7" w:tplc="CC4E85F8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Verdana" w:hAnsi="Verdana" w:hint="default"/>
      </w:rPr>
    </w:lvl>
    <w:lvl w:ilvl="8" w:tplc="104EBF58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Verdana" w:hAnsi="Verdana" w:hint="default"/>
      </w:rPr>
    </w:lvl>
  </w:abstractNum>
  <w:abstractNum w:abstractNumId="14" w15:restartNumberingAfterBreak="0">
    <w:nsid w:val="791B6612"/>
    <w:multiLevelType w:val="multilevel"/>
    <w:tmpl w:val="791B6612"/>
    <w:lvl w:ilvl="0">
      <w:start w:val="1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 w16cid:durableId="648480257">
    <w:abstractNumId w:val="9"/>
  </w:num>
  <w:num w:numId="2" w16cid:durableId="88015223">
    <w:abstractNumId w:val="6"/>
  </w:num>
  <w:num w:numId="3" w16cid:durableId="1702977252">
    <w:abstractNumId w:val="4"/>
  </w:num>
  <w:num w:numId="4" w16cid:durableId="259266585">
    <w:abstractNumId w:val="1"/>
  </w:num>
  <w:num w:numId="5" w16cid:durableId="46481249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70950857">
    <w:abstractNumId w:val="12"/>
  </w:num>
  <w:num w:numId="7" w16cid:durableId="1687904234">
    <w:abstractNumId w:val="7"/>
  </w:num>
  <w:num w:numId="8" w16cid:durableId="754129303">
    <w:abstractNumId w:val="5"/>
  </w:num>
  <w:num w:numId="9" w16cid:durableId="356783227">
    <w:abstractNumId w:val="13"/>
  </w:num>
  <w:num w:numId="10" w16cid:durableId="1065908045">
    <w:abstractNumId w:val="0"/>
  </w:num>
  <w:num w:numId="11" w16cid:durableId="1882396269">
    <w:abstractNumId w:val="8"/>
  </w:num>
  <w:num w:numId="12" w16cid:durableId="384988101">
    <w:abstractNumId w:val="14"/>
  </w:num>
  <w:num w:numId="13" w16cid:durableId="1781342009">
    <w:abstractNumId w:val="2"/>
  </w:num>
  <w:num w:numId="14" w16cid:durableId="1764715347">
    <w:abstractNumId w:val="11"/>
  </w:num>
  <w:num w:numId="15" w16cid:durableId="1034888429">
    <w:abstractNumId w:val="10"/>
  </w:num>
  <w:num w:numId="16" w16cid:durableId="13025147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1F7"/>
    <w:rsid w:val="00003902"/>
    <w:rsid w:val="000067E2"/>
    <w:rsid w:val="00025985"/>
    <w:rsid w:val="00061D15"/>
    <w:rsid w:val="000651D9"/>
    <w:rsid w:val="00070B80"/>
    <w:rsid w:val="00075512"/>
    <w:rsid w:val="000877D9"/>
    <w:rsid w:val="0009073B"/>
    <w:rsid w:val="000C215A"/>
    <w:rsid w:val="000E6D8A"/>
    <w:rsid w:val="000F077F"/>
    <w:rsid w:val="000F671A"/>
    <w:rsid w:val="001033AF"/>
    <w:rsid w:val="0012114D"/>
    <w:rsid w:val="00121909"/>
    <w:rsid w:val="00143C75"/>
    <w:rsid w:val="0015534A"/>
    <w:rsid w:val="001559E2"/>
    <w:rsid w:val="00157BDF"/>
    <w:rsid w:val="00192720"/>
    <w:rsid w:val="001953B3"/>
    <w:rsid w:val="0019652D"/>
    <w:rsid w:val="001C3A3D"/>
    <w:rsid w:val="001C4E59"/>
    <w:rsid w:val="002178B6"/>
    <w:rsid w:val="00235F49"/>
    <w:rsid w:val="00253F37"/>
    <w:rsid w:val="00256895"/>
    <w:rsid w:val="0026214B"/>
    <w:rsid w:val="0028530F"/>
    <w:rsid w:val="00287BC2"/>
    <w:rsid w:val="002C188A"/>
    <w:rsid w:val="002C55BB"/>
    <w:rsid w:val="002D08B0"/>
    <w:rsid w:val="002E3B2C"/>
    <w:rsid w:val="003048F5"/>
    <w:rsid w:val="003049F7"/>
    <w:rsid w:val="0031789A"/>
    <w:rsid w:val="00352199"/>
    <w:rsid w:val="00366710"/>
    <w:rsid w:val="00367BCF"/>
    <w:rsid w:val="003707FD"/>
    <w:rsid w:val="003B1756"/>
    <w:rsid w:val="003C1F6C"/>
    <w:rsid w:val="003C7F31"/>
    <w:rsid w:val="003D1BFE"/>
    <w:rsid w:val="003D4DA5"/>
    <w:rsid w:val="003E53B2"/>
    <w:rsid w:val="003F2375"/>
    <w:rsid w:val="0040006D"/>
    <w:rsid w:val="00401266"/>
    <w:rsid w:val="00402266"/>
    <w:rsid w:val="00406D23"/>
    <w:rsid w:val="004071DB"/>
    <w:rsid w:val="0043198B"/>
    <w:rsid w:val="0043332F"/>
    <w:rsid w:val="004606CD"/>
    <w:rsid w:val="004607C3"/>
    <w:rsid w:val="0046648E"/>
    <w:rsid w:val="00470240"/>
    <w:rsid w:val="00477723"/>
    <w:rsid w:val="00490074"/>
    <w:rsid w:val="004A19C4"/>
    <w:rsid w:val="004B6233"/>
    <w:rsid w:val="004B62D6"/>
    <w:rsid w:val="004D0D2A"/>
    <w:rsid w:val="004D6697"/>
    <w:rsid w:val="004E6375"/>
    <w:rsid w:val="004F0918"/>
    <w:rsid w:val="004F3ED1"/>
    <w:rsid w:val="004F62E2"/>
    <w:rsid w:val="00524390"/>
    <w:rsid w:val="00526360"/>
    <w:rsid w:val="0055781D"/>
    <w:rsid w:val="0056288F"/>
    <w:rsid w:val="005651DF"/>
    <w:rsid w:val="005816C5"/>
    <w:rsid w:val="005B449B"/>
    <w:rsid w:val="005C58ED"/>
    <w:rsid w:val="005D20F1"/>
    <w:rsid w:val="005F5440"/>
    <w:rsid w:val="0062212E"/>
    <w:rsid w:val="00645BAA"/>
    <w:rsid w:val="006570D7"/>
    <w:rsid w:val="00657C89"/>
    <w:rsid w:val="00665C20"/>
    <w:rsid w:val="006A0CA0"/>
    <w:rsid w:val="006B5BCB"/>
    <w:rsid w:val="006C0E38"/>
    <w:rsid w:val="006C2DE3"/>
    <w:rsid w:val="006C6709"/>
    <w:rsid w:val="006D1FB1"/>
    <w:rsid w:val="006F0D3A"/>
    <w:rsid w:val="006F28C1"/>
    <w:rsid w:val="0072633E"/>
    <w:rsid w:val="00742E36"/>
    <w:rsid w:val="0075663C"/>
    <w:rsid w:val="00764411"/>
    <w:rsid w:val="00782D2A"/>
    <w:rsid w:val="0078571A"/>
    <w:rsid w:val="00794A2E"/>
    <w:rsid w:val="0079585F"/>
    <w:rsid w:val="007A091C"/>
    <w:rsid w:val="007A2738"/>
    <w:rsid w:val="007B3CB8"/>
    <w:rsid w:val="007B7D29"/>
    <w:rsid w:val="007C299F"/>
    <w:rsid w:val="007C3F0A"/>
    <w:rsid w:val="007E2331"/>
    <w:rsid w:val="007F31A9"/>
    <w:rsid w:val="0080468C"/>
    <w:rsid w:val="00815B89"/>
    <w:rsid w:val="0083694D"/>
    <w:rsid w:val="00840316"/>
    <w:rsid w:val="00881AE5"/>
    <w:rsid w:val="008932F0"/>
    <w:rsid w:val="008961CE"/>
    <w:rsid w:val="008B4BA3"/>
    <w:rsid w:val="008B51E1"/>
    <w:rsid w:val="008C41FE"/>
    <w:rsid w:val="008C705D"/>
    <w:rsid w:val="008D2A8D"/>
    <w:rsid w:val="008F7DFC"/>
    <w:rsid w:val="00917F06"/>
    <w:rsid w:val="0092209D"/>
    <w:rsid w:val="00956A3A"/>
    <w:rsid w:val="009647A7"/>
    <w:rsid w:val="00967096"/>
    <w:rsid w:val="00970C5B"/>
    <w:rsid w:val="00971C7B"/>
    <w:rsid w:val="009B455C"/>
    <w:rsid w:val="009C42EA"/>
    <w:rsid w:val="00A125F5"/>
    <w:rsid w:val="00A25B3B"/>
    <w:rsid w:val="00A361F7"/>
    <w:rsid w:val="00A37356"/>
    <w:rsid w:val="00A57AD5"/>
    <w:rsid w:val="00A7411A"/>
    <w:rsid w:val="00B00D6E"/>
    <w:rsid w:val="00B04AFC"/>
    <w:rsid w:val="00B2016B"/>
    <w:rsid w:val="00B355D4"/>
    <w:rsid w:val="00B511A0"/>
    <w:rsid w:val="00B619A2"/>
    <w:rsid w:val="00BD5724"/>
    <w:rsid w:val="00BD578C"/>
    <w:rsid w:val="00C15666"/>
    <w:rsid w:val="00C238F6"/>
    <w:rsid w:val="00C50EFD"/>
    <w:rsid w:val="00C7263E"/>
    <w:rsid w:val="00C74EA2"/>
    <w:rsid w:val="00C819FD"/>
    <w:rsid w:val="00C93EEA"/>
    <w:rsid w:val="00CB6BA2"/>
    <w:rsid w:val="00CC061D"/>
    <w:rsid w:val="00CD6BFA"/>
    <w:rsid w:val="00CF17DE"/>
    <w:rsid w:val="00CF28BB"/>
    <w:rsid w:val="00D009E0"/>
    <w:rsid w:val="00D62958"/>
    <w:rsid w:val="00D64AF6"/>
    <w:rsid w:val="00D745F8"/>
    <w:rsid w:val="00D76916"/>
    <w:rsid w:val="00D778D7"/>
    <w:rsid w:val="00D77BCF"/>
    <w:rsid w:val="00D9090C"/>
    <w:rsid w:val="00DB0B15"/>
    <w:rsid w:val="00DB3DA4"/>
    <w:rsid w:val="00DC5773"/>
    <w:rsid w:val="00DC7684"/>
    <w:rsid w:val="00DD16AB"/>
    <w:rsid w:val="00E04D83"/>
    <w:rsid w:val="00E17DA1"/>
    <w:rsid w:val="00E21E80"/>
    <w:rsid w:val="00E347B3"/>
    <w:rsid w:val="00E40087"/>
    <w:rsid w:val="00E4103B"/>
    <w:rsid w:val="00E4737C"/>
    <w:rsid w:val="00E5006A"/>
    <w:rsid w:val="00E626B8"/>
    <w:rsid w:val="00E76847"/>
    <w:rsid w:val="00E920B9"/>
    <w:rsid w:val="00E96D4D"/>
    <w:rsid w:val="00EB3500"/>
    <w:rsid w:val="00ED0FB2"/>
    <w:rsid w:val="00EF29BE"/>
    <w:rsid w:val="00EF63E3"/>
    <w:rsid w:val="00EF70FC"/>
    <w:rsid w:val="00F10DF9"/>
    <w:rsid w:val="00F24F91"/>
    <w:rsid w:val="00F3024A"/>
    <w:rsid w:val="00F52782"/>
    <w:rsid w:val="00F61F4F"/>
    <w:rsid w:val="00F84E2D"/>
    <w:rsid w:val="00F84E9B"/>
    <w:rsid w:val="00F85A80"/>
    <w:rsid w:val="00FA3622"/>
    <w:rsid w:val="00FB2A7D"/>
    <w:rsid w:val="00FB39FF"/>
    <w:rsid w:val="00FE63B9"/>
    <w:rsid w:val="00FE67B2"/>
    <w:rsid w:val="00FF2E20"/>
    <w:rsid w:val="00FF357C"/>
    <w:rsid w:val="0C5DAE74"/>
    <w:rsid w:val="513B22D2"/>
    <w:rsid w:val="5378E771"/>
    <w:rsid w:val="74EA9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21646B4"/>
  <w15:chartTrackingRefBased/>
  <w15:docId w15:val="{E20CBA67-59BB-4D1A-AC17-830C18DB2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B355D4"/>
    <w:pPr>
      <w:spacing w:before="6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B355D4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B355D4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B355D4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B355D4"/>
    <w:pPr>
      <w:numPr>
        <w:numId w:val="6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aption">
    <w:name w:val="caption"/>
    <w:basedOn w:val="Normal"/>
    <w:next w:val="Normal"/>
    <w:link w:val="CaptionChar"/>
    <w:uiPriority w:val="35"/>
    <w:qFormat/>
    <w:rsid w:val="00CD6BFA"/>
    <w:pPr>
      <w:spacing w:before="120" w:after="120"/>
    </w:pPr>
    <w:rPr>
      <w:b/>
      <w:bCs/>
      <w:lang w:val="en-US"/>
    </w:rPr>
  </w:style>
  <w:style w:type="table" w:styleId="TableGrid">
    <w:name w:val="Table Grid"/>
    <w:basedOn w:val="TableNormal"/>
    <w:uiPriority w:val="99"/>
    <w:qFormat/>
    <w:rsid w:val="00CD6BFA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link w:val="Caption"/>
    <w:uiPriority w:val="35"/>
    <w:qFormat/>
    <w:rsid w:val="00CD6BFA"/>
    <w:rPr>
      <w:b/>
      <w:bCs/>
    </w:rPr>
  </w:style>
  <w:style w:type="paragraph" w:styleId="Revision">
    <w:name w:val="Revision"/>
    <w:hidden/>
    <w:uiPriority w:val="99"/>
    <w:semiHidden/>
    <w:rsid w:val="000F077F"/>
    <w:rPr>
      <w:lang w:val="en-GB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19652D"/>
    <w:rPr>
      <w:rFonts w:eastAsia="MS Gothic"/>
      <w:sz w:val="24"/>
      <w:szCs w:val="24"/>
      <w:lang w:val="en-GB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목록 단"/>
    <w:basedOn w:val="Normal"/>
    <w:link w:val="ListParagraphChar"/>
    <w:uiPriority w:val="34"/>
    <w:qFormat/>
    <w:rsid w:val="0019652D"/>
    <w:pPr>
      <w:suppressAutoHyphens/>
      <w:spacing w:before="120" w:after="120"/>
      <w:ind w:left="840"/>
      <w:jc w:val="both"/>
    </w:pPr>
    <w:rPr>
      <w:rFonts w:eastAsia="MS Gothi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05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519070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41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51852">
          <w:marLeft w:val="1080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13824">
          <w:marLeft w:val="1080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80262">
          <w:marLeft w:val="1080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668184">
          <w:marLeft w:val="1080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16927">
          <w:marLeft w:val="1080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86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5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0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73DCB3EAB6744E8B59C8861C1C17B0" ma:contentTypeVersion="3" ma:contentTypeDescription="Create a new document." ma:contentTypeScope="" ma:versionID="2a9efb9854db1e7a5b6d22fd4d7bbb94">
  <xsd:schema xmlns:xsd="http://www.w3.org/2001/XMLSchema" xmlns:xs="http://www.w3.org/2001/XMLSchema" xmlns:p="http://schemas.microsoft.com/office/2006/metadata/properties" xmlns:ns2="a6b4c727-c9ee-4551-808f-f60803fab9c0" targetNamespace="http://schemas.microsoft.com/office/2006/metadata/properties" ma:root="true" ma:fieldsID="e6ce6d9d082be488998552dc84e98468" ns2:_="">
    <xsd:import namespace="a6b4c727-c9ee-4551-808f-f60803fab9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b4c727-c9ee-4551-808f-f60803fa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97A4370-1D67-449A-91F0-6C470DD53E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B2179F-2AAA-47A8-9404-18A38FE060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b4c727-c9ee-4551-808f-f60803fab9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C4BD10-5FC8-4266-8065-435EA87D211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1147</Words>
  <Characters>6540</Characters>
  <Application>Microsoft Office Word</Application>
  <DocSecurity>0</DocSecurity>
  <Lines>54</Lines>
  <Paragraphs>15</Paragraphs>
  <ScaleCrop>false</ScaleCrop>
  <Company>ETSI Sophia Antipolis</Company>
  <LinksUpToDate>false</LinksUpToDate>
  <CharactersWithSpaces>7672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Viasat</dc:creator>
  <cp:keywords/>
  <dc:description/>
  <cp:lastModifiedBy>Chakraborty, Kaushik</cp:lastModifiedBy>
  <cp:revision>2</cp:revision>
  <cp:lastPrinted>2002-04-23T16:10:00Z</cp:lastPrinted>
  <dcterms:created xsi:type="dcterms:W3CDTF">2025-11-07T00:48:00Z</dcterms:created>
  <dcterms:modified xsi:type="dcterms:W3CDTF">2025-11-07T00:48:00Z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0x0101002673DCB3EAB6744E8B59C8861C1C17B0</vt:lpwstr>
  </property>
</Properties>
</file>