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41A18" w14:textId="597BD16F" w:rsidR="004607C3" w:rsidRDefault="004607C3">
      <w:pPr>
        <w:pStyle w:val="Header"/>
        <w:tabs>
          <w:tab w:val="clear" w:pos="8306"/>
          <w:tab w:val="right" w:pos="7088"/>
          <w:tab w:val="right" w:pos="9781"/>
        </w:tabs>
        <w:rPr>
          <w:rFonts w:ascii="Arial" w:hAnsi="Arial" w:cs="Arial"/>
          <w:b/>
          <w:bCs/>
          <w:sz w:val="22"/>
        </w:rPr>
      </w:pPr>
      <w:r>
        <w:rPr>
          <w:rFonts w:ascii="Arial" w:hAnsi="Arial" w:cs="Arial"/>
          <w:b/>
          <w:bCs/>
          <w:sz w:val="22"/>
        </w:rPr>
        <w:t>3GPP TSG</w:t>
      </w:r>
      <w:r w:rsidR="007B3CB8">
        <w:rPr>
          <w:rFonts w:ascii="Arial" w:hAnsi="Arial" w:cs="Arial"/>
          <w:b/>
          <w:bCs/>
          <w:sz w:val="22"/>
        </w:rPr>
        <w:t xml:space="preserve"> RAN WG1</w:t>
      </w:r>
      <w:r>
        <w:rPr>
          <w:rFonts w:ascii="Arial" w:hAnsi="Arial" w:cs="Arial"/>
          <w:b/>
          <w:bCs/>
          <w:sz w:val="22"/>
        </w:rPr>
        <w:t xml:space="preserve"> #</w:t>
      </w:r>
      <w:r w:rsidR="007B3CB8">
        <w:rPr>
          <w:rFonts w:ascii="Arial" w:hAnsi="Arial" w:cs="Arial"/>
          <w:b/>
          <w:bCs/>
          <w:sz w:val="22"/>
        </w:rPr>
        <w:t>122</w:t>
      </w:r>
      <w:r>
        <w:rPr>
          <w:rFonts w:ascii="Arial" w:hAnsi="Arial" w:cs="Arial"/>
          <w:b/>
          <w:bCs/>
          <w:sz w:val="22"/>
        </w:rPr>
        <w:tab/>
      </w:r>
      <w:r>
        <w:rPr>
          <w:rFonts w:ascii="Arial" w:hAnsi="Arial" w:cs="Arial"/>
          <w:b/>
          <w:bCs/>
          <w:sz w:val="22"/>
        </w:rPr>
        <w:tab/>
      </w:r>
      <w:r>
        <w:rPr>
          <w:rFonts w:ascii="Arial" w:hAnsi="Arial" w:cs="Arial"/>
          <w:b/>
          <w:bCs/>
          <w:sz w:val="22"/>
        </w:rPr>
        <w:tab/>
      </w:r>
      <w:r w:rsidR="00AD4450" w:rsidRPr="00AD4450">
        <w:rPr>
          <w:rFonts w:ascii="Arial" w:hAnsi="Arial" w:cs="Arial"/>
          <w:b/>
          <w:bCs/>
          <w:sz w:val="22"/>
        </w:rPr>
        <w:t>R1-2506385</w:t>
      </w:r>
    </w:p>
    <w:p w14:paraId="058A0D66" w14:textId="77777777" w:rsidR="004607C3" w:rsidRDefault="007B3CB8">
      <w:pPr>
        <w:rPr>
          <w:rFonts w:ascii="Arial" w:hAnsi="Arial" w:cs="Arial"/>
          <w:b/>
          <w:bCs/>
          <w:sz w:val="22"/>
        </w:rPr>
      </w:pPr>
      <w:proofErr w:type="gramStart"/>
      <w:r w:rsidRPr="007B3CB8">
        <w:rPr>
          <w:rFonts w:ascii="Arial" w:hAnsi="Arial" w:cs="Arial"/>
          <w:b/>
          <w:bCs/>
          <w:sz w:val="22"/>
        </w:rPr>
        <w:t>Bengaluru ,</w:t>
      </w:r>
      <w:proofErr w:type="gramEnd"/>
      <w:r w:rsidRPr="007B3CB8">
        <w:rPr>
          <w:rFonts w:ascii="Arial" w:hAnsi="Arial" w:cs="Arial"/>
          <w:b/>
          <w:bCs/>
          <w:sz w:val="22"/>
        </w:rPr>
        <w:t xml:space="preserve"> India, August 25th – 29th, 2025</w:t>
      </w:r>
    </w:p>
    <w:p w14:paraId="1C30AD24" w14:textId="77777777" w:rsidR="007B3CB8" w:rsidRDefault="007B3CB8">
      <w:pPr>
        <w:rPr>
          <w:rFonts w:ascii="Arial" w:hAnsi="Arial" w:cs="Arial"/>
        </w:rPr>
      </w:pPr>
    </w:p>
    <w:p w14:paraId="126F0291" w14:textId="77777777" w:rsidR="004607C3" w:rsidRPr="007B3CB8" w:rsidRDefault="005D20F1">
      <w:pPr>
        <w:spacing w:after="60"/>
        <w:ind w:left="1985" w:hanging="1985"/>
        <w:rPr>
          <w:rFonts w:ascii="Arial" w:hAnsi="Arial" w:cs="Arial"/>
          <w:b/>
        </w:rPr>
      </w:pPr>
      <w:r w:rsidRPr="007B3CB8">
        <w:rPr>
          <w:rFonts w:ascii="Arial" w:hAnsi="Arial" w:cs="Arial"/>
          <w:b/>
        </w:rPr>
        <w:t>Agenda item</w:t>
      </w:r>
      <w:r w:rsidR="004607C3" w:rsidRPr="007B3CB8">
        <w:rPr>
          <w:rFonts w:ascii="Arial" w:hAnsi="Arial" w:cs="Arial"/>
          <w:b/>
        </w:rPr>
        <w:t>:</w:t>
      </w:r>
      <w:r w:rsidR="004607C3" w:rsidRPr="007B3CB8">
        <w:rPr>
          <w:rFonts w:ascii="Arial" w:hAnsi="Arial" w:cs="Arial"/>
          <w:b/>
        </w:rPr>
        <w:tab/>
      </w:r>
      <w:r w:rsidR="007B3CB8" w:rsidRPr="007B3CB8">
        <w:rPr>
          <w:rFonts w:ascii="Arial" w:hAnsi="Arial" w:cs="Arial"/>
          <w:b/>
        </w:rPr>
        <w:t>10.6.1</w:t>
      </w:r>
    </w:p>
    <w:p w14:paraId="47C228E7" w14:textId="77777777" w:rsidR="005D20F1" w:rsidRPr="007B3CB8" w:rsidRDefault="005D20F1" w:rsidP="005D20F1">
      <w:pPr>
        <w:spacing w:after="60"/>
        <w:ind w:left="1985" w:hanging="1985"/>
        <w:rPr>
          <w:rFonts w:ascii="Arial" w:hAnsi="Arial" w:cs="Arial"/>
          <w:b/>
        </w:rPr>
      </w:pPr>
      <w:r w:rsidRPr="007B3CB8">
        <w:rPr>
          <w:rFonts w:ascii="Arial" w:hAnsi="Arial" w:cs="Arial"/>
          <w:b/>
        </w:rPr>
        <w:t>Title:</w:t>
      </w:r>
      <w:r w:rsidRPr="007B3CB8">
        <w:rPr>
          <w:rFonts w:ascii="Arial" w:hAnsi="Arial" w:cs="Arial"/>
          <w:b/>
        </w:rPr>
        <w:tab/>
      </w:r>
      <w:r w:rsidR="007B3CB8" w:rsidRPr="007B3CB8">
        <w:rPr>
          <w:rFonts w:ascii="Arial" w:hAnsi="Arial" w:cs="Arial"/>
          <w:b/>
        </w:rPr>
        <w:t>Discussion on NR-NTN GNSS resilience</w:t>
      </w:r>
    </w:p>
    <w:p w14:paraId="7EA7F08B" w14:textId="1D3F37F4" w:rsidR="004607C3" w:rsidRPr="007B3CB8" w:rsidRDefault="004607C3" w:rsidP="78EB2275">
      <w:pPr>
        <w:spacing w:after="60"/>
        <w:ind w:left="1985" w:hanging="1985"/>
        <w:rPr>
          <w:rFonts w:ascii="Arial" w:hAnsi="Arial" w:cs="Arial"/>
          <w:b/>
          <w:bCs/>
        </w:rPr>
      </w:pPr>
      <w:r w:rsidRPr="78EB2275">
        <w:rPr>
          <w:rFonts w:ascii="Arial" w:hAnsi="Arial" w:cs="Arial"/>
          <w:b/>
          <w:bCs/>
        </w:rPr>
        <w:t>Source:</w:t>
      </w:r>
      <w:r>
        <w:tab/>
      </w:r>
      <w:r w:rsidR="00453EFA" w:rsidRPr="00453EFA">
        <w:rPr>
          <w:rFonts w:ascii="Arial" w:hAnsi="Arial" w:cs="Arial"/>
          <w:b/>
          <w:bCs/>
        </w:rPr>
        <w:t>ViaSat Satellite Holdings Ltd, Inmarsat, Terrestar, Ligado, Space42, Thuraya</w:t>
      </w:r>
    </w:p>
    <w:p w14:paraId="0BC40168" w14:textId="77777777" w:rsidR="004607C3" w:rsidRPr="007B3CB8" w:rsidRDefault="005D20F1">
      <w:pPr>
        <w:spacing w:after="60"/>
        <w:ind w:left="1985" w:hanging="1985"/>
        <w:rPr>
          <w:rFonts w:ascii="Arial" w:hAnsi="Arial" w:cs="Arial"/>
          <w:b/>
        </w:rPr>
      </w:pPr>
      <w:r w:rsidRPr="007B3CB8">
        <w:rPr>
          <w:rFonts w:ascii="Arial" w:hAnsi="Arial" w:cs="Arial"/>
          <w:b/>
        </w:rPr>
        <w:t>Document for</w:t>
      </w:r>
      <w:r w:rsidR="004607C3" w:rsidRPr="007B3CB8">
        <w:rPr>
          <w:rFonts w:ascii="Arial" w:hAnsi="Arial" w:cs="Arial"/>
          <w:b/>
        </w:rPr>
        <w:t>:</w:t>
      </w:r>
      <w:r w:rsidR="004607C3" w:rsidRPr="007B3CB8">
        <w:rPr>
          <w:rFonts w:ascii="Arial" w:hAnsi="Arial" w:cs="Arial"/>
          <w:b/>
        </w:rPr>
        <w:tab/>
      </w:r>
      <w:r w:rsidR="007B3CB8" w:rsidRPr="007B3CB8">
        <w:rPr>
          <w:rFonts w:ascii="Arial" w:hAnsi="Arial" w:cs="Arial"/>
          <w:b/>
        </w:rPr>
        <w:t>Discussion and Decision</w:t>
      </w:r>
    </w:p>
    <w:p w14:paraId="79769E76" w14:textId="77777777" w:rsidR="004607C3" w:rsidRDefault="004607C3">
      <w:pPr>
        <w:pBdr>
          <w:bottom w:val="single" w:sz="4" w:space="1" w:color="auto"/>
        </w:pBdr>
        <w:rPr>
          <w:rFonts w:ascii="Arial" w:hAnsi="Arial" w:cs="Arial"/>
        </w:rPr>
      </w:pPr>
    </w:p>
    <w:p w14:paraId="56AA1119" w14:textId="77777777" w:rsidR="004607C3" w:rsidRDefault="004607C3">
      <w:pPr>
        <w:rPr>
          <w:rFonts w:ascii="Arial" w:hAnsi="Arial" w:cs="Arial"/>
        </w:rPr>
      </w:pPr>
    </w:p>
    <w:p w14:paraId="555ECC37" w14:textId="77777777" w:rsidR="004607C3" w:rsidRDefault="004607C3" w:rsidP="002178B6">
      <w:pPr>
        <w:pStyle w:val="Heading1"/>
      </w:pPr>
      <w:r>
        <w:t xml:space="preserve">1. </w:t>
      </w:r>
      <w:r w:rsidR="005D20F1">
        <w:t>Introduction</w:t>
      </w:r>
    </w:p>
    <w:p w14:paraId="30CD358B" w14:textId="77777777" w:rsidR="00B355D4" w:rsidRPr="002178B6" w:rsidRDefault="00B355D4" w:rsidP="00B355D4">
      <w:pPr>
        <w:rPr>
          <w:rFonts w:ascii="Arial" w:hAnsi="Arial" w:cs="Arial"/>
        </w:rPr>
      </w:pPr>
      <w:r w:rsidRPr="002178B6">
        <w:rPr>
          <w:rFonts w:ascii="Arial" w:hAnsi="Arial" w:cs="Arial"/>
        </w:rPr>
        <w:t>In RAN #108, a new SI on GNSS resilient NR-NTN operation [1] was approved for potential Rel-20 target release. The following objectives of Core part WI were specified:</w:t>
      </w:r>
    </w:p>
    <w:p w14:paraId="4B8BEDFC" w14:textId="77777777" w:rsidR="1B930A18" w:rsidRDefault="1B930A18" w:rsidP="1B930A18">
      <w:pPr>
        <w:rPr>
          <w:rFonts w:ascii="Arial" w:hAnsi="Arial" w:cs="Arial"/>
        </w:rPr>
      </w:pPr>
    </w:p>
    <w:p w14:paraId="5235CA3E" w14:textId="77777777" w:rsidR="00B355D4" w:rsidRDefault="00E347B3" w:rsidP="00B355D4">
      <w:pPr>
        <w:rPr>
          <w:rFonts w:ascii="Arial" w:hAnsi="Arial" w:cs="Arial"/>
          <w:color w:val="FF0000"/>
        </w:rPr>
      </w:pPr>
      <w:r>
        <w:rPr>
          <w:noProof/>
        </w:rPr>
        <mc:AlternateContent>
          <mc:Choice Requires="wps">
            <w:drawing>
              <wp:anchor distT="45720" distB="45720" distL="114300" distR="114300" simplePos="0" relativeHeight="251658240" behindDoc="0" locked="0" layoutInCell="1" allowOverlap="1" wp14:anchorId="792A6F02" wp14:editId="3EE0E63C">
                <wp:simplePos x="0" y="0"/>
                <wp:positionH relativeFrom="column">
                  <wp:posOffset>8890</wp:posOffset>
                </wp:positionH>
                <wp:positionV relativeFrom="paragraph">
                  <wp:posOffset>255270</wp:posOffset>
                </wp:positionV>
                <wp:extent cx="6249035" cy="3082290"/>
                <wp:effectExtent l="0" t="0" r="18415" b="22860"/>
                <wp:wrapSquare wrapText="bothSides"/>
                <wp:docPr id="7045445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9035" cy="3082290"/>
                        </a:xfrm>
                        <a:prstGeom prst="rect">
                          <a:avLst/>
                        </a:prstGeom>
                        <a:solidFill>
                          <a:srgbClr val="FFFFFF"/>
                        </a:solidFill>
                        <a:ln w="9525">
                          <a:solidFill>
                            <a:srgbClr val="000000"/>
                          </a:solidFill>
                          <a:miter lim="800000"/>
                          <a:headEnd/>
                          <a:tailEnd/>
                        </a:ln>
                      </wps:spPr>
                      <wps:txbx>
                        <w:txbxContent>
                          <w:p w14:paraId="40286C91" w14:textId="77777777" w:rsidR="00B355D4" w:rsidRPr="009B7099" w:rsidRDefault="00B355D4" w:rsidP="00B355D4">
                            <w:r w:rsidRPr="009B7099">
                              <w:t>The study will be carried assuming that</w:t>
                            </w:r>
                          </w:p>
                          <w:p w14:paraId="69D9DC6D" w14:textId="77777777" w:rsidR="00B355D4" w:rsidRPr="009B7099" w:rsidRDefault="00B355D4" w:rsidP="00B355D4">
                            <w:pPr>
                              <w:numPr>
                                <w:ilvl w:val="0"/>
                                <w:numId w:val="1"/>
                              </w:numPr>
                              <w:overflowPunct w:val="0"/>
                              <w:autoSpaceDE w:val="0"/>
                              <w:autoSpaceDN w:val="0"/>
                              <w:adjustRightInd w:val="0"/>
                              <w:spacing w:line="276" w:lineRule="auto"/>
                              <w:textAlignment w:val="baseline"/>
                              <w:rPr>
                                <w:szCs w:val="16"/>
                              </w:rPr>
                            </w:pPr>
                            <w:r w:rsidRPr="009B7099">
                              <w:rPr>
                                <w:szCs w:val="16"/>
                              </w:rPr>
                              <w:t xml:space="preserve">The GNSS information in UE with GNSS capability may be 1/ temporarily unavailable or 2/ available but </w:t>
                            </w:r>
                            <w:r w:rsidRPr="009B7099">
                              <w:rPr>
                                <w:rFonts w:hint="eastAsia"/>
                                <w:szCs w:val="16"/>
                              </w:rPr>
                              <w:t>with</w:t>
                            </w:r>
                            <w:r w:rsidRPr="009B7099">
                              <w:rPr>
                                <w:szCs w:val="16"/>
                              </w:rPr>
                              <w:t xml:space="preserve"> </w:t>
                            </w:r>
                            <w:r w:rsidRPr="009B7099">
                              <w:rPr>
                                <w:rFonts w:hint="eastAsia"/>
                                <w:szCs w:val="16"/>
                              </w:rPr>
                              <w:t xml:space="preserve">GNSS position accuracy </w:t>
                            </w:r>
                            <w:r w:rsidRPr="009B7099">
                              <w:rPr>
                                <w:szCs w:val="16"/>
                              </w:rPr>
                              <w:t>degradation or 3/ available but with increased GNSS measurement period for power saving purpose</w:t>
                            </w:r>
                          </w:p>
                          <w:p w14:paraId="65EA350F" w14:textId="77777777" w:rsidR="00B355D4" w:rsidRPr="009B7099" w:rsidRDefault="00B355D4" w:rsidP="00B355D4">
                            <w:pPr>
                              <w:numPr>
                                <w:ilvl w:val="1"/>
                                <w:numId w:val="2"/>
                              </w:numPr>
                              <w:overflowPunct w:val="0"/>
                              <w:autoSpaceDE w:val="0"/>
                              <w:autoSpaceDN w:val="0"/>
                              <w:adjustRightInd w:val="0"/>
                              <w:textAlignment w:val="baseline"/>
                            </w:pPr>
                            <w:r w:rsidRPr="009B7099">
                              <w:t>This study will initially focus on 1/ (where GNSS information is temporarily unavailable)</w:t>
                            </w:r>
                          </w:p>
                          <w:p w14:paraId="65027D21" w14:textId="77777777" w:rsidR="00B355D4" w:rsidRPr="00B355D4" w:rsidRDefault="00B355D4" w:rsidP="00B355D4">
                            <w:pPr>
                              <w:numPr>
                                <w:ilvl w:val="1"/>
                                <w:numId w:val="2"/>
                              </w:numPr>
                              <w:overflowPunct w:val="0"/>
                              <w:autoSpaceDE w:val="0"/>
                              <w:autoSpaceDN w:val="0"/>
                              <w:adjustRightInd w:val="0"/>
                              <w:textAlignment w:val="baseline"/>
                            </w:pPr>
                            <w:r w:rsidRPr="009B7099">
                              <w:t>Note: This study does not include any enhancement on positioning for the above scenario</w:t>
                            </w:r>
                          </w:p>
                          <w:p w14:paraId="2B873E6B" w14:textId="77777777" w:rsidR="00B355D4" w:rsidRDefault="00B355D4" w:rsidP="00B355D4"/>
                          <w:p w14:paraId="7E726A21" w14:textId="77777777" w:rsidR="00B355D4" w:rsidRPr="009B7099" w:rsidRDefault="00B355D4" w:rsidP="00B355D4">
                            <w:r w:rsidRPr="009B7099">
                              <w:t>Study GNSS resilient NR-NTN operation [RAN1, RAN4]</w:t>
                            </w:r>
                          </w:p>
                          <w:p w14:paraId="065E7D56" w14:textId="77777777" w:rsidR="00B355D4" w:rsidRPr="009B7099" w:rsidRDefault="00B355D4" w:rsidP="00B355D4">
                            <w:pPr>
                              <w:numPr>
                                <w:ilvl w:val="0"/>
                                <w:numId w:val="1"/>
                              </w:numPr>
                              <w:overflowPunct w:val="0"/>
                              <w:autoSpaceDE w:val="0"/>
                              <w:autoSpaceDN w:val="0"/>
                              <w:adjustRightInd w:val="0"/>
                              <w:spacing w:line="276" w:lineRule="auto"/>
                              <w:textAlignment w:val="baseline"/>
                              <w:rPr>
                                <w:szCs w:val="16"/>
                              </w:rPr>
                            </w:pPr>
                            <w:r w:rsidRPr="009B7099">
                              <w:rPr>
                                <w:szCs w:val="16"/>
                              </w:rPr>
                              <w:t xml:space="preserve">Assess impact on initial access and connected mode procedures for NR-NTN, including potential implications if any on RAN4 RRM specifications </w:t>
                            </w:r>
                          </w:p>
                          <w:p w14:paraId="71FAFDC4" w14:textId="77777777" w:rsidR="00B355D4" w:rsidRPr="009B7099" w:rsidRDefault="00B355D4" w:rsidP="00B355D4">
                            <w:pPr>
                              <w:numPr>
                                <w:ilvl w:val="1"/>
                                <w:numId w:val="2"/>
                              </w:numPr>
                              <w:overflowPunct w:val="0"/>
                              <w:autoSpaceDE w:val="0"/>
                              <w:autoSpaceDN w:val="0"/>
                              <w:adjustRightInd w:val="0"/>
                              <w:textAlignment w:val="baseline"/>
                            </w:pPr>
                            <w:r w:rsidRPr="009B7099">
                              <w:t xml:space="preserve">Aim to minimize physical layer procedures impact </w:t>
                            </w:r>
                          </w:p>
                          <w:p w14:paraId="44E64AE1" w14:textId="77777777" w:rsidR="00B355D4" w:rsidRPr="009B7099" w:rsidRDefault="00B355D4" w:rsidP="00B355D4">
                            <w:pPr>
                              <w:numPr>
                                <w:ilvl w:val="1"/>
                                <w:numId w:val="2"/>
                              </w:numPr>
                              <w:overflowPunct w:val="0"/>
                              <w:autoSpaceDE w:val="0"/>
                              <w:autoSpaceDN w:val="0"/>
                              <w:adjustRightInd w:val="0"/>
                              <w:textAlignment w:val="baseline"/>
                            </w:pPr>
                            <w:r w:rsidRPr="009B7099">
                              <w:t>Avoid physical layer channel/signal changes</w:t>
                            </w:r>
                          </w:p>
                          <w:p w14:paraId="51D36B2F" w14:textId="77777777" w:rsidR="00B355D4" w:rsidRPr="009B7099" w:rsidRDefault="00B355D4" w:rsidP="00B355D4">
                            <w:pPr>
                              <w:numPr>
                                <w:ilvl w:val="1"/>
                                <w:numId w:val="2"/>
                              </w:numPr>
                              <w:overflowPunct w:val="0"/>
                              <w:autoSpaceDE w:val="0"/>
                              <w:autoSpaceDN w:val="0"/>
                              <w:adjustRightInd w:val="0"/>
                              <w:textAlignment w:val="baseline"/>
                            </w:pPr>
                            <w:r w:rsidRPr="009B7099">
                              <w:t xml:space="preserve">Backward compatible issues with legacy NTN capable UEs will be assessed and should be prevented </w:t>
                            </w:r>
                          </w:p>
                          <w:p w14:paraId="36C3D4EC" w14:textId="77777777" w:rsidR="00B355D4" w:rsidRPr="009B7099" w:rsidRDefault="00B355D4" w:rsidP="00B355D4">
                            <w:pPr>
                              <w:numPr>
                                <w:ilvl w:val="1"/>
                                <w:numId w:val="2"/>
                              </w:numPr>
                              <w:overflowPunct w:val="0"/>
                              <w:autoSpaceDE w:val="0"/>
                              <w:autoSpaceDN w:val="0"/>
                              <w:adjustRightInd w:val="0"/>
                              <w:textAlignment w:val="baseline"/>
                            </w:pPr>
                            <w:r w:rsidRPr="009B7099">
                              <w:t>Applicable to NGSO and GSO constellations, NTN operating in below and in above 10 GHz frequency bands, transparent and regenerative satellites</w:t>
                            </w:r>
                          </w:p>
                          <w:p w14:paraId="11CC3C53" w14:textId="77777777" w:rsidR="00B355D4" w:rsidRPr="009B7099" w:rsidRDefault="00B355D4" w:rsidP="00B355D4">
                            <w:pPr>
                              <w:numPr>
                                <w:ilvl w:val="0"/>
                                <w:numId w:val="1"/>
                              </w:numPr>
                              <w:overflowPunct w:val="0"/>
                              <w:autoSpaceDE w:val="0"/>
                              <w:autoSpaceDN w:val="0"/>
                              <w:adjustRightInd w:val="0"/>
                              <w:spacing w:line="276" w:lineRule="auto"/>
                              <w:textAlignment w:val="baseline"/>
                              <w:rPr>
                                <w:szCs w:val="16"/>
                              </w:rPr>
                            </w:pPr>
                            <w:r w:rsidRPr="009B7099">
                              <w:rPr>
                                <w:szCs w:val="16"/>
                              </w:rPr>
                              <w:t>Check in RAN#112 (</w:t>
                            </w:r>
                            <w:proofErr w:type="gramStart"/>
                            <w:r w:rsidRPr="009B7099">
                              <w:rPr>
                                <w:szCs w:val="16"/>
                              </w:rPr>
                              <w:t>June,</w:t>
                            </w:r>
                            <w:proofErr w:type="gramEnd"/>
                            <w:r w:rsidRPr="009B7099">
                              <w:rPr>
                                <w:szCs w:val="16"/>
                              </w:rPr>
                              <w:t xml:space="preserve"> 2026) to decide whether to proceed with normative work, extend the study item, or postpone normative work to Release 21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92A6F02" id="_x0000_t202" coordsize="21600,21600" o:spt="202" path="m,l,21600r21600,l21600,xe">
                <v:stroke joinstyle="miter"/>
                <v:path gradientshapeok="t" o:connecttype="rect"/>
              </v:shapetype>
              <v:shape id="Text Box 2" o:spid="_x0000_s1026" type="#_x0000_t202" style="position:absolute;margin-left:.7pt;margin-top:20.1pt;width:492.05pt;height:242.7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">
                <v:textbox>
                  <w:txbxContent>
                    <w:p w14:paraId="40286C91" w14:textId="77777777" w:rsidR="00B355D4" w:rsidRPr="009B7099" w:rsidRDefault="00B355D4" w:rsidP="00B355D4">
                      <w:r w:rsidRPr="009B7099">
                        <w:t>The study will be carried assuming that</w:t>
                      </w:r>
                    </w:p>
                    <w:p w14:paraId="69D9DC6D" w14:textId="77777777" w:rsidR="00B355D4" w:rsidRPr="009B7099" w:rsidRDefault="00B355D4" w:rsidP="00B355D4">
                      <w:pPr>
                        <w:numPr>
                          <w:ilvl w:val="0"/>
                          <w:numId w:val="1"/>
                        </w:numPr>
                        <w:overflowPunct w:val="0"/>
                        <w:autoSpaceDE w:val="0"/>
                        <w:autoSpaceDN w:val="0"/>
                        <w:adjustRightInd w:val="0"/>
                        <w:spacing w:line="276" w:lineRule="auto"/>
                        <w:textAlignment w:val="baseline"/>
                        <w:rPr>
                          <w:szCs w:val="16"/>
                        </w:rPr>
                      </w:pPr>
                      <w:r w:rsidRPr="009B7099">
                        <w:rPr>
                          <w:szCs w:val="16"/>
                        </w:rPr>
                        <w:t xml:space="preserve">The GNSS information in UE with GNSS capability may be 1/ temporarily unavailable or 2/ available but </w:t>
                      </w:r>
                      <w:r w:rsidRPr="009B7099">
                        <w:rPr>
                          <w:rFonts w:hint="eastAsia"/>
                          <w:szCs w:val="16"/>
                        </w:rPr>
                        <w:t>with</w:t>
                      </w:r>
                      <w:r w:rsidRPr="009B7099">
                        <w:rPr>
                          <w:szCs w:val="16"/>
                        </w:rPr>
                        <w:t xml:space="preserve"> </w:t>
                      </w:r>
                      <w:r w:rsidRPr="009B7099">
                        <w:rPr>
                          <w:rFonts w:hint="eastAsia"/>
                          <w:szCs w:val="16"/>
                        </w:rPr>
                        <w:t xml:space="preserve">GNSS position accuracy </w:t>
                      </w:r>
                      <w:r w:rsidRPr="009B7099">
                        <w:rPr>
                          <w:szCs w:val="16"/>
                        </w:rPr>
                        <w:t>degradation or 3/ available but with increased GNSS measurement period for power saving purpose</w:t>
                      </w:r>
                    </w:p>
                    <w:p w14:paraId="65EA350F" w14:textId="77777777" w:rsidR="00B355D4" w:rsidRPr="009B7099" w:rsidRDefault="00B355D4" w:rsidP="00B355D4">
                      <w:pPr>
                        <w:numPr>
                          <w:ilvl w:val="1"/>
                          <w:numId w:val="2"/>
                        </w:numPr>
                        <w:overflowPunct w:val="0"/>
                        <w:autoSpaceDE w:val="0"/>
                        <w:autoSpaceDN w:val="0"/>
                        <w:adjustRightInd w:val="0"/>
                        <w:textAlignment w:val="baseline"/>
                      </w:pPr>
                      <w:r w:rsidRPr="009B7099">
                        <w:t>This study will initially focus on 1/ (where GNSS information is temporarily unavailable)</w:t>
                      </w:r>
                    </w:p>
                    <w:p w14:paraId="65027D21" w14:textId="77777777" w:rsidR="00B355D4" w:rsidRPr="00B355D4" w:rsidRDefault="00B355D4" w:rsidP="00B355D4">
                      <w:pPr>
                        <w:numPr>
                          <w:ilvl w:val="1"/>
                          <w:numId w:val="2"/>
                        </w:numPr>
                        <w:overflowPunct w:val="0"/>
                        <w:autoSpaceDE w:val="0"/>
                        <w:autoSpaceDN w:val="0"/>
                        <w:adjustRightInd w:val="0"/>
                        <w:textAlignment w:val="baseline"/>
                      </w:pPr>
                      <w:r w:rsidRPr="009B7099">
                        <w:t>Note: This study does not include any enhancement on positioning for the above scenario</w:t>
                      </w:r>
                    </w:p>
                    <w:p w14:paraId="2B873E6B" w14:textId="77777777" w:rsidR="00B355D4" w:rsidRDefault="00B355D4" w:rsidP="00B355D4"/>
                    <w:p w14:paraId="7E726A21" w14:textId="77777777" w:rsidR="00B355D4" w:rsidRPr="009B7099" w:rsidRDefault="00B355D4" w:rsidP="00B355D4">
                      <w:r w:rsidRPr="009B7099">
                        <w:t>Study GNSS resilient NR-NTN operation [RAN1, RAN4]</w:t>
                      </w:r>
                    </w:p>
                    <w:p w14:paraId="065E7D56" w14:textId="77777777" w:rsidR="00B355D4" w:rsidRPr="009B7099" w:rsidRDefault="00B355D4" w:rsidP="00B355D4">
                      <w:pPr>
                        <w:numPr>
                          <w:ilvl w:val="0"/>
                          <w:numId w:val="1"/>
                        </w:numPr>
                        <w:overflowPunct w:val="0"/>
                        <w:autoSpaceDE w:val="0"/>
                        <w:autoSpaceDN w:val="0"/>
                        <w:adjustRightInd w:val="0"/>
                        <w:spacing w:line="276" w:lineRule="auto"/>
                        <w:textAlignment w:val="baseline"/>
                        <w:rPr>
                          <w:szCs w:val="16"/>
                        </w:rPr>
                      </w:pPr>
                      <w:r w:rsidRPr="009B7099">
                        <w:rPr>
                          <w:szCs w:val="16"/>
                        </w:rPr>
                        <w:t xml:space="preserve">Assess impact on initial access and connected mode procedures for NR-NTN, including potential implications if any on RAN4 RRM specifications </w:t>
                      </w:r>
                    </w:p>
                    <w:p w14:paraId="71FAFDC4" w14:textId="77777777" w:rsidR="00B355D4" w:rsidRPr="009B7099" w:rsidRDefault="00B355D4" w:rsidP="00B355D4">
                      <w:pPr>
                        <w:numPr>
                          <w:ilvl w:val="1"/>
                          <w:numId w:val="2"/>
                        </w:numPr>
                        <w:overflowPunct w:val="0"/>
                        <w:autoSpaceDE w:val="0"/>
                        <w:autoSpaceDN w:val="0"/>
                        <w:adjustRightInd w:val="0"/>
                        <w:textAlignment w:val="baseline"/>
                      </w:pPr>
                      <w:r w:rsidRPr="009B7099">
                        <w:t xml:space="preserve">Aim to minimize physical layer procedures impact </w:t>
                      </w:r>
                    </w:p>
                    <w:p w14:paraId="44E64AE1" w14:textId="77777777" w:rsidR="00B355D4" w:rsidRPr="009B7099" w:rsidRDefault="00B355D4" w:rsidP="00B355D4">
                      <w:pPr>
                        <w:numPr>
                          <w:ilvl w:val="1"/>
                          <w:numId w:val="2"/>
                        </w:numPr>
                        <w:overflowPunct w:val="0"/>
                        <w:autoSpaceDE w:val="0"/>
                        <w:autoSpaceDN w:val="0"/>
                        <w:adjustRightInd w:val="0"/>
                        <w:textAlignment w:val="baseline"/>
                      </w:pPr>
                      <w:r w:rsidRPr="009B7099">
                        <w:t>Avoid physical layer channel/signal changes</w:t>
                      </w:r>
                    </w:p>
                    <w:p w14:paraId="51D36B2F" w14:textId="77777777" w:rsidR="00B355D4" w:rsidRPr="009B7099" w:rsidRDefault="00B355D4" w:rsidP="00B355D4">
                      <w:pPr>
                        <w:numPr>
                          <w:ilvl w:val="1"/>
                          <w:numId w:val="2"/>
                        </w:numPr>
                        <w:overflowPunct w:val="0"/>
                        <w:autoSpaceDE w:val="0"/>
                        <w:autoSpaceDN w:val="0"/>
                        <w:adjustRightInd w:val="0"/>
                        <w:textAlignment w:val="baseline"/>
                      </w:pPr>
                      <w:r w:rsidRPr="009B7099">
                        <w:t xml:space="preserve">Backward compatible issues with legacy NTN capable UEs will be assessed and should be prevented </w:t>
                      </w:r>
                    </w:p>
                    <w:p w14:paraId="36C3D4EC" w14:textId="77777777" w:rsidR="00B355D4" w:rsidRPr="009B7099" w:rsidRDefault="00B355D4" w:rsidP="00B355D4">
                      <w:pPr>
                        <w:numPr>
                          <w:ilvl w:val="1"/>
                          <w:numId w:val="2"/>
                        </w:numPr>
                        <w:overflowPunct w:val="0"/>
                        <w:autoSpaceDE w:val="0"/>
                        <w:autoSpaceDN w:val="0"/>
                        <w:adjustRightInd w:val="0"/>
                        <w:textAlignment w:val="baseline"/>
                      </w:pPr>
                      <w:r w:rsidRPr="009B7099">
                        <w:t>Applicable to NGSO and GSO constellations, NTN operating in below and in above 10 GHz frequency bands, transparent and regenerative satellites</w:t>
                      </w:r>
                    </w:p>
                    <w:p w14:paraId="11CC3C53" w14:textId="77777777" w:rsidR="00B355D4" w:rsidRPr="009B7099" w:rsidRDefault="00B355D4" w:rsidP="00B355D4">
                      <w:pPr>
                        <w:numPr>
                          <w:ilvl w:val="0"/>
                          <w:numId w:val="1"/>
                        </w:numPr>
                        <w:overflowPunct w:val="0"/>
                        <w:autoSpaceDE w:val="0"/>
                        <w:autoSpaceDN w:val="0"/>
                        <w:adjustRightInd w:val="0"/>
                        <w:spacing w:line="276" w:lineRule="auto"/>
                        <w:textAlignment w:val="baseline"/>
                        <w:rPr>
                          <w:szCs w:val="16"/>
                        </w:rPr>
                      </w:pPr>
                      <w:r w:rsidRPr="009B7099">
                        <w:rPr>
                          <w:szCs w:val="16"/>
                        </w:rPr>
                        <w:t>Check in RAN#112 (</w:t>
                      </w:r>
                      <w:proofErr w:type="gramStart"/>
                      <w:r w:rsidRPr="009B7099">
                        <w:rPr>
                          <w:szCs w:val="16"/>
                        </w:rPr>
                        <w:t>June,</w:t>
                      </w:r>
                      <w:proofErr w:type="gramEnd"/>
                      <w:r w:rsidRPr="009B7099">
                        <w:rPr>
                          <w:szCs w:val="16"/>
                        </w:rPr>
                        <w:t xml:space="preserve"> 2026) to decide whether to proceed with normative work, extend the study item, or postpone normative work to Release 21</w:t>
                      </w:r>
                    </w:p>
                  </w:txbxContent>
                </v:textbox>
                <w10:wrap type="square"/>
              </v:shape>
            </w:pict>
          </mc:Fallback>
        </mc:AlternateContent>
      </w:r>
    </w:p>
    <w:p w14:paraId="749C835D" w14:textId="77777777" w:rsidR="00CD6BFA" w:rsidRDefault="00CD6BFA" w:rsidP="00B355D4">
      <w:pPr>
        <w:pStyle w:val="Doc-title"/>
        <w:ind w:left="0" w:firstLine="0"/>
      </w:pPr>
    </w:p>
    <w:p w14:paraId="336874A2" w14:textId="77777777" w:rsidR="002178B6" w:rsidRDefault="002178B6" w:rsidP="00B355D4">
      <w:pPr>
        <w:pStyle w:val="Doc-title"/>
        <w:ind w:left="0" w:firstLine="0"/>
      </w:pPr>
      <w:r>
        <w:t>In this contribution, we expand on our prior proposals on this topic [2]:</w:t>
      </w:r>
    </w:p>
    <w:p w14:paraId="494F296B" w14:textId="77777777" w:rsidR="00B355D4" w:rsidRDefault="00E347B3" w:rsidP="00B355D4">
      <w:pPr>
        <w:pStyle w:val="Doc-title"/>
        <w:ind w:left="0" w:firstLine="0"/>
      </w:pPr>
      <w:r>
        <mc:AlternateContent>
          <mc:Choice Requires="wps">
            <w:drawing>
              <wp:anchor distT="45720" distB="45720" distL="114300" distR="114300" simplePos="0" relativeHeight="251658241" behindDoc="0" locked="0" layoutInCell="1" allowOverlap="1" wp14:anchorId="4BC1A3A2" wp14:editId="5255C65E">
                <wp:simplePos x="0" y="0"/>
                <wp:positionH relativeFrom="column">
                  <wp:posOffset>12065</wp:posOffset>
                </wp:positionH>
                <wp:positionV relativeFrom="paragraph">
                  <wp:posOffset>157480</wp:posOffset>
                </wp:positionV>
                <wp:extent cx="6249035" cy="2700655"/>
                <wp:effectExtent l="0" t="0" r="18415" b="23495"/>
                <wp:wrapSquare wrapText="bothSides"/>
                <wp:docPr id="52147364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9035" cy="2700655"/>
                        </a:xfrm>
                        <a:prstGeom prst="rect">
                          <a:avLst/>
                        </a:prstGeom>
                        <a:solidFill>
                          <a:srgbClr val="FFFFFF"/>
                        </a:solidFill>
                        <a:ln w="9525">
                          <a:solidFill>
                            <a:srgbClr val="000000"/>
                          </a:solidFill>
                          <a:miter lim="800000"/>
                          <a:headEnd/>
                          <a:tailEnd/>
                        </a:ln>
                      </wps:spPr>
                      <wps:txbx>
                        <w:txbxContent>
                          <w:p w14:paraId="3797FD33" w14:textId="77777777" w:rsidR="003115E3" w:rsidRPr="002178B6" w:rsidRDefault="003115E3" w:rsidP="002178B6">
                            <w:pPr>
                              <w:numPr>
                                <w:ilvl w:val="0"/>
                                <w:numId w:val="1"/>
                              </w:numPr>
                            </w:pPr>
                            <w:r w:rsidRPr="002178B6">
                              <w:t>RAN#108 to approve a 6month study phase to be followed by a possible normative phase that</w:t>
                            </w:r>
                          </w:p>
                          <w:p w14:paraId="5CD95F7F" w14:textId="77777777" w:rsidR="003115E3" w:rsidRPr="002178B6" w:rsidRDefault="003115E3" w:rsidP="002178B6">
                            <w:pPr>
                              <w:numPr>
                                <w:ilvl w:val="1"/>
                                <w:numId w:val="1"/>
                              </w:numPr>
                              <w:ind w:left="1080"/>
                            </w:pPr>
                            <w:r w:rsidRPr="002178B6">
                              <w:t>Studies the feasibility of a GNSS free NR-NTN operation without requiring a new silicon eco-system</w:t>
                            </w:r>
                          </w:p>
                          <w:p w14:paraId="1A318067" w14:textId="77777777" w:rsidR="003115E3" w:rsidRPr="002178B6" w:rsidRDefault="003115E3" w:rsidP="002178B6">
                            <w:pPr>
                              <w:numPr>
                                <w:ilvl w:val="1"/>
                                <w:numId w:val="1"/>
                              </w:numPr>
                              <w:ind w:left="1080"/>
                            </w:pPr>
                            <w:r w:rsidRPr="002178B6">
                              <w:t>Studies frequency and timing adjustment during both initial access and in connected mode</w:t>
                            </w:r>
                          </w:p>
                          <w:p w14:paraId="7817AD28" w14:textId="77777777" w:rsidR="003115E3" w:rsidRPr="002178B6" w:rsidRDefault="003115E3" w:rsidP="002178B6">
                            <w:pPr>
                              <w:numPr>
                                <w:ilvl w:val="1"/>
                                <w:numId w:val="1"/>
                              </w:numPr>
                              <w:ind w:left="1080"/>
                            </w:pPr>
                            <w:r w:rsidRPr="002178B6">
                              <w:t>Consider the co-existence of legacy and new UEs in the same satellite beam</w:t>
                            </w:r>
                          </w:p>
                          <w:p w14:paraId="3F5ACB25" w14:textId="77777777" w:rsidR="003115E3" w:rsidRPr="002178B6" w:rsidRDefault="003115E3" w:rsidP="002178B6">
                            <w:pPr>
                              <w:numPr>
                                <w:ilvl w:val="1"/>
                                <w:numId w:val="1"/>
                              </w:numPr>
                              <w:ind w:left="1080"/>
                            </w:pPr>
                            <w:r w:rsidRPr="002178B6">
                              <w:t>Study the performance of signaling without GNSS measurements</w:t>
                            </w:r>
                          </w:p>
                          <w:p w14:paraId="19302EC6" w14:textId="77777777" w:rsidR="003115E3" w:rsidRPr="001953B3" w:rsidRDefault="003115E3" w:rsidP="002178B6">
                            <w:pPr>
                              <w:numPr>
                                <w:ilvl w:val="1"/>
                                <w:numId w:val="1"/>
                              </w:numPr>
                              <w:ind w:left="1080"/>
                            </w:pPr>
                            <w:r w:rsidRPr="002178B6">
                              <w:t>Study GNSS free NR-NTN for both NGSO and GSO constellations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BC1A3A2" id="Text Box 4" o:spid="_x0000_s1027" type="#_x0000_t202" style="position:absolute;margin-left:.95pt;margin-top:12.4pt;width:492.05pt;height:212.65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">
                <v:textbox style="mso-fit-shape-to-text:t">
                  <w:txbxContent>
                    <w:p w14:paraId="3797FD33" w14:textId="77777777" w:rsidR="003115E3" w:rsidRPr="002178B6" w:rsidRDefault="003115E3" w:rsidP="002178B6">
                      <w:pPr>
                        <w:numPr>
                          <w:ilvl w:val="0"/>
                          <w:numId w:val="1"/>
                        </w:numPr>
                      </w:pPr>
                      <w:r w:rsidRPr="002178B6">
                        <w:t>RAN#108 to approve a 6month study phase to be followed by a possible normative phase that</w:t>
                      </w:r>
                    </w:p>
                    <w:p w14:paraId="5CD95F7F" w14:textId="77777777" w:rsidR="003115E3" w:rsidRPr="002178B6" w:rsidRDefault="003115E3" w:rsidP="002178B6">
                      <w:pPr>
                        <w:numPr>
                          <w:ilvl w:val="1"/>
                          <w:numId w:val="1"/>
                        </w:numPr>
                        <w:ind w:left="1080"/>
                      </w:pPr>
                      <w:r w:rsidRPr="002178B6">
                        <w:t>Studies the feasibility of a GNSS free NR-NTN operation without requiring a new silicon eco-system</w:t>
                      </w:r>
                    </w:p>
                    <w:p w14:paraId="1A318067" w14:textId="77777777" w:rsidR="003115E3" w:rsidRPr="002178B6" w:rsidRDefault="003115E3" w:rsidP="002178B6">
                      <w:pPr>
                        <w:numPr>
                          <w:ilvl w:val="1"/>
                          <w:numId w:val="1"/>
                        </w:numPr>
                        <w:ind w:left="1080"/>
                      </w:pPr>
                      <w:r w:rsidRPr="002178B6">
                        <w:t>Studies frequency and timing adjustment during both initial access and in connected mode</w:t>
                      </w:r>
                    </w:p>
                    <w:p w14:paraId="7817AD28" w14:textId="77777777" w:rsidR="003115E3" w:rsidRPr="002178B6" w:rsidRDefault="003115E3" w:rsidP="002178B6">
                      <w:pPr>
                        <w:numPr>
                          <w:ilvl w:val="1"/>
                          <w:numId w:val="1"/>
                        </w:numPr>
                        <w:ind w:left="1080"/>
                      </w:pPr>
                      <w:r w:rsidRPr="002178B6">
                        <w:t>Consider the co-existence of legacy and new UEs in the same satellite beam</w:t>
                      </w:r>
                    </w:p>
                    <w:p w14:paraId="3F5ACB25" w14:textId="77777777" w:rsidR="003115E3" w:rsidRPr="002178B6" w:rsidRDefault="003115E3" w:rsidP="002178B6">
                      <w:pPr>
                        <w:numPr>
                          <w:ilvl w:val="1"/>
                          <w:numId w:val="1"/>
                        </w:numPr>
                        <w:ind w:left="1080"/>
                      </w:pPr>
                      <w:r w:rsidRPr="002178B6">
                        <w:t xml:space="preserve">Study the performance of </w:t>
                      </w:r>
                      <w:proofErr w:type="spellStart"/>
                      <w:r w:rsidRPr="002178B6">
                        <w:t>signaling</w:t>
                      </w:r>
                      <w:proofErr w:type="spellEnd"/>
                      <w:r w:rsidRPr="002178B6">
                        <w:t xml:space="preserve"> without GNSS measurements</w:t>
                      </w:r>
                    </w:p>
                    <w:p w14:paraId="19302EC6" w14:textId="77777777" w:rsidR="003115E3" w:rsidRPr="001953B3" w:rsidRDefault="003115E3" w:rsidP="002178B6">
                      <w:pPr>
                        <w:numPr>
                          <w:ilvl w:val="1"/>
                          <w:numId w:val="1"/>
                        </w:numPr>
                        <w:ind w:left="1080"/>
                      </w:pPr>
                      <w:r w:rsidRPr="002178B6">
                        <w:t>Study GNSS free NR-NTN for both NGSO and GSO constellations</w:t>
                      </w:r>
                    </w:p>
                  </w:txbxContent>
                </v:textbox>
                <w10:wrap type="square"/>
              </v:shape>
            </w:pict>
          </mc:Fallback>
        </mc:AlternateContent>
      </w:r>
    </w:p>
    <w:p w14:paraId="7CF4BB0B" w14:textId="77777777" w:rsidR="005D20F1" w:rsidRDefault="005D20F1" w:rsidP="002178B6">
      <w:pPr>
        <w:pStyle w:val="Heading1"/>
      </w:pPr>
      <w:r>
        <w:t xml:space="preserve">2. </w:t>
      </w:r>
      <w:r w:rsidR="002178B6">
        <w:t>Discussion</w:t>
      </w:r>
    </w:p>
    <w:p w14:paraId="53B898A5" w14:textId="77777777" w:rsidR="0015534A" w:rsidRDefault="00D9090C" w:rsidP="00D9090C">
      <w:r>
        <w:t xml:space="preserve">In this contribution, we focus on the simulation parameters </w:t>
      </w:r>
      <w:r w:rsidR="007A091C">
        <w:t xml:space="preserve">for frequency and timing adjustment during both initial access and in connected mode. </w:t>
      </w:r>
      <w:r w:rsidR="00DB0B15">
        <w:t xml:space="preserve">As </w:t>
      </w:r>
      <w:r w:rsidR="0015534A">
        <w:t>an example, w</w:t>
      </w:r>
      <w:r w:rsidR="0043332F">
        <w:t xml:space="preserve">e </w:t>
      </w:r>
      <w:r w:rsidR="008B4BA3">
        <w:t xml:space="preserve">consider </w:t>
      </w:r>
      <w:r w:rsidR="00DB0B15">
        <w:t>typical</w:t>
      </w:r>
      <w:r w:rsidR="008B4BA3">
        <w:t xml:space="preserve"> operational modes for NGSO constellations in </w:t>
      </w:r>
      <w:r w:rsidR="00DB0B15">
        <w:t>the 1.5-2.2 GHz carrier frequency range</w:t>
      </w:r>
      <w:r w:rsidR="0015534A">
        <w:t xml:space="preserve">. </w:t>
      </w:r>
    </w:p>
    <w:p w14:paraId="6BC4D153" w14:textId="77777777" w:rsidR="002178B6" w:rsidRDefault="002178B6" w:rsidP="002178B6"/>
    <w:p w14:paraId="789F3FC1" w14:textId="77777777" w:rsidR="00F52782" w:rsidRDefault="00F52782" w:rsidP="002178B6">
      <w:r>
        <w:t xml:space="preserve">During initial access, </w:t>
      </w:r>
      <w:r w:rsidR="00881AE5">
        <w:t>when there is no frequency offset information available to the UE, the UE must perform cell search by detecting PSS</w:t>
      </w:r>
      <w:r w:rsidR="0043198B">
        <w:t xml:space="preserve"> over a wide range of frequencies around the carrier frequency. After acquiring </w:t>
      </w:r>
      <w:r w:rsidR="00025985">
        <w:t>the synchronization signals, the UE can reduce the search window</w:t>
      </w:r>
      <w:r w:rsidR="000E6D8A">
        <w:t xml:space="preserve"> for subsequent stages.</w:t>
      </w:r>
    </w:p>
    <w:p w14:paraId="105DD0D1" w14:textId="77777777" w:rsidR="000E6D8A" w:rsidRDefault="000E6D8A" w:rsidP="002178B6"/>
    <w:p w14:paraId="7A20A595" w14:textId="77777777" w:rsidR="000E6D8A" w:rsidRDefault="00DB3DA4" w:rsidP="002178B6">
      <w:r>
        <w:t xml:space="preserve">For timing synchronization, </w:t>
      </w:r>
      <w:r w:rsidR="005B449B">
        <w:t xml:space="preserve">in the absence of </w:t>
      </w:r>
      <w:r w:rsidR="003B1756">
        <w:t xml:space="preserve">local time information at the UE, </w:t>
      </w:r>
      <w:r w:rsidR="00A7411A">
        <w:t xml:space="preserve">the UE </w:t>
      </w:r>
      <w:r w:rsidR="00F85A80">
        <w:t xml:space="preserve">can </w:t>
      </w:r>
      <w:r w:rsidR="00406D23">
        <w:t xml:space="preserve">initially </w:t>
      </w:r>
      <w:r w:rsidR="00F85A80">
        <w:t xml:space="preserve">perform a coarse delay estimation based on </w:t>
      </w:r>
      <w:r w:rsidR="00406D23">
        <w:t>the reference location</w:t>
      </w:r>
      <w:r w:rsidR="004071DB">
        <w:t xml:space="preserve">. However, during subsequent </w:t>
      </w:r>
      <w:r w:rsidR="00EB3500">
        <w:t>random-access</w:t>
      </w:r>
      <w:r w:rsidR="004071DB">
        <w:t xml:space="preserve"> procedure, th</w:t>
      </w:r>
      <w:r w:rsidR="00E21E80">
        <w:t xml:space="preserve">e pre-compensated timing advance parameter </w:t>
      </w:r>
      <w:r w:rsidR="00EB3500">
        <w:t>may be large due to lack of precise GNSS location information.</w:t>
      </w:r>
    </w:p>
    <w:p w14:paraId="517D4628" w14:textId="77777777" w:rsidR="0043198B" w:rsidRPr="002178B6" w:rsidRDefault="0043198B" w:rsidP="002178B6"/>
    <w:p w14:paraId="4DF93E47" w14:textId="77777777" w:rsidR="00A57AD5" w:rsidRDefault="00A57AD5" w:rsidP="005D20F1">
      <w:pPr>
        <w:spacing w:after="120"/>
        <w:rPr>
          <w:b/>
          <w:i/>
          <w:iCs/>
        </w:rPr>
      </w:pPr>
      <w:r w:rsidRPr="00A57AD5">
        <w:rPr>
          <w:b/>
          <w:i/>
          <w:iCs/>
        </w:rPr>
        <w:t xml:space="preserve">Observation 1: </w:t>
      </w:r>
      <w:r w:rsidR="00C93EEA" w:rsidRPr="00A57AD5">
        <w:rPr>
          <w:b/>
          <w:i/>
          <w:iCs/>
        </w:rPr>
        <w:t>The worst-case scenario of interest is</w:t>
      </w:r>
      <w:r w:rsidR="0015534A">
        <w:rPr>
          <w:b/>
          <w:i/>
          <w:iCs/>
        </w:rPr>
        <w:t xml:space="preserve"> when</w:t>
      </w:r>
      <w:r w:rsidR="00C93EEA" w:rsidRPr="00A57AD5">
        <w:rPr>
          <w:b/>
          <w:i/>
          <w:iCs/>
        </w:rPr>
        <w:t xml:space="preserve"> GNSS information is not available</w:t>
      </w:r>
      <w:r w:rsidRPr="00A57AD5">
        <w:rPr>
          <w:b/>
          <w:i/>
          <w:iCs/>
        </w:rPr>
        <w:t xml:space="preserve"> for timing and frequency adjustment during initial access</w:t>
      </w:r>
      <w:r w:rsidR="00CD6BFA" w:rsidRPr="00A57AD5">
        <w:rPr>
          <w:b/>
          <w:i/>
          <w:iCs/>
        </w:rPr>
        <w:t xml:space="preserve">. </w:t>
      </w:r>
    </w:p>
    <w:p w14:paraId="6DD70A26" w14:textId="77777777" w:rsidR="00EB3500" w:rsidRPr="00A57AD5" w:rsidRDefault="00EB3500" w:rsidP="00EB3500">
      <w:pPr>
        <w:spacing w:after="120"/>
        <w:rPr>
          <w:b/>
          <w:i/>
          <w:iCs/>
        </w:rPr>
      </w:pPr>
      <w:r w:rsidRPr="00A57AD5">
        <w:rPr>
          <w:b/>
          <w:i/>
          <w:iCs/>
        </w:rPr>
        <w:t xml:space="preserve">Observation </w:t>
      </w:r>
      <w:r>
        <w:rPr>
          <w:b/>
          <w:i/>
          <w:iCs/>
        </w:rPr>
        <w:t>2</w:t>
      </w:r>
      <w:r w:rsidRPr="00A57AD5">
        <w:rPr>
          <w:b/>
          <w:i/>
          <w:iCs/>
        </w:rPr>
        <w:t xml:space="preserve">: </w:t>
      </w:r>
      <w:r w:rsidR="00D76916">
        <w:rPr>
          <w:b/>
          <w:i/>
          <w:iCs/>
        </w:rPr>
        <w:t>D</w:t>
      </w:r>
      <w:r w:rsidR="0040006D">
        <w:rPr>
          <w:b/>
          <w:i/>
          <w:iCs/>
        </w:rPr>
        <w:t xml:space="preserve">ue to lack of </w:t>
      </w:r>
      <w:r w:rsidR="0046648E">
        <w:rPr>
          <w:b/>
          <w:i/>
          <w:iCs/>
        </w:rPr>
        <w:t xml:space="preserve">accurate </w:t>
      </w:r>
      <w:r w:rsidR="0040006D">
        <w:rPr>
          <w:b/>
          <w:i/>
          <w:iCs/>
        </w:rPr>
        <w:t xml:space="preserve">GNSS </w:t>
      </w:r>
      <w:r w:rsidR="0046648E">
        <w:rPr>
          <w:b/>
          <w:i/>
          <w:iCs/>
        </w:rPr>
        <w:t xml:space="preserve">position </w:t>
      </w:r>
      <w:r w:rsidR="0040006D">
        <w:rPr>
          <w:b/>
          <w:i/>
          <w:iCs/>
        </w:rPr>
        <w:t xml:space="preserve">information, </w:t>
      </w:r>
      <w:r w:rsidR="0040006D" w:rsidRPr="0040006D">
        <w:rPr>
          <w:b/>
          <w:i/>
          <w:iCs/>
        </w:rPr>
        <w:t>the UE must perform cell search by detecting PSS over a wide range of frequencies around the carrier frequenc</w:t>
      </w:r>
      <w:r w:rsidR="0040006D">
        <w:rPr>
          <w:b/>
          <w:i/>
          <w:iCs/>
        </w:rPr>
        <w:t>y.</w:t>
      </w:r>
    </w:p>
    <w:p w14:paraId="6DAD4445" w14:textId="77777777" w:rsidR="0040006D" w:rsidRPr="00A57AD5" w:rsidRDefault="0040006D" w:rsidP="0040006D">
      <w:pPr>
        <w:spacing w:after="120"/>
        <w:rPr>
          <w:b/>
          <w:i/>
          <w:iCs/>
        </w:rPr>
      </w:pPr>
      <w:r w:rsidRPr="78EB2275">
        <w:rPr>
          <w:b/>
          <w:bCs/>
          <w:i/>
          <w:iCs/>
        </w:rPr>
        <w:t xml:space="preserve">Observation 3: </w:t>
      </w:r>
      <w:r w:rsidR="00ED0FB2" w:rsidRPr="78EB2275">
        <w:rPr>
          <w:b/>
          <w:bCs/>
          <w:i/>
          <w:iCs/>
        </w:rPr>
        <w:t>Due to</w:t>
      </w:r>
      <w:r w:rsidRPr="78EB2275">
        <w:rPr>
          <w:b/>
          <w:bCs/>
          <w:i/>
          <w:iCs/>
        </w:rPr>
        <w:t xml:space="preserve"> lack of </w:t>
      </w:r>
      <w:r w:rsidR="0046648E" w:rsidRPr="78EB2275">
        <w:rPr>
          <w:b/>
          <w:bCs/>
          <w:i/>
          <w:iCs/>
        </w:rPr>
        <w:t xml:space="preserve">accurate </w:t>
      </w:r>
      <w:r w:rsidRPr="78EB2275">
        <w:rPr>
          <w:b/>
          <w:bCs/>
          <w:i/>
          <w:iCs/>
        </w:rPr>
        <w:t>GNSS</w:t>
      </w:r>
      <w:r w:rsidR="0046648E" w:rsidRPr="78EB2275">
        <w:rPr>
          <w:b/>
          <w:bCs/>
          <w:i/>
          <w:iCs/>
        </w:rPr>
        <w:t xml:space="preserve"> position</w:t>
      </w:r>
      <w:r w:rsidRPr="78EB2275">
        <w:rPr>
          <w:b/>
          <w:bCs/>
          <w:i/>
          <w:iCs/>
        </w:rPr>
        <w:t xml:space="preserve"> information, the </w:t>
      </w:r>
      <w:r w:rsidR="00D76916" w:rsidRPr="78EB2275">
        <w:rPr>
          <w:b/>
          <w:bCs/>
          <w:i/>
          <w:iCs/>
        </w:rPr>
        <w:t>coarse delay estimation</w:t>
      </w:r>
      <w:r w:rsidR="0046648E" w:rsidRPr="78EB2275">
        <w:rPr>
          <w:b/>
          <w:bCs/>
          <w:i/>
          <w:iCs/>
        </w:rPr>
        <w:t xml:space="preserve"> at the</w:t>
      </w:r>
      <w:r w:rsidR="00D76916" w:rsidRPr="78EB2275">
        <w:rPr>
          <w:b/>
          <w:bCs/>
          <w:i/>
          <w:iCs/>
        </w:rPr>
        <w:t xml:space="preserve"> </w:t>
      </w:r>
      <w:r w:rsidRPr="78EB2275">
        <w:rPr>
          <w:b/>
          <w:bCs/>
          <w:i/>
          <w:iCs/>
        </w:rPr>
        <w:t>UE</w:t>
      </w:r>
      <w:r w:rsidR="00235F49" w:rsidRPr="78EB2275">
        <w:rPr>
          <w:b/>
          <w:bCs/>
          <w:i/>
          <w:iCs/>
        </w:rPr>
        <w:t xml:space="preserve"> may result in a large pre-compensated timing advance parameter during the random-access procedure.</w:t>
      </w:r>
    </w:p>
    <w:p w14:paraId="2B20FDA2" w14:textId="77777777" w:rsidR="78EB2275" w:rsidRDefault="78EB2275" w:rsidP="78EB2275">
      <w:pPr>
        <w:spacing w:after="120"/>
      </w:pPr>
    </w:p>
    <w:p w14:paraId="2BAEFF5A" w14:textId="77777777" w:rsidR="7DCE43BA" w:rsidRDefault="7DCE43BA" w:rsidP="78EB2275">
      <w:pPr>
        <w:spacing w:after="120"/>
      </w:pPr>
      <w:r>
        <w:t xml:space="preserve">For the </w:t>
      </w:r>
      <w:r w:rsidR="21DEB762">
        <w:t>geometry and parameters discussed below, the following definitions are used.</w:t>
      </w:r>
    </w:p>
    <w:tbl>
      <w:tblPr>
        <w:tblStyle w:val="TableGrid"/>
        <w:tblW w:w="0" w:type="auto"/>
        <w:tblLayout w:type="fixed"/>
        <w:tblLook w:val="06A0" w:firstRow="1" w:lastRow="0" w:firstColumn="1" w:lastColumn="0" w:noHBand="1" w:noVBand="1"/>
      </w:tblPr>
      <w:tblGrid>
        <w:gridCol w:w="2025"/>
        <w:gridCol w:w="7940"/>
      </w:tblGrid>
      <w:tr w:rsidR="78EB2275" w14:paraId="71EA7826" w14:textId="77777777" w:rsidTr="78EB2275">
        <w:trPr>
          <w:trHeight w:val="300"/>
        </w:trPr>
        <w:tc>
          <w:tcPr>
            <w:tcW w:w="2025" w:type="dxa"/>
          </w:tcPr>
          <w:p w14:paraId="7386EED1" w14:textId="77777777" w:rsidR="7DCE43BA" w:rsidRDefault="7DCE43BA" w:rsidP="78EB2275">
            <w:pPr>
              <w:rPr>
                <w:b/>
                <w:bCs/>
              </w:rPr>
            </w:pPr>
            <w:r w:rsidRPr="78EB2275">
              <w:rPr>
                <w:b/>
                <w:bCs/>
              </w:rPr>
              <w:t>Parameter</w:t>
            </w:r>
          </w:p>
        </w:tc>
        <w:tc>
          <w:tcPr>
            <w:tcW w:w="7940" w:type="dxa"/>
          </w:tcPr>
          <w:p w14:paraId="1A84C0F0" w14:textId="77777777" w:rsidR="7DCE43BA" w:rsidRDefault="7DCE43BA" w:rsidP="78EB2275">
            <w:pPr>
              <w:rPr>
                <w:b/>
                <w:bCs/>
              </w:rPr>
            </w:pPr>
            <w:r w:rsidRPr="78EB2275">
              <w:rPr>
                <w:b/>
                <w:bCs/>
              </w:rPr>
              <w:t>Definition</w:t>
            </w:r>
          </w:p>
        </w:tc>
      </w:tr>
      <w:tr w:rsidR="78EB2275" w14:paraId="66E24528" w14:textId="77777777" w:rsidTr="78EB2275">
        <w:trPr>
          <w:trHeight w:val="300"/>
        </w:trPr>
        <w:tc>
          <w:tcPr>
            <w:tcW w:w="2025" w:type="dxa"/>
          </w:tcPr>
          <w:p w14:paraId="4B103627" w14:textId="77777777" w:rsidR="7DCE43BA" w:rsidRDefault="7DCE43BA" w:rsidP="78EB2275">
            <w:r>
              <w:t>Orbit</w:t>
            </w:r>
            <w:r w:rsidR="50E3AAAF">
              <w:t xml:space="preserve"> altitude/height</w:t>
            </w:r>
          </w:p>
        </w:tc>
        <w:tc>
          <w:tcPr>
            <w:tcW w:w="7940" w:type="dxa"/>
          </w:tcPr>
          <w:p w14:paraId="47FA42D2" w14:textId="77777777" w:rsidR="50E3AAAF" w:rsidRDefault="50E3AAAF" w:rsidP="78EB2275">
            <w:r>
              <w:t>Distance of satellite from the surface of Earth</w:t>
            </w:r>
          </w:p>
        </w:tc>
      </w:tr>
      <w:tr w:rsidR="78EB2275" w14:paraId="3C8C5D63" w14:textId="77777777" w:rsidTr="78EB2275">
        <w:trPr>
          <w:trHeight w:val="300"/>
        </w:trPr>
        <w:tc>
          <w:tcPr>
            <w:tcW w:w="2025" w:type="dxa"/>
          </w:tcPr>
          <w:p w14:paraId="11840BB1" w14:textId="77777777" w:rsidR="50E3AAAF" w:rsidRDefault="50E3AAAF" w:rsidP="78EB2275">
            <w:r>
              <w:t>Elevation angle</w:t>
            </w:r>
          </w:p>
        </w:tc>
        <w:tc>
          <w:tcPr>
            <w:tcW w:w="7940" w:type="dxa"/>
          </w:tcPr>
          <w:p w14:paraId="11C137F5" w14:textId="77777777" w:rsidR="50E3AAAF" w:rsidRDefault="50E3AAAF" w:rsidP="78EB2275">
            <w:r>
              <w:t>The elevation angle (θ) is the angle between the local horizon and the satellite, as seen from a ground station or user equipment (UE).</w:t>
            </w:r>
          </w:p>
        </w:tc>
      </w:tr>
      <w:tr w:rsidR="78EB2275" w14:paraId="3862792E" w14:textId="77777777" w:rsidTr="78EB2275">
        <w:trPr>
          <w:trHeight w:val="300"/>
        </w:trPr>
        <w:tc>
          <w:tcPr>
            <w:tcW w:w="2025" w:type="dxa"/>
          </w:tcPr>
          <w:p w14:paraId="6FE77F52" w14:textId="77777777" w:rsidR="50E3AAAF" w:rsidRDefault="50E3AAAF" w:rsidP="78EB2275">
            <w:r>
              <w:t>Angle from Nadir</w:t>
            </w:r>
          </w:p>
        </w:tc>
        <w:tc>
          <w:tcPr>
            <w:tcW w:w="7940" w:type="dxa"/>
          </w:tcPr>
          <w:p w14:paraId="1F0C5D42" w14:textId="77777777" w:rsidR="50E3AAAF" w:rsidRDefault="50E3AAAF" w:rsidP="78EB2275">
            <w:r>
              <w:t>In the context of satellite communication, nadir refers to the point on the Earth's surface directly below the satellite. As the satellite moves away from nadir, the elevation angle decreases, and the off-nadir angle increases.</w:t>
            </w:r>
          </w:p>
        </w:tc>
      </w:tr>
      <w:tr w:rsidR="78EB2275" w14:paraId="7B6F20C6" w14:textId="77777777" w:rsidTr="78EB2275">
        <w:trPr>
          <w:trHeight w:val="300"/>
        </w:trPr>
        <w:tc>
          <w:tcPr>
            <w:tcW w:w="2025" w:type="dxa"/>
          </w:tcPr>
          <w:p w14:paraId="34CFA923" w14:textId="77777777" w:rsidR="50E3AAAF" w:rsidRDefault="50E3AAAF" w:rsidP="78EB2275">
            <w:r>
              <w:t>Beam diameter</w:t>
            </w:r>
          </w:p>
        </w:tc>
        <w:tc>
          <w:tcPr>
            <w:tcW w:w="7940" w:type="dxa"/>
          </w:tcPr>
          <w:p w14:paraId="1D986BE0" w14:textId="77777777" w:rsidR="50E3AAAF" w:rsidRDefault="50E3AAAF" w:rsidP="78EB2275">
            <w:r>
              <w:t xml:space="preserve">The width or size of the satellite's antenna beam as it projects onto the Earth's surface or within the network's coverage area.  More specifically, for NTN, the beam diameter and related concepts are often defined in terms of the 3dB beam width of the satellite antenna pattern.  </w:t>
            </w:r>
          </w:p>
        </w:tc>
      </w:tr>
      <w:tr w:rsidR="78EB2275" w14:paraId="50D3467D" w14:textId="77777777" w:rsidTr="78EB2275">
        <w:trPr>
          <w:trHeight w:val="300"/>
        </w:trPr>
        <w:tc>
          <w:tcPr>
            <w:tcW w:w="2025" w:type="dxa"/>
          </w:tcPr>
          <w:p w14:paraId="7149592B" w14:textId="77777777" w:rsidR="50E3AAAF" w:rsidRDefault="50E3AAAF" w:rsidP="78EB2275">
            <w:r>
              <w:t>Differential timing</w:t>
            </w:r>
            <w:r w:rsidR="0DEAC4A9">
              <w:t xml:space="preserve"> and frequency</w:t>
            </w:r>
            <w:r>
              <w:t xml:space="preserve"> error</w:t>
            </w:r>
          </w:p>
        </w:tc>
        <w:tc>
          <w:tcPr>
            <w:tcW w:w="7940" w:type="dxa"/>
          </w:tcPr>
          <w:p w14:paraId="25EEAF99" w14:textId="77777777" w:rsidR="0F0753E6" w:rsidRDefault="0F0753E6" w:rsidP="78EB2275">
            <w:r>
              <w:t xml:space="preserve">Differential timing and frequency errors refer to the difference in these errors between different locations within the cellular network, particularly between the cell center and the cell edge. </w:t>
            </w:r>
            <w:r w:rsidR="6FE54A02">
              <w:t>In the context of this document, the differential errors are quoted as the worst-case timing and frequency difference between th</w:t>
            </w:r>
            <w:r w:rsidR="7079BFDE">
              <w:t>e reference signal at the center of the cell and the signal as seen by the UEs located at the cell-edges (near edge and far edge).</w:t>
            </w:r>
          </w:p>
        </w:tc>
      </w:tr>
    </w:tbl>
    <w:p w14:paraId="5444154E" w14:textId="77777777" w:rsidR="78EB2275" w:rsidRDefault="78EB2275"/>
    <w:p w14:paraId="52F240C1" w14:textId="77777777" w:rsidR="78EB2275" w:rsidRDefault="78EB2275"/>
    <w:p w14:paraId="66A2CCB7" w14:textId="385DE870" w:rsidR="78EB2275" w:rsidRDefault="6DE5CABD">
      <w:r>
        <w:t>See Figure 1 for a sketch of the geometry of the NGSO use case.</w:t>
      </w:r>
    </w:p>
    <w:p w14:paraId="0E9475E1" w14:textId="77777777" w:rsidR="78EB2275" w:rsidRDefault="78EB2275" w:rsidP="78EB2275"/>
    <w:p w14:paraId="707AF3B4" w14:textId="77777777" w:rsidR="00DA1FFC" w:rsidRDefault="00DA1FFC" w:rsidP="78EB2275">
      <w:pPr>
        <w:pStyle w:val="Caption"/>
        <w:jc w:val="center"/>
        <w:rPr>
          <w:rFonts w:eastAsia="SimSun"/>
          <w:lang w:eastAsia="zh-CN"/>
        </w:rPr>
      </w:pPr>
      <w:r>
        <w:t xml:space="preserve">Figure </w:t>
      </w:r>
      <w:fldSimple w:instr=" SEQ Table \* ARABIC ">
        <w:r>
          <w:t>1</w:t>
        </w:r>
      </w:fldSimple>
      <w:r w:rsidRPr="78EB2275">
        <w:rPr>
          <w:rFonts w:eastAsia="SimSun"/>
          <w:lang w:eastAsia="zh-CN"/>
        </w:rPr>
        <w:t xml:space="preserve"> Geometry of the NGSO use case</w:t>
      </w:r>
    </w:p>
    <w:p w14:paraId="37E43EB8" w14:textId="07377124" w:rsidR="00DA1FFC" w:rsidRDefault="000F4544" w:rsidP="000F4544">
      <w:pPr>
        <w:spacing w:after="120"/>
        <w:jc w:val="center"/>
      </w:pPr>
      <w:r>
        <w:rPr>
          <w:noProof/>
          <w:color w:val="000000"/>
        </w:rPr>
        <w:drawing>
          <wp:inline distT="0" distB="0" distL="0" distR="0" wp14:anchorId="528F33D1" wp14:editId="1E20B8AA">
            <wp:extent cx="4328205" cy="4364182"/>
            <wp:effectExtent l="0" t="0" r="0" b="0"/>
            <wp:docPr id="998907258" name="Picture 3" descr="A diagram of a patter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907258" name="Picture 3" descr="A diagram of a pattern&#10;&#10;AI-generated content may be incorrect."/>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4343510" cy="4379615"/>
                    </a:xfrm>
                    <a:prstGeom prst="rect">
                      <a:avLst/>
                    </a:prstGeom>
                    <a:noFill/>
                    <a:ln>
                      <a:noFill/>
                    </a:ln>
                  </pic:spPr>
                </pic:pic>
              </a:graphicData>
            </a:graphic>
          </wp:inline>
        </w:drawing>
      </w:r>
    </w:p>
    <w:p w14:paraId="4A46FC46" w14:textId="77777777" w:rsidR="002D08B0" w:rsidRPr="00477723" w:rsidRDefault="002D08B0" w:rsidP="78EB2275">
      <w:pPr>
        <w:spacing w:after="120"/>
        <w:rPr>
          <w:b/>
          <w:bCs/>
          <w:i/>
          <w:iCs/>
        </w:rPr>
      </w:pPr>
      <w:bookmarkStart w:id="0" w:name="_Ref19771"/>
      <w:r w:rsidRPr="78EB2275">
        <w:rPr>
          <w:b/>
          <w:bCs/>
          <w:i/>
          <w:iCs/>
        </w:rPr>
        <w:lastRenderedPageBreak/>
        <w:t>Proposal 1: The study should c</w:t>
      </w:r>
      <w:r w:rsidR="24C39A71" w:rsidRPr="78EB2275">
        <w:rPr>
          <w:b/>
          <w:bCs/>
          <w:i/>
          <w:iCs/>
        </w:rPr>
        <w:t>onsider</w:t>
      </w:r>
      <w:r w:rsidRPr="78EB2275">
        <w:rPr>
          <w:b/>
          <w:bCs/>
          <w:i/>
          <w:iCs/>
        </w:rPr>
        <w:t xml:space="preserve"> the timing and frequency </w:t>
      </w:r>
      <w:r w:rsidR="00E04D83" w:rsidRPr="78EB2275">
        <w:rPr>
          <w:b/>
          <w:bCs/>
          <w:i/>
          <w:iCs/>
        </w:rPr>
        <w:t>offset parameters</w:t>
      </w:r>
      <w:r w:rsidRPr="78EB2275">
        <w:rPr>
          <w:b/>
          <w:bCs/>
          <w:i/>
          <w:iCs/>
        </w:rPr>
        <w:t xml:space="preserve"> depicted in the table </w:t>
      </w:r>
      <w:r w:rsidR="00E04D83" w:rsidRPr="78EB2275">
        <w:rPr>
          <w:b/>
          <w:bCs/>
          <w:i/>
          <w:iCs/>
        </w:rPr>
        <w:t>below.</w:t>
      </w:r>
      <w:r w:rsidRPr="78EB2275">
        <w:rPr>
          <w:b/>
          <w:bCs/>
          <w:i/>
          <w:iCs/>
        </w:rPr>
        <w:t xml:space="preserve"> </w:t>
      </w:r>
      <w:r w:rsidR="3C398C92" w:rsidRPr="78EB2275">
        <w:rPr>
          <w:b/>
          <w:bCs/>
          <w:i/>
          <w:iCs/>
        </w:rPr>
        <w:t xml:space="preserve">These parameters are for a stationary user. For mobile users, the UE velocity needs to be </w:t>
      </w:r>
      <w:proofErr w:type="gramStart"/>
      <w:r w:rsidR="3C398C92" w:rsidRPr="78EB2275">
        <w:rPr>
          <w:b/>
          <w:bCs/>
          <w:i/>
          <w:iCs/>
        </w:rPr>
        <w:t>taken into account</w:t>
      </w:r>
      <w:proofErr w:type="gramEnd"/>
      <w:r w:rsidR="3C398C92" w:rsidRPr="78EB2275">
        <w:rPr>
          <w:b/>
          <w:bCs/>
          <w:i/>
          <w:iCs/>
        </w:rPr>
        <w:t>.</w:t>
      </w:r>
    </w:p>
    <w:p w14:paraId="2048E4B2" w14:textId="77777777" w:rsidR="00CD6BFA" w:rsidRPr="00B511A0" w:rsidRDefault="00CD6BFA" w:rsidP="00CD6BFA">
      <w:pPr>
        <w:pStyle w:val="Caption"/>
        <w:jc w:val="center"/>
        <w:rPr>
          <w:rFonts w:eastAsia="SimSun"/>
          <w:lang w:eastAsia="zh-CN"/>
        </w:rPr>
      </w:pPr>
      <w:r w:rsidRPr="00B511A0">
        <w:t xml:space="preserve">Table </w:t>
      </w:r>
      <w:r>
        <w:fldChar w:fldCharType="begin"/>
      </w:r>
      <w:r>
        <w:instrText>SEQ Table \* ARABIC</w:instrText>
      </w:r>
      <w:r>
        <w:fldChar w:fldCharType="separate"/>
      </w:r>
      <w:r w:rsidRPr="00B511A0">
        <w:t>1</w:t>
      </w:r>
      <w:r>
        <w:fldChar w:fldCharType="end"/>
      </w:r>
      <w:bookmarkEnd w:id="0"/>
      <w:r w:rsidRPr="00B511A0">
        <w:rPr>
          <w:rFonts w:eastAsia="SimSun"/>
          <w:lang w:eastAsia="zh-CN"/>
        </w:rPr>
        <w:t xml:space="preserve"> </w:t>
      </w:r>
      <w:r w:rsidR="00A57AD5" w:rsidRPr="00B511A0">
        <w:rPr>
          <w:rFonts w:eastAsia="SimSun"/>
          <w:lang w:eastAsia="zh-CN"/>
        </w:rPr>
        <w:t xml:space="preserve">Differential </w:t>
      </w:r>
      <w:r w:rsidRPr="00B511A0">
        <w:rPr>
          <w:rFonts w:eastAsia="SimSun"/>
          <w:lang w:eastAsia="zh-CN"/>
        </w:rPr>
        <w:t>Frequency</w:t>
      </w:r>
      <w:r w:rsidR="00A57AD5" w:rsidRPr="00B511A0">
        <w:rPr>
          <w:rFonts w:eastAsia="SimSun"/>
          <w:lang w:eastAsia="zh-CN"/>
        </w:rPr>
        <w:t xml:space="preserve"> and Timing</w:t>
      </w:r>
      <w:r w:rsidRPr="00B511A0">
        <w:rPr>
          <w:rFonts w:eastAsia="SimSun"/>
          <w:lang w:eastAsia="zh-CN"/>
        </w:rPr>
        <w:t xml:space="preserve"> Offset for NGSO constellations</w:t>
      </w:r>
    </w:p>
    <w:tbl>
      <w:tblPr>
        <w:tblW w:w="9975" w:type="dxa"/>
        <w:tblLayout w:type="fixed"/>
        <w:tblCellMar>
          <w:top w:w="15" w:type="dxa"/>
          <w:left w:w="15" w:type="dxa"/>
          <w:bottom w:w="15" w:type="dxa"/>
          <w:right w:w="15" w:type="dxa"/>
        </w:tblCellMar>
        <w:tblLook w:val="04A0" w:firstRow="1" w:lastRow="0" w:firstColumn="1" w:lastColumn="0" w:noHBand="0" w:noVBand="1"/>
      </w:tblPr>
      <w:tblGrid>
        <w:gridCol w:w="1425"/>
        <w:gridCol w:w="1425"/>
        <w:gridCol w:w="1425"/>
        <w:gridCol w:w="1425"/>
        <w:gridCol w:w="1425"/>
        <w:gridCol w:w="1425"/>
        <w:gridCol w:w="1425"/>
      </w:tblGrid>
      <w:tr w:rsidR="00CC061D" w:rsidRPr="00F24F91" w14:paraId="6885F8FA" w14:textId="77777777" w:rsidTr="2ED151A9">
        <w:trPr>
          <w:trHeight w:val="448"/>
        </w:trPr>
        <w:tc>
          <w:tcPr>
            <w:tcW w:w="1425" w:type="dxa"/>
            <w:tcBorders>
              <w:top w:val="single" w:sz="4" w:space="0" w:color="auto"/>
              <w:left w:val="single" w:sz="4" w:space="0" w:color="auto"/>
              <w:bottom w:val="single" w:sz="4" w:space="0" w:color="auto"/>
              <w:right w:val="single" w:sz="4" w:space="0" w:color="auto"/>
            </w:tcBorders>
            <w:vAlign w:val="bottom"/>
            <w:hideMark/>
          </w:tcPr>
          <w:p w14:paraId="277A3D48" w14:textId="77777777" w:rsidR="00F24F91" w:rsidRPr="00F24F91" w:rsidRDefault="00F24F91" w:rsidP="00F24F91">
            <w:pPr>
              <w:spacing w:after="120"/>
              <w:rPr>
                <w:b/>
                <w:lang w:val="en-US"/>
              </w:rPr>
            </w:pPr>
            <w:r w:rsidRPr="00F24F91">
              <w:rPr>
                <w:b/>
                <w:bCs/>
                <w:lang w:val="en-US"/>
              </w:rPr>
              <w:t>Min User Elevation Angle (deg)</w:t>
            </w:r>
          </w:p>
        </w:tc>
        <w:tc>
          <w:tcPr>
            <w:tcW w:w="1425" w:type="dxa"/>
            <w:tcBorders>
              <w:top w:val="single" w:sz="4" w:space="0" w:color="auto"/>
              <w:bottom w:val="single" w:sz="4" w:space="0" w:color="auto"/>
              <w:right w:val="single" w:sz="4" w:space="0" w:color="auto"/>
            </w:tcBorders>
            <w:vAlign w:val="bottom"/>
            <w:hideMark/>
          </w:tcPr>
          <w:p w14:paraId="178DCAFA" w14:textId="77777777" w:rsidR="00F24F91" w:rsidRPr="00F24F91" w:rsidRDefault="00F24F91" w:rsidP="00F24F91">
            <w:pPr>
              <w:spacing w:after="120"/>
              <w:rPr>
                <w:b/>
                <w:lang w:val="en-US"/>
              </w:rPr>
            </w:pPr>
            <w:r w:rsidRPr="00F24F91">
              <w:rPr>
                <w:b/>
                <w:bCs/>
                <w:lang w:val="en-US"/>
              </w:rPr>
              <w:t>Max Angle from Nadir (deg)</w:t>
            </w:r>
          </w:p>
        </w:tc>
        <w:tc>
          <w:tcPr>
            <w:tcW w:w="1425" w:type="dxa"/>
            <w:tcBorders>
              <w:top w:val="single" w:sz="4" w:space="0" w:color="auto"/>
              <w:bottom w:val="single" w:sz="4" w:space="0" w:color="auto"/>
              <w:right w:val="single" w:sz="4" w:space="0" w:color="auto"/>
            </w:tcBorders>
            <w:vAlign w:val="bottom"/>
            <w:hideMark/>
          </w:tcPr>
          <w:p w14:paraId="35B087CD" w14:textId="77777777" w:rsidR="00F24F91" w:rsidRPr="00F24F91" w:rsidRDefault="00F24F91" w:rsidP="00F24F91">
            <w:pPr>
              <w:spacing w:after="120"/>
              <w:rPr>
                <w:b/>
                <w:lang w:val="en-US"/>
              </w:rPr>
            </w:pPr>
            <w:r w:rsidRPr="00F24F91">
              <w:rPr>
                <w:b/>
                <w:bCs/>
                <w:lang w:val="en-US"/>
              </w:rPr>
              <w:t>Orbit Height (km)</w:t>
            </w:r>
          </w:p>
        </w:tc>
        <w:tc>
          <w:tcPr>
            <w:tcW w:w="1425" w:type="dxa"/>
            <w:tcBorders>
              <w:top w:val="single" w:sz="4" w:space="0" w:color="auto"/>
              <w:bottom w:val="single" w:sz="4" w:space="0" w:color="auto"/>
              <w:right w:val="single" w:sz="4" w:space="0" w:color="auto"/>
            </w:tcBorders>
            <w:vAlign w:val="bottom"/>
            <w:hideMark/>
          </w:tcPr>
          <w:p w14:paraId="5056990A" w14:textId="77777777" w:rsidR="00F24F91" w:rsidRPr="00F24F91" w:rsidRDefault="001559E2" w:rsidP="00F24F91">
            <w:pPr>
              <w:spacing w:after="120"/>
              <w:rPr>
                <w:b/>
                <w:lang w:val="en-US"/>
              </w:rPr>
            </w:pPr>
            <w:r>
              <w:rPr>
                <w:b/>
                <w:bCs/>
                <w:lang w:val="en-US"/>
              </w:rPr>
              <w:t xml:space="preserve">Carrier </w:t>
            </w:r>
            <w:r w:rsidR="00F24F91" w:rsidRPr="00F24F91">
              <w:rPr>
                <w:b/>
                <w:bCs/>
                <w:lang w:val="en-US"/>
              </w:rPr>
              <w:t>Frequency (MHz)</w:t>
            </w:r>
          </w:p>
        </w:tc>
        <w:tc>
          <w:tcPr>
            <w:tcW w:w="1425" w:type="dxa"/>
            <w:tcBorders>
              <w:top w:val="single" w:sz="4" w:space="0" w:color="auto"/>
              <w:bottom w:val="single" w:sz="4" w:space="0" w:color="auto"/>
              <w:right w:val="single" w:sz="4" w:space="0" w:color="auto"/>
            </w:tcBorders>
            <w:vAlign w:val="bottom"/>
            <w:hideMark/>
          </w:tcPr>
          <w:p w14:paraId="2539FF1C" w14:textId="77777777" w:rsidR="00F24F91" w:rsidRPr="00F24F91" w:rsidRDefault="00F24F91" w:rsidP="00F24F91">
            <w:pPr>
              <w:spacing w:after="120"/>
              <w:rPr>
                <w:b/>
                <w:lang w:val="en-US"/>
              </w:rPr>
            </w:pPr>
            <w:r w:rsidRPr="00F24F91">
              <w:rPr>
                <w:b/>
                <w:bCs/>
                <w:lang w:val="en-US"/>
              </w:rPr>
              <w:t>Beam Diameter (km)</w:t>
            </w:r>
          </w:p>
        </w:tc>
        <w:tc>
          <w:tcPr>
            <w:tcW w:w="1425" w:type="dxa"/>
            <w:tcBorders>
              <w:top w:val="single" w:sz="4" w:space="0" w:color="auto"/>
              <w:bottom w:val="single" w:sz="4" w:space="0" w:color="auto"/>
              <w:right w:val="single" w:sz="4" w:space="0" w:color="auto"/>
            </w:tcBorders>
            <w:vAlign w:val="bottom"/>
            <w:hideMark/>
          </w:tcPr>
          <w:p w14:paraId="3CFC8CEB" w14:textId="77777777" w:rsidR="00F24F91" w:rsidRPr="00F24F91" w:rsidRDefault="00F24F91" w:rsidP="00F24F91">
            <w:pPr>
              <w:spacing w:after="120"/>
              <w:rPr>
                <w:b/>
                <w:lang w:val="en-US"/>
              </w:rPr>
            </w:pPr>
            <w:r w:rsidRPr="00F24F91">
              <w:rPr>
                <w:b/>
                <w:bCs/>
                <w:lang w:val="en-US"/>
              </w:rPr>
              <w:t>Differential Timing Error Magnitude (usec)</w:t>
            </w:r>
          </w:p>
        </w:tc>
        <w:tc>
          <w:tcPr>
            <w:tcW w:w="1425" w:type="dxa"/>
            <w:tcBorders>
              <w:top w:val="single" w:sz="4" w:space="0" w:color="auto"/>
              <w:bottom w:val="single" w:sz="4" w:space="0" w:color="auto"/>
              <w:right w:val="single" w:sz="4" w:space="0" w:color="auto"/>
            </w:tcBorders>
            <w:vAlign w:val="bottom"/>
            <w:hideMark/>
          </w:tcPr>
          <w:p w14:paraId="3FB6F29B" w14:textId="77777777" w:rsidR="00F24F91" w:rsidRPr="00F24F91" w:rsidRDefault="00F24F91" w:rsidP="00F24F91">
            <w:pPr>
              <w:spacing w:after="120"/>
              <w:rPr>
                <w:b/>
                <w:lang w:val="en-US"/>
              </w:rPr>
            </w:pPr>
            <w:r w:rsidRPr="00F24F91">
              <w:rPr>
                <w:b/>
                <w:bCs/>
                <w:lang w:val="en-US"/>
              </w:rPr>
              <w:t>Differential Doppler Error (ppm)</w:t>
            </w:r>
          </w:p>
        </w:tc>
      </w:tr>
      <w:tr w:rsidR="00CC061D" w:rsidRPr="00F24F91" w14:paraId="151F4BBD" w14:textId="77777777" w:rsidTr="2ED151A9">
        <w:trPr>
          <w:trHeight w:val="224"/>
        </w:trPr>
        <w:tc>
          <w:tcPr>
            <w:tcW w:w="1425" w:type="dxa"/>
            <w:tcBorders>
              <w:left w:val="single" w:sz="4" w:space="0" w:color="auto"/>
              <w:right w:val="single" w:sz="4" w:space="0" w:color="auto"/>
            </w:tcBorders>
            <w:noWrap/>
            <w:vAlign w:val="bottom"/>
            <w:hideMark/>
          </w:tcPr>
          <w:p w14:paraId="76AD7266" w14:textId="77777777" w:rsidR="00F24F91" w:rsidRPr="00F24F91" w:rsidRDefault="00F24F91" w:rsidP="00F24F91">
            <w:pPr>
              <w:spacing w:after="120"/>
              <w:rPr>
                <w:bCs/>
                <w:lang w:val="en-US"/>
              </w:rPr>
            </w:pPr>
            <w:r w:rsidRPr="00F24F91">
              <w:rPr>
                <w:bCs/>
                <w:lang w:val="en-US"/>
              </w:rPr>
              <w:t>30.0</w:t>
            </w:r>
          </w:p>
        </w:tc>
        <w:tc>
          <w:tcPr>
            <w:tcW w:w="1425" w:type="dxa"/>
            <w:tcBorders>
              <w:right w:val="single" w:sz="4" w:space="0" w:color="auto"/>
            </w:tcBorders>
            <w:noWrap/>
            <w:vAlign w:val="bottom"/>
            <w:hideMark/>
          </w:tcPr>
          <w:p w14:paraId="770A9C40" w14:textId="77777777" w:rsidR="00F24F91" w:rsidRPr="00F24F91" w:rsidRDefault="00F24F91" w:rsidP="00F24F91">
            <w:pPr>
              <w:spacing w:after="120"/>
              <w:rPr>
                <w:bCs/>
                <w:lang w:val="en-US"/>
              </w:rPr>
            </w:pPr>
            <w:r w:rsidRPr="00F24F91">
              <w:rPr>
                <w:bCs/>
                <w:lang w:val="en-US"/>
              </w:rPr>
              <w:t>60.0</w:t>
            </w:r>
          </w:p>
        </w:tc>
        <w:tc>
          <w:tcPr>
            <w:tcW w:w="1425" w:type="dxa"/>
            <w:tcBorders>
              <w:right w:val="single" w:sz="4" w:space="0" w:color="auto"/>
            </w:tcBorders>
            <w:noWrap/>
            <w:vAlign w:val="bottom"/>
            <w:hideMark/>
          </w:tcPr>
          <w:p w14:paraId="6D194459" w14:textId="77777777" w:rsidR="00F24F91" w:rsidRPr="00F24F91" w:rsidRDefault="00F24F91" w:rsidP="00F24F91">
            <w:pPr>
              <w:spacing w:after="120"/>
              <w:rPr>
                <w:bCs/>
                <w:lang w:val="en-US"/>
              </w:rPr>
            </w:pPr>
            <w:r w:rsidRPr="00F24F91">
              <w:rPr>
                <w:bCs/>
                <w:lang w:val="en-US"/>
              </w:rPr>
              <w:t>500</w:t>
            </w:r>
          </w:p>
        </w:tc>
        <w:tc>
          <w:tcPr>
            <w:tcW w:w="1425" w:type="dxa"/>
            <w:tcBorders>
              <w:right w:val="single" w:sz="4" w:space="0" w:color="auto"/>
            </w:tcBorders>
            <w:noWrap/>
            <w:vAlign w:val="bottom"/>
            <w:hideMark/>
          </w:tcPr>
          <w:p w14:paraId="7D600955" w14:textId="77777777" w:rsidR="00F24F91" w:rsidRPr="00F24F91" w:rsidRDefault="00F24F91" w:rsidP="00F24F91">
            <w:pPr>
              <w:spacing w:after="120"/>
              <w:rPr>
                <w:bCs/>
                <w:lang w:val="en-US"/>
              </w:rPr>
            </w:pPr>
            <w:r w:rsidRPr="00F24F91">
              <w:rPr>
                <w:bCs/>
                <w:lang w:val="en-US"/>
              </w:rPr>
              <w:t>2200</w:t>
            </w:r>
          </w:p>
        </w:tc>
        <w:tc>
          <w:tcPr>
            <w:tcW w:w="1425" w:type="dxa"/>
            <w:tcBorders>
              <w:right w:val="single" w:sz="4" w:space="0" w:color="auto"/>
            </w:tcBorders>
            <w:noWrap/>
            <w:vAlign w:val="bottom"/>
            <w:hideMark/>
          </w:tcPr>
          <w:p w14:paraId="6852FD95" w14:textId="77777777" w:rsidR="00F24F91" w:rsidRPr="00F24F91" w:rsidRDefault="00F24F91" w:rsidP="00F24F91">
            <w:pPr>
              <w:spacing w:after="120"/>
              <w:rPr>
                <w:bCs/>
                <w:lang w:val="en-US"/>
              </w:rPr>
            </w:pPr>
            <w:r w:rsidRPr="00F24F91">
              <w:rPr>
                <w:bCs/>
                <w:lang w:val="en-US"/>
              </w:rPr>
              <w:t>75</w:t>
            </w:r>
          </w:p>
        </w:tc>
        <w:tc>
          <w:tcPr>
            <w:tcW w:w="1425" w:type="dxa"/>
            <w:tcBorders>
              <w:right w:val="single" w:sz="4" w:space="0" w:color="auto"/>
            </w:tcBorders>
            <w:noWrap/>
            <w:vAlign w:val="bottom"/>
            <w:hideMark/>
          </w:tcPr>
          <w:p w14:paraId="52D73922" w14:textId="77777777" w:rsidR="00F24F91" w:rsidRPr="00F24F91" w:rsidRDefault="00F24F91" w:rsidP="00F24F91">
            <w:pPr>
              <w:spacing w:after="120"/>
              <w:rPr>
                <w:bCs/>
                <w:lang w:val="en-US"/>
              </w:rPr>
            </w:pPr>
            <w:r w:rsidRPr="00F24F91">
              <w:rPr>
                <w:bCs/>
                <w:lang w:val="en-US"/>
              </w:rPr>
              <w:t>214.9</w:t>
            </w:r>
          </w:p>
        </w:tc>
        <w:tc>
          <w:tcPr>
            <w:tcW w:w="1425" w:type="dxa"/>
            <w:tcBorders>
              <w:right w:val="single" w:sz="4" w:space="0" w:color="auto"/>
            </w:tcBorders>
            <w:noWrap/>
            <w:vAlign w:val="bottom"/>
            <w:hideMark/>
          </w:tcPr>
          <w:p w14:paraId="25B7BECC" w14:textId="77777777" w:rsidR="00F24F91" w:rsidRPr="00F24F91" w:rsidRDefault="00F24F91" w:rsidP="00F24F91">
            <w:pPr>
              <w:spacing w:after="120"/>
              <w:rPr>
                <w:bCs/>
                <w:lang w:val="en-US"/>
              </w:rPr>
            </w:pPr>
            <w:r w:rsidRPr="00F24F91">
              <w:rPr>
                <w:bCs/>
                <w:lang w:val="en-US"/>
              </w:rPr>
              <w:t>0.369</w:t>
            </w:r>
          </w:p>
        </w:tc>
      </w:tr>
      <w:tr w:rsidR="00CC061D" w:rsidRPr="00F24F91" w14:paraId="08C5EC57" w14:textId="77777777" w:rsidTr="2ED151A9">
        <w:trPr>
          <w:trHeight w:val="224"/>
        </w:trPr>
        <w:tc>
          <w:tcPr>
            <w:tcW w:w="1425" w:type="dxa"/>
            <w:tcBorders>
              <w:left w:val="single" w:sz="4" w:space="0" w:color="auto"/>
              <w:bottom w:val="single" w:sz="4" w:space="0" w:color="auto"/>
              <w:right w:val="single" w:sz="4" w:space="0" w:color="auto"/>
            </w:tcBorders>
            <w:noWrap/>
            <w:vAlign w:val="bottom"/>
            <w:hideMark/>
          </w:tcPr>
          <w:p w14:paraId="6CA94AE7" w14:textId="77777777" w:rsidR="00F24F91" w:rsidRPr="00F24F91" w:rsidRDefault="00F24F91" w:rsidP="00F24F91">
            <w:pPr>
              <w:spacing w:after="120"/>
              <w:rPr>
                <w:bCs/>
                <w:lang w:val="en-US"/>
              </w:rPr>
            </w:pPr>
            <w:r w:rsidRPr="00F24F91">
              <w:rPr>
                <w:bCs/>
                <w:lang w:val="en-US"/>
              </w:rPr>
              <w:t>10.0</w:t>
            </w:r>
          </w:p>
        </w:tc>
        <w:tc>
          <w:tcPr>
            <w:tcW w:w="1425" w:type="dxa"/>
            <w:tcBorders>
              <w:bottom w:val="single" w:sz="4" w:space="0" w:color="auto"/>
              <w:right w:val="single" w:sz="4" w:space="0" w:color="auto"/>
            </w:tcBorders>
            <w:noWrap/>
            <w:vAlign w:val="bottom"/>
            <w:hideMark/>
          </w:tcPr>
          <w:p w14:paraId="35AB776E" w14:textId="77777777" w:rsidR="00F24F91" w:rsidRPr="00F24F91" w:rsidRDefault="00F24F91" w:rsidP="00F24F91">
            <w:pPr>
              <w:spacing w:after="120"/>
              <w:rPr>
                <w:bCs/>
                <w:lang w:val="en-US"/>
              </w:rPr>
            </w:pPr>
            <w:r w:rsidRPr="00F24F91">
              <w:rPr>
                <w:bCs/>
                <w:lang w:val="en-US"/>
              </w:rPr>
              <w:t>80.0</w:t>
            </w:r>
          </w:p>
        </w:tc>
        <w:tc>
          <w:tcPr>
            <w:tcW w:w="1425" w:type="dxa"/>
            <w:tcBorders>
              <w:bottom w:val="single" w:sz="4" w:space="0" w:color="auto"/>
              <w:right w:val="single" w:sz="4" w:space="0" w:color="auto"/>
            </w:tcBorders>
            <w:noWrap/>
            <w:vAlign w:val="bottom"/>
            <w:hideMark/>
          </w:tcPr>
          <w:p w14:paraId="0E118603" w14:textId="77777777" w:rsidR="00F24F91" w:rsidRPr="00F24F91" w:rsidRDefault="00F24F91" w:rsidP="00F24F91">
            <w:pPr>
              <w:spacing w:after="120"/>
              <w:rPr>
                <w:bCs/>
                <w:lang w:val="en-US"/>
              </w:rPr>
            </w:pPr>
            <w:r w:rsidRPr="00F24F91">
              <w:rPr>
                <w:bCs/>
                <w:lang w:val="en-US"/>
              </w:rPr>
              <w:t>1200</w:t>
            </w:r>
          </w:p>
        </w:tc>
        <w:tc>
          <w:tcPr>
            <w:tcW w:w="1425" w:type="dxa"/>
            <w:tcBorders>
              <w:bottom w:val="single" w:sz="4" w:space="0" w:color="auto"/>
              <w:right w:val="single" w:sz="4" w:space="0" w:color="auto"/>
            </w:tcBorders>
            <w:noWrap/>
            <w:vAlign w:val="bottom"/>
            <w:hideMark/>
          </w:tcPr>
          <w:p w14:paraId="514EECC4" w14:textId="77777777" w:rsidR="00F24F91" w:rsidRPr="00F24F91" w:rsidRDefault="00F24F91" w:rsidP="00F24F91">
            <w:pPr>
              <w:spacing w:after="120"/>
              <w:rPr>
                <w:bCs/>
                <w:lang w:val="en-US"/>
              </w:rPr>
            </w:pPr>
            <w:r w:rsidRPr="00F24F91">
              <w:rPr>
                <w:bCs/>
                <w:lang w:val="en-US"/>
              </w:rPr>
              <w:t>1500</w:t>
            </w:r>
          </w:p>
        </w:tc>
        <w:tc>
          <w:tcPr>
            <w:tcW w:w="1425" w:type="dxa"/>
            <w:tcBorders>
              <w:bottom w:val="single" w:sz="4" w:space="0" w:color="auto"/>
              <w:right w:val="single" w:sz="4" w:space="0" w:color="auto"/>
            </w:tcBorders>
            <w:noWrap/>
            <w:vAlign w:val="bottom"/>
            <w:hideMark/>
          </w:tcPr>
          <w:p w14:paraId="5BDE0693" w14:textId="77777777" w:rsidR="00F24F91" w:rsidRPr="00F24F91" w:rsidRDefault="00F24F91" w:rsidP="00F24F91">
            <w:pPr>
              <w:spacing w:after="120"/>
              <w:rPr>
                <w:bCs/>
                <w:lang w:val="en-US"/>
              </w:rPr>
            </w:pPr>
            <w:r w:rsidRPr="00F24F91">
              <w:rPr>
                <w:bCs/>
                <w:lang w:val="en-US"/>
              </w:rPr>
              <w:t>773</w:t>
            </w:r>
          </w:p>
        </w:tc>
        <w:tc>
          <w:tcPr>
            <w:tcW w:w="1425" w:type="dxa"/>
            <w:tcBorders>
              <w:bottom w:val="single" w:sz="4" w:space="0" w:color="auto"/>
              <w:right w:val="single" w:sz="4" w:space="0" w:color="auto"/>
            </w:tcBorders>
            <w:noWrap/>
            <w:vAlign w:val="bottom"/>
            <w:hideMark/>
          </w:tcPr>
          <w:p w14:paraId="6FAF1A67" w14:textId="77777777" w:rsidR="00F24F91" w:rsidRPr="00F24F91" w:rsidRDefault="00F24F91" w:rsidP="00F24F91">
            <w:pPr>
              <w:spacing w:after="120"/>
              <w:rPr>
                <w:bCs/>
                <w:lang w:val="en-US"/>
              </w:rPr>
            </w:pPr>
            <w:r w:rsidRPr="00F24F91">
              <w:rPr>
                <w:bCs/>
                <w:lang w:val="en-US"/>
              </w:rPr>
              <w:t>2516.5</w:t>
            </w:r>
          </w:p>
        </w:tc>
        <w:tc>
          <w:tcPr>
            <w:tcW w:w="1425" w:type="dxa"/>
            <w:tcBorders>
              <w:bottom w:val="single" w:sz="4" w:space="0" w:color="auto"/>
              <w:right w:val="single" w:sz="4" w:space="0" w:color="auto"/>
            </w:tcBorders>
            <w:noWrap/>
            <w:vAlign w:val="bottom"/>
            <w:hideMark/>
          </w:tcPr>
          <w:p w14:paraId="2B94DBED" w14:textId="77777777" w:rsidR="00F24F91" w:rsidRPr="00F24F91" w:rsidRDefault="00F24F91" w:rsidP="00F24F91">
            <w:pPr>
              <w:spacing w:after="120"/>
              <w:rPr>
                <w:bCs/>
                <w:lang w:val="en-US"/>
              </w:rPr>
            </w:pPr>
            <w:r w:rsidRPr="00F24F91">
              <w:rPr>
                <w:bCs/>
                <w:lang w:val="en-US"/>
              </w:rPr>
              <w:t>0.684</w:t>
            </w:r>
          </w:p>
        </w:tc>
      </w:tr>
    </w:tbl>
    <w:p w14:paraId="2C0885E5" w14:textId="77777777" w:rsidR="2ED151A9" w:rsidRDefault="2ED151A9"/>
    <w:p w14:paraId="5E05762F" w14:textId="77777777" w:rsidR="00F24F91" w:rsidRPr="00B511A0" w:rsidRDefault="00F24F91" w:rsidP="005D20F1">
      <w:pPr>
        <w:spacing w:after="120"/>
        <w:rPr>
          <w:b/>
        </w:rPr>
      </w:pPr>
    </w:p>
    <w:p w14:paraId="1293DAAB" w14:textId="39BCE16C" w:rsidR="005D20F1" w:rsidRDefault="005D20F1" w:rsidP="005D20F1">
      <w:pPr>
        <w:spacing w:after="120"/>
        <w:rPr>
          <w:rFonts w:ascii="Arial" w:hAnsi="Arial" w:cs="Arial"/>
          <w:b/>
        </w:rPr>
      </w:pPr>
      <w:r>
        <w:rPr>
          <w:rFonts w:ascii="Arial" w:hAnsi="Arial" w:cs="Arial"/>
          <w:b/>
        </w:rPr>
        <w:t>3. Conclusion</w:t>
      </w:r>
      <w:r w:rsidR="000F4544">
        <w:rPr>
          <w:rFonts w:ascii="Arial" w:hAnsi="Arial" w:cs="Arial"/>
          <w:b/>
        </w:rPr>
        <w:t>s</w:t>
      </w:r>
    </w:p>
    <w:p w14:paraId="4D3893AF" w14:textId="77777777" w:rsidR="00E04D83" w:rsidRDefault="00E04D83" w:rsidP="00E04D83">
      <w:pPr>
        <w:spacing w:after="120"/>
        <w:rPr>
          <w:b/>
          <w:i/>
          <w:iCs/>
        </w:rPr>
      </w:pPr>
      <w:r w:rsidRPr="00A57AD5">
        <w:rPr>
          <w:b/>
          <w:i/>
          <w:iCs/>
        </w:rPr>
        <w:t>Observation 1: The worst-case scenario of interest is</w:t>
      </w:r>
      <w:r>
        <w:rPr>
          <w:b/>
          <w:i/>
          <w:iCs/>
        </w:rPr>
        <w:t xml:space="preserve"> when</w:t>
      </w:r>
      <w:r w:rsidRPr="00A57AD5">
        <w:rPr>
          <w:b/>
          <w:i/>
          <w:iCs/>
        </w:rPr>
        <w:t xml:space="preserve"> GNSS information is not available for timing and frequency adjustment during initial access. </w:t>
      </w:r>
    </w:p>
    <w:p w14:paraId="0E8677F2" w14:textId="77777777" w:rsidR="00E04D83" w:rsidRPr="00A57AD5" w:rsidRDefault="00E04D83" w:rsidP="00E04D83">
      <w:pPr>
        <w:spacing w:after="120"/>
        <w:rPr>
          <w:b/>
          <w:i/>
          <w:iCs/>
        </w:rPr>
      </w:pPr>
      <w:r w:rsidRPr="00A57AD5">
        <w:rPr>
          <w:b/>
          <w:i/>
          <w:iCs/>
        </w:rPr>
        <w:t xml:space="preserve">Observation </w:t>
      </w:r>
      <w:r>
        <w:rPr>
          <w:b/>
          <w:i/>
          <w:iCs/>
        </w:rPr>
        <w:t>2</w:t>
      </w:r>
      <w:r w:rsidRPr="00A57AD5">
        <w:rPr>
          <w:b/>
          <w:i/>
          <w:iCs/>
        </w:rPr>
        <w:t xml:space="preserve">: </w:t>
      </w:r>
      <w:r>
        <w:rPr>
          <w:b/>
          <w:i/>
          <w:iCs/>
        </w:rPr>
        <w:t xml:space="preserve">Due to lack of accurate GNSS position information, </w:t>
      </w:r>
      <w:r w:rsidRPr="0040006D">
        <w:rPr>
          <w:b/>
          <w:i/>
          <w:iCs/>
        </w:rPr>
        <w:t>the UE must perform cell search by detecting PSS over a wide range of frequencies around the carrier frequenc</w:t>
      </w:r>
      <w:r>
        <w:rPr>
          <w:b/>
          <w:i/>
          <w:iCs/>
        </w:rPr>
        <w:t>y.</w:t>
      </w:r>
    </w:p>
    <w:p w14:paraId="57B42A72" w14:textId="77777777" w:rsidR="00E04D83" w:rsidRPr="00A57AD5" w:rsidRDefault="00E04D83" w:rsidP="00E04D83">
      <w:pPr>
        <w:spacing w:after="120"/>
        <w:rPr>
          <w:b/>
          <w:i/>
          <w:iCs/>
        </w:rPr>
      </w:pPr>
      <w:r w:rsidRPr="78EB2275">
        <w:rPr>
          <w:b/>
          <w:bCs/>
          <w:i/>
          <w:iCs/>
        </w:rPr>
        <w:t>Observation 3: Due to lack of accurate GNSS position information, the coarse delay estimation at the UE may result in a large pre-compensated timing advance parameter during the random-access procedure.</w:t>
      </w:r>
    </w:p>
    <w:p w14:paraId="35CD45B6" w14:textId="77777777" w:rsidR="39565BE3" w:rsidRDefault="39565BE3" w:rsidP="78EB2275">
      <w:pPr>
        <w:spacing w:after="120"/>
        <w:rPr>
          <w:b/>
          <w:bCs/>
          <w:i/>
          <w:iCs/>
        </w:rPr>
      </w:pPr>
      <w:r w:rsidRPr="78EB2275">
        <w:rPr>
          <w:b/>
          <w:bCs/>
          <w:i/>
          <w:iCs/>
        </w:rPr>
        <w:t xml:space="preserve">Proposal 1: The study should consider the timing and frequency offset parameters depicted in the table below. These parameters are for a stationary user. For mobile users, the UE velocity needs to be </w:t>
      </w:r>
      <w:proofErr w:type="gramStart"/>
      <w:r w:rsidRPr="78EB2275">
        <w:rPr>
          <w:b/>
          <w:bCs/>
          <w:i/>
          <w:iCs/>
        </w:rPr>
        <w:t>taken into account</w:t>
      </w:r>
      <w:proofErr w:type="gramEnd"/>
      <w:r w:rsidRPr="78EB2275">
        <w:rPr>
          <w:b/>
          <w:bCs/>
          <w:i/>
          <w:iCs/>
        </w:rPr>
        <w:t>.</w:t>
      </w:r>
    </w:p>
    <w:p w14:paraId="1EF818FB" w14:textId="77777777" w:rsidR="78EB2275" w:rsidRDefault="78EB2275" w:rsidP="78EB2275">
      <w:pPr>
        <w:spacing w:after="120"/>
        <w:rPr>
          <w:b/>
          <w:bCs/>
          <w:i/>
          <w:iCs/>
        </w:rPr>
      </w:pPr>
    </w:p>
    <w:p w14:paraId="0850893A" w14:textId="77777777" w:rsidR="000F4544" w:rsidRDefault="000F4544" w:rsidP="78EB2275">
      <w:pPr>
        <w:spacing w:after="120"/>
        <w:rPr>
          <w:b/>
          <w:bCs/>
          <w:i/>
          <w:iCs/>
        </w:rPr>
      </w:pPr>
    </w:p>
    <w:p w14:paraId="2EE32210" w14:textId="77777777" w:rsidR="00E04D83" w:rsidRPr="00B511A0" w:rsidRDefault="00E04D83" w:rsidP="00E04D83">
      <w:pPr>
        <w:pStyle w:val="Caption"/>
        <w:jc w:val="center"/>
        <w:rPr>
          <w:rFonts w:eastAsia="SimSun"/>
          <w:lang w:eastAsia="zh-CN"/>
        </w:rPr>
      </w:pPr>
      <w:r w:rsidRPr="00B511A0">
        <w:t xml:space="preserve">Table </w:t>
      </w:r>
      <w:r>
        <w:fldChar w:fldCharType="begin"/>
      </w:r>
      <w:r>
        <w:instrText>SEQ Table \* ARABIC</w:instrText>
      </w:r>
      <w:r>
        <w:fldChar w:fldCharType="separate"/>
      </w:r>
      <w:r w:rsidRPr="00B511A0">
        <w:t>1</w:t>
      </w:r>
      <w:r>
        <w:fldChar w:fldCharType="end"/>
      </w:r>
      <w:r w:rsidRPr="00B511A0">
        <w:rPr>
          <w:rFonts w:eastAsia="SimSun"/>
          <w:lang w:eastAsia="zh-CN"/>
        </w:rPr>
        <w:t xml:space="preserve"> Differential Frequency and Timing Offset for NGSO constellations</w:t>
      </w:r>
    </w:p>
    <w:tbl>
      <w:tblPr>
        <w:tblW w:w="0" w:type="auto"/>
        <w:tblLook w:val="04A0" w:firstRow="1" w:lastRow="0" w:firstColumn="1" w:lastColumn="0" w:noHBand="0" w:noVBand="1"/>
      </w:tblPr>
      <w:tblGrid>
        <w:gridCol w:w="1408"/>
        <w:gridCol w:w="1395"/>
        <w:gridCol w:w="1399"/>
        <w:gridCol w:w="1413"/>
        <w:gridCol w:w="1408"/>
        <w:gridCol w:w="1416"/>
        <w:gridCol w:w="1416"/>
      </w:tblGrid>
      <w:tr w:rsidR="2ED151A9" w14:paraId="36E71C2D" w14:textId="77777777" w:rsidTr="2ED151A9">
        <w:trPr>
          <w:trHeight w:val="448"/>
        </w:trPr>
        <w:tc>
          <w:tcPr>
            <w:tcW w:w="1425" w:type="dxa"/>
            <w:tcBorders>
              <w:top w:val="single" w:sz="4" w:space="0" w:color="auto"/>
              <w:left w:val="single" w:sz="4" w:space="0" w:color="auto"/>
              <w:bottom w:val="single" w:sz="4" w:space="0" w:color="auto"/>
              <w:right w:val="single" w:sz="4" w:space="0" w:color="auto"/>
            </w:tcBorders>
            <w:vAlign w:val="bottom"/>
          </w:tcPr>
          <w:p w14:paraId="5A9E8139" w14:textId="77777777" w:rsidR="2ED151A9" w:rsidRDefault="2ED151A9" w:rsidP="2ED151A9">
            <w:pPr>
              <w:spacing w:after="120"/>
              <w:rPr>
                <w:b/>
                <w:bCs/>
                <w:lang w:val="en-US"/>
              </w:rPr>
            </w:pPr>
            <w:r w:rsidRPr="2ED151A9">
              <w:rPr>
                <w:b/>
                <w:bCs/>
                <w:lang w:val="en-US"/>
              </w:rPr>
              <w:t>Min User Elevation Angle (deg)</w:t>
            </w:r>
          </w:p>
        </w:tc>
        <w:tc>
          <w:tcPr>
            <w:tcW w:w="1425" w:type="dxa"/>
            <w:tcBorders>
              <w:top w:val="single" w:sz="4" w:space="0" w:color="auto"/>
              <w:bottom w:val="single" w:sz="4" w:space="0" w:color="auto"/>
              <w:right w:val="single" w:sz="4" w:space="0" w:color="auto"/>
            </w:tcBorders>
            <w:vAlign w:val="bottom"/>
          </w:tcPr>
          <w:p w14:paraId="0DD05781" w14:textId="77777777" w:rsidR="2ED151A9" w:rsidRDefault="2ED151A9" w:rsidP="2ED151A9">
            <w:pPr>
              <w:spacing w:after="120"/>
              <w:rPr>
                <w:b/>
                <w:bCs/>
                <w:lang w:val="en-US"/>
              </w:rPr>
            </w:pPr>
            <w:r w:rsidRPr="2ED151A9">
              <w:rPr>
                <w:b/>
                <w:bCs/>
                <w:lang w:val="en-US"/>
              </w:rPr>
              <w:t>Max Angle from Nadir (deg)</w:t>
            </w:r>
          </w:p>
        </w:tc>
        <w:tc>
          <w:tcPr>
            <w:tcW w:w="1425" w:type="dxa"/>
            <w:tcBorders>
              <w:top w:val="single" w:sz="4" w:space="0" w:color="auto"/>
              <w:bottom w:val="single" w:sz="4" w:space="0" w:color="auto"/>
              <w:right w:val="single" w:sz="4" w:space="0" w:color="auto"/>
            </w:tcBorders>
            <w:vAlign w:val="bottom"/>
          </w:tcPr>
          <w:p w14:paraId="0CB9A3A4" w14:textId="77777777" w:rsidR="2ED151A9" w:rsidRDefault="2ED151A9" w:rsidP="2ED151A9">
            <w:pPr>
              <w:spacing w:after="120"/>
              <w:rPr>
                <w:b/>
                <w:bCs/>
                <w:lang w:val="en-US"/>
              </w:rPr>
            </w:pPr>
            <w:r w:rsidRPr="2ED151A9">
              <w:rPr>
                <w:b/>
                <w:bCs/>
                <w:lang w:val="en-US"/>
              </w:rPr>
              <w:t>Orbit Height (km)</w:t>
            </w:r>
          </w:p>
        </w:tc>
        <w:tc>
          <w:tcPr>
            <w:tcW w:w="1425" w:type="dxa"/>
            <w:tcBorders>
              <w:top w:val="single" w:sz="4" w:space="0" w:color="auto"/>
              <w:bottom w:val="single" w:sz="4" w:space="0" w:color="auto"/>
              <w:right w:val="single" w:sz="4" w:space="0" w:color="auto"/>
            </w:tcBorders>
            <w:vAlign w:val="bottom"/>
          </w:tcPr>
          <w:p w14:paraId="48C791C3" w14:textId="77777777" w:rsidR="2ED151A9" w:rsidRDefault="2ED151A9" w:rsidP="2ED151A9">
            <w:pPr>
              <w:spacing w:after="120"/>
              <w:rPr>
                <w:b/>
                <w:bCs/>
                <w:lang w:val="en-US"/>
              </w:rPr>
            </w:pPr>
            <w:r w:rsidRPr="2ED151A9">
              <w:rPr>
                <w:b/>
                <w:bCs/>
                <w:lang w:val="en-US"/>
              </w:rPr>
              <w:t>Carrier Frequency (MHz)</w:t>
            </w:r>
          </w:p>
        </w:tc>
        <w:tc>
          <w:tcPr>
            <w:tcW w:w="1425" w:type="dxa"/>
            <w:tcBorders>
              <w:top w:val="single" w:sz="4" w:space="0" w:color="auto"/>
              <w:bottom w:val="single" w:sz="4" w:space="0" w:color="auto"/>
              <w:right w:val="single" w:sz="4" w:space="0" w:color="auto"/>
            </w:tcBorders>
            <w:vAlign w:val="bottom"/>
          </w:tcPr>
          <w:p w14:paraId="2B2FAEBF" w14:textId="77777777" w:rsidR="2ED151A9" w:rsidRDefault="2ED151A9" w:rsidP="2ED151A9">
            <w:pPr>
              <w:spacing w:after="120"/>
              <w:rPr>
                <w:b/>
                <w:bCs/>
                <w:lang w:val="en-US"/>
              </w:rPr>
            </w:pPr>
            <w:r w:rsidRPr="2ED151A9">
              <w:rPr>
                <w:b/>
                <w:bCs/>
                <w:lang w:val="en-US"/>
              </w:rPr>
              <w:t>Beam Diameter (km)</w:t>
            </w:r>
          </w:p>
        </w:tc>
        <w:tc>
          <w:tcPr>
            <w:tcW w:w="1425" w:type="dxa"/>
            <w:tcBorders>
              <w:top w:val="single" w:sz="4" w:space="0" w:color="auto"/>
              <w:bottom w:val="single" w:sz="4" w:space="0" w:color="auto"/>
              <w:right w:val="single" w:sz="4" w:space="0" w:color="auto"/>
            </w:tcBorders>
            <w:vAlign w:val="bottom"/>
          </w:tcPr>
          <w:p w14:paraId="5F4FA51C" w14:textId="77777777" w:rsidR="2ED151A9" w:rsidRDefault="2ED151A9" w:rsidP="2ED151A9">
            <w:pPr>
              <w:spacing w:after="120"/>
              <w:rPr>
                <w:b/>
                <w:bCs/>
                <w:lang w:val="en-US"/>
              </w:rPr>
            </w:pPr>
            <w:r w:rsidRPr="2ED151A9">
              <w:rPr>
                <w:b/>
                <w:bCs/>
                <w:lang w:val="en-US"/>
              </w:rPr>
              <w:t>Differential Timing Error Magnitude (usec)</w:t>
            </w:r>
          </w:p>
        </w:tc>
        <w:tc>
          <w:tcPr>
            <w:tcW w:w="1425" w:type="dxa"/>
            <w:tcBorders>
              <w:top w:val="single" w:sz="4" w:space="0" w:color="auto"/>
              <w:bottom w:val="single" w:sz="4" w:space="0" w:color="auto"/>
              <w:right w:val="single" w:sz="4" w:space="0" w:color="auto"/>
            </w:tcBorders>
            <w:vAlign w:val="bottom"/>
          </w:tcPr>
          <w:p w14:paraId="0D7E0734" w14:textId="77777777" w:rsidR="2ED151A9" w:rsidRDefault="2ED151A9" w:rsidP="2ED151A9">
            <w:pPr>
              <w:spacing w:after="120"/>
              <w:rPr>
                <w:b/>
                <w:bCs/>
                <w:lang w:val="en-US"/>
              </w:rPr>
            </w:pPr>
            <w:r w:rsidRPr="2ED151A9">
              <w:rPr>
                <w:b/>
                <w:bCs/>
                <w:lang w:val="en-US"/>
              </w:rPr>
              <w:t>Differential Doppler Error (ppm)</w:t>
            </w:r>
          </w:p>
        </w:tc>
      </w:tr>
      <w:tr w:rsidR="2ED151A9" w14:paraId="72A31F2A" w14:textId="77777777" w:rsidTr="2ED151A9">
        <w:trPr>
          <w:trHeight w:val="224"/>
        </w:trPr>
        <w:tc>
          <w:tcPr>
            <w:tcW w:w="1425" w:type="dxa"/>
            <w:tcBorders>
              <w:left w:val="single" w:sz="4" w:space="0" w:color="auto"/>
              <w:right w:val="single" w:sz="4" w:space="0" w:color="auto"/>
            </w:tcBorders>
            <w:vAlign w:val="bottom"/>
          </w:tcPr>
          <w:p w14:paraId="5B30AC5C" w14:textId="77777777" w:rsidR="2ED151A9" w:rsidRDefault="2ED151A9" w:rsidP="2ED151A9">
            <w:pPr>
              <w:spacing w:after="120"/>
              <w:rPr>
                <w:lang w:val="en-US"/>
              </w:rPr>
            </w:pPr>
            <w:r w:rsidRPr="2ED151A9">
              <w:rPr>
                <w:lang w:val="en-US"/>
              </w:rPr>
              <w:t>30.0</w:t>
            </w:r>
          </w:p>
        </w:tc>
        <w:tc>
          <w:tcPr>
            <w:tcW w:w="1425" w:type="dxa"/>
            <w:tcBorders>
              <w:right w:val="single" w:sz="4" w:space="0" w:color="auto"/>
            </w:tcBorders>
            <w:vAlign w:val="bottom"/>
          </w:tcPr>
          <w:p w14:paraId="7551203B" w14:textId="77777777" w:rsidR="2ED151A9" w:rsidRDefault="2ED151A9" w:rsidP="2ED151A9">
            <w:pPr>
              <w:spacing w:after="120"/>
              <w:rPr>
                <w:lang w:val="en-US"/>
              </w:rPr>
            </w:pPr>
            <w:r w:rsidRPr="2ED151A9">
              <w:rPr>
                <w:lang w:val="en-US"/>
              </w:rPr>
              <w:t>60.0</w:t>
            </w:r>
          </w:p>
        </w:tc>
        <w:tc>
          <w:tcPr>
            <w:tcW w:w="1425" w:type="dxa"/>
            <w:tcBorders>
              <w:right w:val="single" w:sz="4" w:space="0" w:color="auto"/>
            </w:tcBorders>
            <w:vAlign w:val="bottom"/>
          </w:tcPr>
          <w:p w14:paraId="444E7D55" w14:textId="77777777" w:rsidR="2ED151A9" w:rsidRDefault="2ED151A9" w:rsidP="2ED151A9">
            <w:pPr>
              <w:spacing w:after="120"/>
              <w:rPr>
                <w:lang w:val="en-US"/>
              </w:rPr>
            </w:pPr>
            <w:r w:rsidRPr="2ED151A9">
              <w:rPr>
                <w:lang w:val="en-US"/>
              </w:rPr>
              <w:t>500</w:t>
            </w:r>
          </w:p>
        </w:tc>
        <w:tc>
          <w:tcPr>
            <w:tcW w:w="1425" w:type="dxa"/>
            <w:tcBorders>
              <w:right w:val="single" w:sz="4" w:space="0" w:color="auto"/>
            </w:tcBorders>
            <w:vAlign w:val="bottom"/>
          </w:tcPr>
          <w:p w14:paraId="122AF023" w14:textId="77777777" w:rsidR="2ED151A9" w:rsidRDefault="2ED151A9" w:rsidP="2ED151A9">
            <w:pPr>
              <w:spacing w:after="120"/>
              <w:rPr>
                <w:lang w:val="en-US"/>
              </w:rPr>
            </w:pPr>
            <w:r w:rsidRPr="2ED151A9">
              <w:rPr>
                <w:lang w:val="en-US"/>
              </w:rPr>
              <w:t>2200</w:t>
            </w:r>
          </w:p>
        </w:tc>
        <w:tc>
          <w:tcPr>
            <w:tcW w:w="1425" w:type="dxa"/>
            <w:tcBorders>
              <w:right w:val="single" w:sz="4" w:space="0" w:color="auto"/>
            </w:tcBorders>
            <w:vAlign w:val="bottom"/>
          </w:tcPr>
          <w:p w14:paraId="144B226B" w14:textId="77777777" w:rsidR="2ED151A9" w:rsidRDefault="2ED151A9" w:rsidP="2ED151A9">
            <w:pPr>
              <w:spacing w:after="120"/>
              <w:rPr>
                <w:lang w:val="en-US"/>
              </w:rPr>
            </w:pPr>
            <w:r w:rsidRPr="2ED151A9">
              <w:rPr>
                <w:lang w:val="en-US"/>
              </w:rPr>
              <w:t>75</w:t>
            </w:r>
          </w:p>
        </w:tc>
        <w:tc>
          <w:tcPr>
            <w:tcW w:w="1425" w:type="dxa"/>
            <w:tcBorders>
              <w:right w:val="single" w:sz="4" w:space="0" w:color="auto"/>
            </w:tcBorders>
            <w:vAlign w:val="bottom"/>
          </w:tcPr>
          <w:p w14:paraId="21742316" w14:textId="77777777" w:rsidR="2ED151A9" w:rsidRDefault="2ED151A9" w:rsidP="2ED151A9">
            <w:pPr>
              <w:spacing w:after="120"/>
              <w:rPr>
                <w:lang w:val="en-US"/>
              </w:rPr>
            </w:pPr>
            <w:r w:rsidRPr="2ED151A9">
              <w:rPr>
                <w:lang w:val="en-US"/>
              </w:rPr>
              <w:t>214.9</w:t>
            </w:r>
          </w:p>
        </w:tc>
        <w:tc>
          <w:tcPr>
            <w:tcW w:w="1425" w:type="dxa"/>
            <w:tcBorders>
              <w:right w:val="single" w:sz="4" w:space="0" w:color="auto"/>
            </w:tcBorders>
            <w:vAlign w:val="bottom"/>
          </w:tcPr>
          <w:p w14:paraId="7F72D004" w14:textId="77777777" w:rsidR="2ED151A9" w:rsidRDefault="2ED151A9" w:rsidP="2ED151A9">
            <w:pPr>
              <w:spacing w:after="120"/>
              <w:rPr>
                <w:lang w:val="en-US"/>
              </w:rPr>
            </w:pPr>
            <w:r w:rsidRPr="2ED151A9">
              <w:rPr>
                <w:lang w:val="en-US"/>
              </w:rPr>
              <w:t>0.369</w:t>
            </w:r>
          </w:p>
        </w:tc>
      </w:tr>
      <w:tr w:rsidR="2ED151A9" w14:paraId="2F392543" w14:textId="77777777" w:rsidTr="2ED151A9">
        <w:trPr>
          <w:trHeight w:val="224"/>
        </w:trPr>
        <w:tc>
          <w:tcPr>
            <w:tcW w:w="1425" w:type="dxa"/>
            <w:tcBorders>
              <w:left w:val="single" w:sz="4" w:space="0" w:color="auto"/>
              <w:bottom w:val="single" w:sz="4" w:space="0" w:color="auto"/>
              <w:right w:val="single" w:sz="4" w:space="0" w:color="auto"/>
            </w:tcBorders>
            <w:vAlign w:val="bottom"/>
          </w:tcPr>
          <w:p w14:paraId="76EF75E1" w14:textId="77777777" w:rsidR="2ED151A9" w:rsidRDefault="2ED151A9" w:rsidP="2ED151A9">
            <w:pPr>
              <w:spacing w:after="120"/>
              <w:rPr>
                <w:lang w:val="en-US"/>
              </w:rPr>
            </w:pPr>
            <w:r w:rsidRPr="2ED151A9">
              <w:rPr>
                <w:lang w:val="en-US"/>
              </w:rPr>
              <w:t>10.0</w:t>
            </w:r>
          </w:p>
        </w:tc>
        <w:tc>
          <w:tcPr>
            <w:tcW w:w="1425" w:type="dxa"/>
            <w:tcBorders>
              <w:bottom w:val="single" w:sz="4" w:space="0" w:color="auto"/>
              <w:right w:val="single" w:sz="4" w:space="0" w:color="auto"/>
            </w:tcBorders>
            <w:vAlign w:val="bottom"/>
          </w:tcPr>
          <w:p w14:paraId="5B8A4108" w14:textId="77777777" w:rsidR="2ED151A9" w:rsidRDefault="2ED151A9" w:rsidP="2ED151A9">
            <w:pPr>
              <w:spacing w:after="120"/>
              <w:rPr>
                <w:lang w:val="en-US"/>
              </w:rPr>
            </w:pPr>
            <w:r w:rsidRPr="2ED151A9">
              <w:rPr>
                <w:lang w:val="en-US"/>
              </w:rPr>
              <w:t>80.0</w:t>
            </w:r>
          </w:p>
        </w:tc>
        <w:tc>
          <w:tcPr>
            <w:tcW w:w="1425" w:type="dxa"/>
            <w:tcBorders>
              <w:bottom w:val="single" w:sz="4" w:space="0" w:color="auto"/>
              <w:right w:val="single" w:sz="4" w:space="0" w:color="auto"/>
            </w:tcBorders>
            <w:vAlign w:val="bottom"/>
          </w:tcPr>
          <w:p w14:paraId="61EDB954" w14:textId="77777777" w:rsidR="2ED151A9" w:rsidRDefault="2ED151A9" w:rsidP="2ED151A9">
            <w:pPr>
              <w:spacing w:after="120"/>
              <w:rPr>
                <w:lang w:val="en-US"/>
              </w:rPr>
            </w:pPr>
            <w:r w:rsidRPr="2ED151A9">
              <w:rPr>
                <w:lang w:val="en-US"/>
              </w:rPr>
              <w:t>1200</w:t>
            </w:r>
          </w:p>
        </w:tc>
        <w:tc>
          <w:tcPr>
            <w:tcW w:w="1425" w:type="dxa"/>
            <w:tcBorders>
              <w:bottom w:val="single" w:sz="4" w:space="0" w:color="auto"/>
              <w:right w:val="single" w:sz="4" w:space="0" w:color="auto"/>
            </w:tcBorders>
            <w:vAlign w:val="bottom"/>
          </w:tcPr>
          <w:p w14:paraId="77EBBB28" w14:textId="77777777" w:rsidR="2ED151A9" w:rsidRDefault="2ED151A9" w:rsidP="2ED151A9">
            <w:pPr>
              <w:spacing w:after="120"/>
              <w:rPr>
                <w:lang w:val="en-US"/>
              </w:rPr>
            </w:pPr>
            <w:r w:rsidRPr="2ED151A9">
              <w:rPr>
                <w:lang w:val="en-US"/>
              </w:rPr>
              <w:t>1500</w:t>
            </w:r>
          </w:p>
        </w:tc>
        <w:tc>
          <w:tcPr>
            <w:tcW w:w="1425" w:type="dxa"/>
            <w:tcBorders>
              <w:bottom w:val="single" w:sz="4" w:space="0" w:color="auto"/>
              <w:right w:val="single" w:sz="4" w:space="0" w:color="auto"/>
            </w:tcBorders>
            <w:vAlign w:val="bottom"/>
          </w:tcPr>
          <w:p w14:paraId="2977E019" w14:textId="77777777" w:rsidR="2ED151A9" w:rsidRDefault="2ED151A9" w:rsidP="2ED151A9">
            <w:pPr>
              <w:spacing w:after="120"/>
              <w:rPr>
                <w:lang w:val="en-US"/>
              </w:rPr>
            </w:pPr>
            <w:r w:rsidRPr="2ED151A9">
              <w:rPr>
                <w:lang w:val="en-US"/>
              </w:rPr>
              <w:t>773</w:t>
            </w:r>
          </w:p>
        </w:tc>
        <w:tc>
          <w:tcPr>
            <w:tcW w:w="1425" w:type="dxa"/>
            <w:tcBorders>
              <w:bottom w:val="single" w:sz="4" w:space="0" w:color="auto"/>
              <w:right w:val="single" w:sz="4" w:space="0" w:color="auto"/>
            </w:tcBorders>
            <w:vAlign w:val="bottom"/>
          </w:tcPr>
          <w:p w14:paraId="76DCEE94" w14:textId="77777777" w:rsidR="2ED151A9" w:rsidRDefault="2ED151A9" w:rsidP="2ED151A9">
            <w:pPr>
              <w:spacing w:after="120"/>
              <w:rPr>
                <w:lang w:val="en-US"/>
              </w:rPr>
            </w:pPr>
            <w:r w:rsidRPr="2ED151A9">
              <w:rPr>
                <w:lang w:val="en-US"/>
              </w:rPr>
              <w:t>2516.5</w:t>
            </w:r>
          </w:p>
        </w:tc>
        <w:tc>
          <w:tcPr>
            <w:tcW w:w="1425" w:type="dxa"/>
            <w:tcBorders>
              <w:bottom w:val="single" w:sz="4" w:space="0" w:color="auto"/>
              <w:right w:val="single" w:sz="4" w:space="0" w:color="auto"/>
            </w:tcBorders>
            <w:vAlign w:val="bottom"/>
          </w:tcPr>
          <w:p w14:paraId="14B99942" w14:textId="77777777" w:rsidR="2ED151A9" w:rsidRDefault="2ED151A9" w:rsidP="2ED151A9">
            <w:pPr>
              <w:spacing w:after="120"/>
              <w:rPr>
                <w:lang w:val="en-US"/>
              </w:rPr>
            </w:pPr>
            <w:r w:rsidRPr="2ED151A9">
              <w:rPr>
                <w:lang w:val="en-US"/>
              </w:rPr>
              <w:t>0.684</w:t>
            </w:r>
          </w:p>
        </w:tc>
      </w:tr>
    </w:tbl>
    <w:p w14:paraId="3E573C3A" w14:textId="77777777" w:rsidR="00E04D83" w:rsidRPr="00B511A0" w:rsidRDefault="00E04D83" w:rsidP="00E04D83">
      <w:pPr>
        <w:spacing w:after="120"/>
        <w:rPr>
          <w:b/>
        </w:rPr>
      </w:pPr>
    </w:p>
    <w:p w14:paraId="33AE6273" w14:textId="77777777" w:rsidR="036D4C68" w:rsidRDefault="036D4C68" w:rsidP="036D4C68">
      <w:pPr>
        <w:spacing w:after="120"/>
        <w:rPr>
          <w:b/>
          <w:bCs/>
        </w:rPr>
      </w:pPr>
    </w:p>
    <w:p w14:paraId="4403A666" w14:textId="77777777" w:rsidR="005D20F1" w:rsidRDefault="005D20F1" w:rsidP="005D20F1">
      <w:pPr>
        <w:spacing w:after="120"/>
        <w:rPr>
          <w:rFonts w:ascii="Arial" w:hAnsi="Arial" w:cs="Arial"/>
          <w:b/>
        </w:rPr>
      </w:pPr>
      <w:r>
        <w:rPr>
          <w:rFonts w:ascii="Arial" w:hAnsi="Arial" w:cs="Arial"/>
          <w:b/>
        </w:rPr>
        <w:t>4. References</w:t>
      </w:r>
    </w:p>
    <w:p w14:paraId="5B1381FA" w14:textId="77777777" w:rsidR="00B619A2" w:rsidRPr="002178B6" w:rsidRDefault="00B619A2" w:rsidP="00B619A2">
      <w:pPr>
        <w:pStyle w:val="BodyText"/>
        <w:numPr>
          <w:ilvl w:val="0"/>
          <w:numId w:val="5"/>
        </w:numPr>
        <w:jc w:val="both"/>
        <w:rPr>
          <w:color w:val="auto"/>
          <w:lang w:eastAsia="zh-CN"/>
        </w:rPr>
      </w:pPr>
      <w:bookmarkStart w:id="1" w:name="_Ref20173"/>
      <w:r w:rsidRPr="002178B6">
        <w:rPr>
          <w:color w:val="auto"/>
          <w:lang w:eastAsia="zh-CN"/>
        </w:rPr>
        <w:t>RP-251863; Study on GNSS resilient NR-NTN operation</w:t>
      </w:r>
    </w:p>
    <w:p w14:paraId="166E3561" w14:textId="77777777" w:rsidR="002178B6" w:rsidRPr="002178B6" w:rsidRDefault="002178B6" w:rsidP="00B619A2">
      <w:pPr>
        <w:pStyle w:val="BodyText"/>
        <w:numPr>
          <w:ilvl w:val="0"/>
          <w:numId w:val="5"/>
        </w:numPr>
        <w:jc w:val="both"/>
        <w:rPr>
          <w:color w:val="auto"/>
          <w:lang w:eastAsia="zh-CN"/>
        </w:rPr>
      </w:pPr>
      <w:r w:rsidRPr="002178B6">
        <w:rPr>
          <w:color w:val="auto"/>
          <w:lang w:eastAsia="zh-CN"/>
        </w:rPr>
        <w:t>RP-251707; Operator views on NR-NTN priorities for 5GAdv for Rel-20</w:t>
      </w:r>
    </w:p>
    <w:bookmarkEnd w:id="1"/>
    <w:p w14:paraId="1D0290C0" w14:textId="77777777" w:rsidR="005D20F1" w:rsidRPr="005D20F1" w:rsidRDefault="005D20F1" w:rsidP="005D20F1"/>
    <w:sectPr w:rsidR="005D20F1" w:rsidRPr="005D20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E3E93" w14:textId="77777777" w:rsidR="001431E4" w:rsidRDefault="001431E4">
      <w:r>
        <w:separator/>
      </w:r>
    </w:p>
  </w:endnote>
  <w:endnote w:type="continuationSeparator" w:id="0">
    <w:p w14:paraId="2F57AFA9" w14:textId="77777777" w:rsidR="001431E4" w:rsidRDefault="00143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stem Font Regular">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6AA93" w14:textId="77777777" w:rsidR="001431E4" w:rsidRDefault="001431E4">
      <w:r>
        <w:separator/>
      </w:r>
    </w:p>
  </w:footnote>
  <w:footnote w:type="continuationSeparator" w:id="0">
    <w:p w14:paraId="62813A40" w14:textId="77777777" w:rsidR="001431E4" w:rsidRDefault="001431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665D8"/>
    <w:multiLevelType w:val="hybridMultilevel"/>
    <w:tmpl w:val="A2A89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18967A1"/>
    <w:multiLevelType w:val="hybridMultilevel"/>
    <w:tmpl w:val="D1EA86F2"/>
    <w:lvl w:ilvl="0" w:tplc="6D2243DE">
      <w:start w:val="1"/>
      <w:numFmt w:val="bullet"/>
      <w:lvlText w:val="›"/>
      <w:lvlJc w:val="left"/>
      <w:pPr>
        <w:tabs>
          <w:tab w:val="num" w:pos="360"/>
        </w:tabs>
        <w:ind w:left="360" w:hanging="360"/>
      </w:pPr>
      <w:rPr>
        <w:rFonts w:ascii="Verdana" w:hAnsi="Verdana" w:hint="default"/>
      </w:rPr>
    </w:lvl>
    <w:lvl w:ilvl="1" w:tplc="03E0F660">
      <w:numFmt w:val="bullet"/>
      <w:lvlText w:val=""/>
      <w:lvlJc w:val="left"/>
      <w:pPr>
        <w:tabs>
          <w:tab w:val="num" w:pos="1080"/>
        </w:tabs>
        <w:ind w:left="1080" w:hanging="360"/>
      </w:pPr>
      <w:rPr>
        <w:rFonts w:ascii="Wingdings" w:hAnsi="Wingdings" w:hint="default"/>
      </w:rPr>
    </w:lvl>
    <w:lvl w:ilvl="2" w:tplc="841228E8">
      <w:numFmt w:val="bullet"/>
      <w:lvlText w:val="›"/>
      <w:lvlJc w:val="left"/>
      <w:pPr>
        <w:tabs>
          <w:tab w:val="num" w:pos="1800"/>
        </w:tabs>
        <w:ind w:left="1800" w:hanging="360"/>
      </w:pPr>
      <w:rPr>
        <w:rFonts w:ascii="System Font Regular" w:hAnsi="System Font Regular" w:hint="default"/>
      </w:rPr>
    </w:lvl>
    <w:lvl w:ilvl="3" w:tplc="CFFC9BF2" w:tentative="1">
      <w:start w:val="1"/>
      <w:numFmt w:val="bullet"/>
      <w:lvlText w:val="›"/>
      <w:lvlJc w:val="left"/>
      <w:pPr>
        <w:tabs>
          <w:tab w:val="num" w:pos="2520"/>
        </w:tabs>
        <w:ind w:left="2520" w:hanging="360"/>
      </w:pPr>
      <w:rPr>
        <w:rFonts w:ascii="Verdana" w:hAnsi="Verdana" w:hint="default"/>
      </w:rPr>
    </w:lvl>
    <w:lvl w:ilvl="4" w:tplc="22FA31DE" w:tentative="1">
      <w:start w:val="1"/>
      <w:numFmt w:val="bullet"/>
      <w:lvlText w:val="›"/>
      <w:lvlJc w:val="left"/>
      <w:pPr>
        <w:tabs>
          <w:tab w:val="num" w:pos="3240"/>
        </w:tabs>
        <w:ind w:left="3240" w:hanging="360"/>
      </w:pPr>
      <w:rPr>
        <w:rFonts w:ascii="Verdana" w:hAnsi="Verdana" w:hint="default"/>
      </w:rPr>
    </w:lvl>
    <w:lvl w:ilvl="5" w:tplc="8F86AD2A" w:tentative="1">
      <w:start w:val="1"/>
      <w:numFmt w:val="bullet"/>
      <w:lvlText w:val="›"/>
      <w:lvlJc w:val="left"/>
      <w:pPr>
        <w:tabs>
          <w:tab w:val="num" w:pos="3960"/>
        </w:tabs>
        <w:ind w:left="3960" w:hanging="360"/>
      </w:pPr>
      <w:rPr>
        <w:rFonts w:ascii="Verdana" w:hAnsi="Verdana" w:hint="default"/>
      </w:rPr>
    </w:lvl>
    <w:lvl w:ilvl="6" w:tplc="BB449C32" w:tentative="1">
      <w:start w:val="1"/>
      <w:numFmt w:val="bullet"/>
      <w:lvlText w:val="›"/>
      <w:lvlJc w:val="left"/>
      <w:pPr>
        <w:tabs>
          <w:tab w:val="num" w:pos="4680"/>
        </w:tabs>
        <w:ind w:left="4680" w:hanging="360"/>
      </w:pPr>
      <w:rPr>
        <w:rFonts w:ascii="Verdana" w:hAnsi="Verdana" w:hint="default"/>
      </w:rPr>
    </w:lvl>
    <w:lvl w:ilvl="7" w:tplc="CC4E85F8" w:tentative="1">
      <w:start w:val="1"/>
      <w:numFmt w:val="bullet"/>
      <w:lvlText w:val="›"/>
      <w:lvlJc w:val="left"/>
      <w:pPr>
        <w:tabs>
          <w:tab w:val="num" w:pos="5400"/>
        </w:tabs>
        <w:ind w:left="5400" w:hanging="360"/>
      </w:pPr>
      <w:rPr>
        <w:rFonts w:ascii="Verdana" w:hAnsi="Verdana" w:hint="default"/>
      </w:rPr>
    </w:lvl>
    <w:lvl w:ilvl="8" w:tplc="104EBF58" w:tentative="1">
      <w:start w:val="1"/>
      <w:numFmt w:val="bullet"/>
      <w:lvlText w:val="›"/>
      <w:lvlJc w:val="left"/>
      <w:pPr>
        <w:tabs>
          <w:tab w:val="num" w:pos="6120"/>
        </w:tabs>
        <w:ind w:left="6120" w:hanging="360"/>
      </w:pPr>
      <w:rPr>
        <w:rFonts w:ascii="Verdana" w:hAnsi="Verdana" w:hint="default"/>
      </w:rPr>
    </w:lvl>
  </w:abstractNum>
  <w:abstractNum w:abstractNumId="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648480257">
    <w:abstractNumId w:val="6"/>
  </w:num>
  <w:num w:numId="2" w16cid:durableId="88015223">
    <w:abstractNumId w:val="4"/>
  </w:num>
  <w:num w:numId="3" w16cid:durableId="1702977252">
    <w:abstractNumId w:val="2"/>
  </w:num>
  <w:num w:numId="4" w16cid:durableId="259266585">
    <w:abstractNumId w:val="1"/>
  </w:num>
  <w:num w:numId="5" w16cid:durableId="4648124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0950857">
    <w:abstractNumId w:val="7"/>
  </w:num>
  <w:num w:numId="7" w16cid:durableId="1687904234">
    <w:abstractNumId w:val="5"/>
  </w:num>
  <w:num w:numId="8" w16cid:durableId="754129303">
    <w:abstractNumId w:val="3"/>
  </w:num>
  <w:num w:numId="9" w16cid:durableId="356783227">
    <w:abstractNumId w:val="8"/>
  </w:num>
  <w:num w:numId="10" w16cid:durableId="106590804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25985"/>
    <w:rsid w:val="000C215A"/>
    <w:rsid w:val="000E6D8A"/>
    <w:rsid w:val="000F077F"/>
    <w:rsid w:val="000F4544"/>
    <w:rsid w:val="001431E4"/>
    <w:rsid w:val="0015534A"/>
    <w:rsid w:val="001559E2"/>
    <w:rsid w:val="001953B3"/>
    <w:rsid w:val="001A7D18"/>
    <w:rsid w:val="001D4E2F"/>
    <w:rsid w:val="002178B6"/>
    <w:rsid w:val="00235F49"/>
    <w:rsid w:val="002D08B0"/>
    <w:rsid w:val="002E3B2C"/>
    <w:rsid w:val="003115E3"/>
    <w:rsid w:val="003317A6"/>
    <w:rsid w:val="003A5AF1"/>
    <w:rsid w:val="003B1756"/>
    <w:rsid w:val="0040006D"/>
    <w:rsid w:val="00401266"/>
    <w:rsid w:val="00406D23"/>
    <w:rsid w:val="004071DB"/>
    <w:rsid w:val="00430AC5"/>
    <w:rsid w:val="0043198B"/>
    <w:rsid w:val="0043332F"/>
    <w:rsid w:val="00453EFA"/>
    <w:rsid w:val="004607C3"/>
    <w:rsid w:val="0046648E"/>
    <w:rsid w:val="00477723"/>
    <w:rsid w:val="004E123B"/>
    <w:rsid w:val="005203BE"/>
    <w:rsid w:val="0052065D"/>
    <w:rsid w:val="0055781D"/>
    <w:rsid w:val="0056288F"/>
    <w:rsid w:val="005816C5"/>
    <w:rsid w:val="005B449B"/>
    <w:rsid w:val="005D20F1"/>
    <w:rsid w:val="00711070"/>
    <w:rsid w:val="00796DE1"/>
    <w:rsid w:val="007A091C"/>
    <w:rsid w:val="007B3CB8"/>
    <w:rsid w:val="007E084F"/>
    <w:rsid w:val="00840316"/>
    <w:rsid w:val="0085481B"/>
    <w:rsid w:val="00881AE5"/>
    <w:rsid w:val="008B4BA3"/>
    <w:rsid w:val="0092209D"/>
    <w:rsid w:val="009D2D65"/>
    <w:rsid w:val="009E3EC4"/>
    <w:rsid w:val="00A361F7"/>
    <w:rsid w:val="00A57AD5"/>
    <w:rsid w:val="00A7411A"/>
    <w:rsid w:val="00AD4450"/>
    <w:rsid w:val="00B355D4"/>
    <w:rsid w:val="00B511A0"/>
    <w:rsid w:val="00B619A2"/>
    <w:rsid w:val="00BC7B62"/>
    <w:rsid w:val="00C819FD"/>
    <w:rsid w:val="00C93EEA"/>
    <w:rsid w:val="00CC061D"/>
    <w:rsid w:val="00CD6BFA"/>
    <w:rsid w:val="00D76916"/>
    <w:rsid w:val="00D9090C"/>
    <w:rsid w:val="00DA1FFC"/>
    <w:rsid w:val="00DB0B15"/>
    <w:rsid w:val="00DB3DA4"/>
    <w:rsid w:val="00E04D83"/>
    <w:rsid w:val="00E21E80"/>
    <w:rsid w:val="00E347B3"/>
    <w:rsid w:val="00EB3500"/>
    <w:rsid w:val="00EB384F"/>
    <w:rsid w:val="00ED0FB2"/>
    <w:rsid w:val="00F02F1B"/>
    <w:rsid w:val="00F24F91"/>
    <w:rsid w:val="00F52782"/>
    <w:rsid w:val="00F85A80"/>
    <w:rsid w:val="02440E65"/>
    <w:rsid w:val="036D4C68"/>
    <w:rsid w:val="03FE1E59"/>
    <w:rsid w:val="0DEAC4A9"/>
    <w:rsid w:val="0F0753E6"/>
    <w:rsid w:val="104BEA26"/>
    <w:rsid w:val="1422E576"/>
    <w:rsid w:val="1B930A18"/>
    <w:rsid w:val="1FE37ECF"/>
    <w:rsid w:val="202C2D6A"/>
    <w:rsid w:val="20C3B6F6"/>
    <w:rsid w:val="21DEB762"/>
    <w:rsid w:val="22CDDD93"/>
    <w:rsid w:val="24C39A71"/>
    <w:rsid w:val="259B4A2D"/>
    <w:rsid w:val="2A4077CC"/>
    <w:rsid w:val="2D45B85E"/>
    <w:rsid w:val="2ED151A9"/>
    <w:rsid w:val="2FAF8C9F"/>
    <w:rsid w:val="341D0D3A"/>
    <w:rsid w:val="346B9B09"/>
    <w:rsid w:val="34739CF5"/>
    <w:rsid w:val="35F5A3D1"/>
    <w:rsid w:val="39565BE3"/>
    <w:rsid w:val="3A311147"/>
    <w:rsid w:val="3B994809"/>
    <w:rsid w:val="3C398C92"/>
    <w:rsid w:val="42C9161E"/>
    <w:rsid w:val="478B06CE"/>
    <w:rsid w:val="4C59CB94"/>
    <w:rsid w:val="4E3E46F9"/>
    <w:rsid w:val="5037179F"/>
    <w:rsid w:val="50E3AAAF"/>
    <w:rsid w:val="526D687C"/>
    <w:rsid w:val="53791D5D"/>
    <w:rsid w:val="5F86EEC5"/>
    <w:rsid w:val="659E9208"/>
    <w:rsid w:val="6AC81FEB"/>
    <w:rsid w:val="6DE5CABD"/>
    <w:rsid w:val="6FE54A02"/>
    <w:rsid w:val="7079BFDE"/>
    <w:rsid w:val="70C3E1B4"/>
    <w:rsid w:val="75F87872"/>
    <w:rsid w:val="78551FA6"/>
    <w:rsid w:val="78EB2275"/>
    <w:rsid w:val="7A6F6781"/>
    <w:rsid w:val="7B3B9B0D"/>
    <w:rsid w:val="7BD4E612"/>
    <w:rsid w:val="7D2B0807"/>
    <w:rsid w:val="7DAD2782"/>
    <w:rsid w:val="7DCE43BA"/>
    <w:rsid w:val="7F20B80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77C64F"/>
  <w15:chartTrackingRefBased/>
  <w15:docId w15:val="{3677C2A7-A860-4EB4-B79D-8B3BF9A6E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customStyle="1" w:styleId="Doc-title">
    <w:name w:val="Doc-title"/>
    <w:basedOn w:val="Normal"/>
    <w:next w:val="Doc-text2"/>
    <w:link w:val="Doc-titleChar"/>
    <w:qFormat/>
    <w:rsid w:val="00B355D4"/>
    <w:pPr>
      <w:spacing w:before="6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B355D4"/>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B355D4"/>
    <w:rPr>
      <w:rFonts w:ascii="Arial" w:eastAsia="MS Mincho" w:hAnsi="Arial"/>
      <w:szCs w:val="24"/>
      <w:lang w:val="en-GB" w:eastAsia="en-GB"/>
    </w:rPr>
  </w:style>
  <w:style w:type="character" w:customStyle="1" w:styleId="Doc-titleChar">
    <w:name w:val="Doc-title Char"/>
    <w:link w:val="Doc-title"/>
    <w:qFormat/>
    <w:rsid w:val="00B355D4"/>
    <w:rPr>
      <w:rFonts w:ascii="Arial" w:eastAsia="MS Mincho" w:hAnsi="Arial"/>
      <w:noProof/>
      <w:szCs w:val="24"/>
      <w:lang w:val="en-GB" w:eastAsia="en-GB"/>
    </w:rPr>
  </w:style>
  <w:style w:type="paragraph" w:customStyle="1" w:styleId="Agreement">
    <w:name w:val="Agreement"/>
    <w:basedOn w:val="Normal"/>
    <w:next w:val="Doc-text2"/>
    <w:uiPriority w:val="99"/>
    <w:qFormat/>
    <w:rsid w:val="00B355D4"/>
    <w:pPr>
      <w:numPr>
        <w:numId w:val="6"/>
      </w:numPr>
      <w:spacing w:before="60"/>
    </w:pPr>
    <w:rPr>
      <w:rFonts w:ascii="Arial" w:eastAsia="MS Mincho" w:hAnsi="Arial"/>
      <w:b/>
      <w:szCs w:val="24"/>
      <w:lang w:eastAsia="en-GB"/>
    </w:rPr>
  </w:style>
  <w:style w:type="paragraph" w:styleId="Caption">
    <w:name w:val="caption"/>
    <w:basedOn w:val="Normal"/>
    <w:next w:val="Normal"/>
    <w:link w:val="CaptionChar"/>
    <w:uiPriority w:val="35"/>
    <w:qFormat/>
    <w:rsid w:val="00CD6BFA"/>
    <w:pPr>
      <w:spacing w:before="120" w:after="120"/>
    </w:pPr>
    <w:rPr>
      <w:b/>
      <w:bCs/>
      <w:lang w:val="en-US"/>
    </w:rPr>
  </w:style>
  <w:style w:type="table" w:styleId="TableGrid">
    <w:name w:val="Table Grid"/>
    <w:basedOn w:val="TableNormal"/>
    <w:uiPriority w:val="99"/>
    <w:qFormat/>
    <w:rsid w:val="00CD6BF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uiPriority w:val="35"/>
    <w:qFormat/>
    <w:rsid w:val="00CD6BFA"/>
    <w:rPr>
      <w:b/>
      <w:bCs/>
    </w:rPr>
  </w:style>
  <w:style w:type="paragraph" w:styleId="Revision">
    <w:name w:val="Revision"/>
    <w:hidden/>
    <w:uiPriority w:val="99"/>
    <w:semiHidden/>
    <w:rsid w:val="000F077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599640">
      <w:bodyDiv w:val="1"/>
      <w:marLeft w:val="0"/>
      <w:marRight w:val="0"/>
      <w:marTop w:val="0"/>
      <w:marBottom w:val="0"/>
      <w:divBdr>
        <w:top w:val="none" w:sz="0" w:space="0" w:color="auto"/>
        <w:left w:val="none" w:sz="0" w:space="0" w:color="auto"/>
        <w:bottom w:val="none" w:sz="0" w:space="0" w:color="auto"/>
        <w:right w:val="none" w:sz="0" w:space="0" w:color="auto"/>
      </w:divBdr>
      <w:divsChild>
        <w:div w:id="948780262">
          <w:marLeft w:val="1080"/>
          <w:marRight w:val="0"/>
          <w:marTop w:val="120"/>
          <w:marBottom w:val="60"/>
          <w:divBdr>
            <w:top w:val="none" w:sz="0" w:space="0" w:color="auto"/>
            <w:left w:val="none" w:sz="0" w:space="0" w:color="auto"/>
            <w:bottom w:val="none" w:sz="0" w:space="0" w:color="auto"/>
            <w:right w:val="none" w:sz="0" w:space="0" w:color="auto"/>
          </w:divBdr>
        </w:div>
        <w:div w:id="983116927">
          <w:marLeft w:val="1080"/>
          <w:marRight w:val="0"/>
          <w:marTop w:val="120"/>
          <w:marBottom w:val="60"/>
          <w:divBdr>
            <w:top w:val="none" w:sz="0" w:space="0" w:color="auto"/>
            <w:left w:val="none" w:sz="0" w:space="0" w:color="auto"/>
            <w:bottom w:val="none" w:sz="0" w:space="0" w:color="auto"/>
            <w:right w:val="none" w:sz="0" w:space="0" w:color="auto"/>
          </w:divBdr>
        </w:div>
        <w:div w:id="1489521041">
          <w:marLeft w:val="720"/>
          <w:marRight w:val="0"/>
          <w:marTop w:val="120"/>
          <w:marBottom w:val="120"/>
          <w:divBdr>
            <w:top w:val="none" w:sz="0" w:space="0" w:color="auto"/>
            <w:left w:val="none" w:sz="0" w:space="0" w:color="auto"/>
            <w:bottom w:val="none" w:sz="0" w:space="0" w:color="auto"/>
            <w:right w:val="none" w:sz="0" w:space="0" w:color="auto"/>
          </w:divBdr>
        </w:div>
        <w:div w:id="1790313824">
          <w:marLeft w:val="1080"/>
          <w:marRight w:val="0"/>
          <w:marTop w:val="120"/>
          <w:marBottom w:val="60"/>
          <w:divBdr>
            <w:top w:val="none" w:sz="0" w:space="0" w:color="auto"/>
            <w:left w:val="none" w:sz="0" w:space="0" w:color="auto"/>
            <w:bottom w:val="none" w:sz="0" w:space="0" w:color="auto"/>
            <w:right w:val="none" w:sz="0" w:space="0" w:color="auto"/>
          </w:divBdr>
        </w:div>
        <w:div w:id="1807351852">
          <w:marLeft w:val="1080"/>
          <w:marRight w:val="0"/>
          <w:marTop w:val="120"/>
          <w:marBottom w:val="60"/>
          <w:divBdr>
            <w:top w:val="none" w:sz="0" w:space="0" w:color="auto"/>
            <w:left w:val="none" w:sz="0" w:space="0" w:color="auto"/>
            <w:bottom w:val="none" w:sz="0" w:space="0" w:color="auto"/>
            <w:right w:val="none" w:sz="0" w:space="0" w:color="auto"/>
          </w:divBdr>
        </w:div>
        <w:div w:id="2006519070">
          <w:marLeft w:val="360"/>
          <w:marRight w:val="0"/>
          <w:marTop w:val="120"/>
          <w:marBottom w:val="120"/>
          <w:divBdr>
            <w:top w:val="none" w:sz="0" w:space="0" w:color="auto"/>
            <w:left w:val="none" w:sz="0" w:space="0" w:color="auto"/>
            <w:bottom w:val="none" w:sz="0" w:space="0" w:color="auto"/>
            <w:right w:val="none" w:sz="0" w:space="0" w:color="auto"/>
          </w:divBdr>
        </w:div>
        <w:div w:id="2010668184">
          <w:marLeft w:val="1080"/>
          <w:marRight w:val="0"/>
          <w:marTop w:val="120"/>
          <w:marBottom w:val="60"/>
          <w:divBdr>
            <w:top w:val="none" w:sz="0" w:space="0" w:color="auto"/>
            <w:left w:val="none" w:sz="0" w:space="0" w:color="auto"/>
            <w:bottom w:val="none" w:sz="0" w:space="0" w:color="auto"/>
            <w:right w:val="none" w:sz="0" w:space="0" w:color="auto"/>
          </w:divBdr>
        </w:div>
      </w:divsChild>
    </w:div>
    <w:div w:id="1006862334">
      <w:bodyDiv w:val="1"/>
      <w:marLeft w:val="0"/>
      <w:marRight w:val="0"/>
      <w:marTop w:val="0"/>
      <w:marBottom w:val="0"/>
      <w:divBdr>
        <w:top w:val="none" w:sz="0" w:space="0" w:color="auto"/>
        <w:left w:val="none" w:sz="0" w:space="0" w:color="auto"/>
        <w:bottom w:val="none" w:sz="0" w:space="0" w:color="auto"/>
        <w:right w:val="none" w:sz="0" w:space="0" w:color="auto"/>
      </w:divBdr>
      <w:divsChild>
        <w:div w:id="17659585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fa95fdbb-ae90-4419-ac42-cd570a6fab29"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73DCB3EAB6744E8B59C8861C1C17B0" ma:contentTypeVersion="3" ma:contentTypeDescription="Create a new document." ma:contentTypeScope="" ma:versionID="833848e54bf5b8c801520783291454b9">
  <xsd:schema xmlns:xsd="http://www.w3.org/2001/XMLSchema" xmlns:xs="http://www.w3.org/2001/XMLSchema" xmlns:p="http://schemas.microsoft.com/office/2006/metadata/properties" xmlns:ns2="a6b4c727-c9ee-4551-808f-f60803fab9c0" targetNamespace="http://schemas.microsoft.com/office/2006/metadata/properties" ma:root="true" ma:fieldsID="0c20d2399c5f809ec2bd86dde196e9bc" ns2:_="">
    <xsd:import namespace="a6b4c727-c9ee-4551-808f-f60803fab9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b4c727-c9ee-4551-808f-f60803fab9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5CF9C5-560E-4BA4-BFF8-E7BBB372D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b4c727-c9ee-4551-808f-f60803fab9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F3805B-B0DC-4697-B18B-C8E984048B78}">
  <ds:schemaRefs>
    <ds:schemaRef ds:uri="http://schemas.microsoft.com/sharepoint/v3/contenttype/forms"/>
  </ds:schemaRefs>
</ds:datastoreItem>
</file>

<file path=customXml/itemProps3.xml><?xml version="1.0" encoding="utf-8"?>
<ds:datastoreItem xmlns:ds="http://schemas.openxmlformats.org/officeDocument/2006/customXml" ds:itemID="{76DD4352-EFC1-4512-859D-E0C0BCDD3BE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797</Words>
  <Characters>4548</Characters>
  <Application>Microsoft Office Word</Application>
  <DocSecurity>0</DocSecurity>
  <Lines>37</Lines>
  <Paragraphs>10</Paragraphs>
  <ScaleCrop>false</ScaleCrop>
  <Company>ETSI Sophia Antipolis</Company>
  <LinksUpToDate>false</LinksUpToDate>
  <CharactersWithSpaces>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Viasat</dc:creator>
  <cp:keywords/>
  <dc:description/>
  <cp:lastModifiedBy>Das, Nandan</cp:lastModifiedBy>
  <cp:revision>4</cp:revision>
  <cp:lastPrinted>2002-04-23T16:10:00Z</cp:lastPrinted>
  <dcterms:created xsi:type="dcterms:W3CDTF">2025-08-15T17:41:00Z</dcterms:created>
  <dcterms:modified xsi:type="dcterms:W3CDTF">2025-08-15T18:28:00Z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0x0101002673DCB3EAB6744E8B59C8861C1C17B0</vt:lpwstr>
  </property>
</Properties>
</file>