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95975">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22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eastAsia" w:ascii="Arial" w:hAnsi="Arial" w:eastAsia="MS Mincho" w:cs="Arial"/>
          <w:b/>
          <w:sz w:val="28"/>
          <w:szCs w:val="28"/>
          <w:lang w:val="en-US"/>
        </w:rPr>
        <w:t>R1-2506013</w:t>
      </w:r>
    </w:p>
    <w:p w14:paraId="6F299A73">
      <w:pPr>
        <w:pStyle w:val="11"/>
        <w:tabs>
          <w:tab w:val="right" w:pos="10206"/>
        </w:tabs>
        <w:spacing w:after="0" w:afterAutospacing="0"/>
        <w:rPr>
          <w:rFonts w:eastAsia="宋体" w:cs="Arial"/>
          <w:sz w:val="28"/>
          <w:szCs w:val="28"/>
          <w:lang w:val="en-US" w:eastAsia="zh-CN"/>
        </w:rPr>
      </w:pPr>
      <w:r>
        <w:rPr>
          <w:rFonts w:hint="eastAsia" w:cs="Arial"/>
          <w:bCs/>
          <w:sz w:val="28"/>
        </w:rPr>
        <w:t>Bengaluru</w:t>
      </w:r>
      <w:r>
        <w:rPr>
          <w:rFonts w:cs="Arial"/>
          <w:bCs/>
          <w:sz w:val="28"/>
        </w:rPr>
        <w:t xml:space="preserve">, </w:t>
      </w:r>
      <w:r>
        <w:rPr>
          <w:rFonts w:hint="eastAsia" w:eastAsia="宋体" w:cs="Arial"/>
          <w:bCs/>
          <w:sz w:val="28"/>
          <w:lang w:val="en-US" w:eastAsia="zh-CN"/>
        </w:rPr>
        <w:t>India</w:t>
      </w:r>
      <w:r>
        <w:rPr>
          <w:rFonts w:cs="Arial"/>
          <w:bCs/>
          <w:sz w:val="28"/>
        </w:rPr>
        <w:t xml:space="preserve">, </w:t>
      </w:r>
      <w:r>
        <w:rPr>
          <w:rFonts w:hint="eastAsia" w:eastAsia="宋体" w:cs="Arial"/>
          <w:bCs/>
          <w:sz w:val="28"/>
          <w:lang w:val="en-US" w:eastAsia="zh-CN"/>
        </w:rPr>
        <w:t>August</w:t>
      </w:r>
      <w:r>
        <w:rPr>
          <w:rFonts w:hint="eastAsia" w:eastAsia="宋体" w:cs="Arial"/>
          <w:sz w:val="28"/>
          <w:szCs w:val="28"/>
          <w:lang w:val="en-US" w:eastAsia="zh-CN"/>
        </w:rPr>
        <w:t xml:space="preserve"> 25</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- 29</w:t>
      </w:r>
      <w:r>
        <w:rPr>
          <w:rFonts w:hint="eastAsia" w:eastAsia="宋体" w:cs="Arial"/>
          <w:sz w:val="28"/>
          <w:szCs w:val="28"/>
          <w:vertAlign w:val="superscript"/>
          <w:lang w:val="en-US" w:eastAsia="zh-CN"/>
        </w:rPr>
        <w:t>th</w:t>
      </w:r>
      <w:r>
        <w:rPr>
          <w:rFonts w:hint="eastAsia" w:cs="Arial"/>
          <w:sz w:val="28"/>
          <w:szCs w:val="28"/>
          <w:lang w:val="en-US"/>
        </w:rPr>
        <w:t>, 202</w:t>
      </w:r>
      <w:r>
        <w:rPr>
          <w:rFonts w:hint="eastAsia" w:eastAsia="宋体" w:cs="Arial"/>
          <w:sz w:val="28"/>
          <w:szCs w:val="28"/>
          <w:lang w:val="en-US" w:eastAsia="zh-CN"/>
        </w:rPr>
        <w:t>5</w:t>
      </w:r>
    </w:p>
    <w:p w14:paraId="44FA2E5F">
      <w:pPr>
        <w:widowControl w:val="0"/>
        <w:tabs>
          <w:tab w:val="right" w:pos="10206"/>
        </w:tabs>
        <w:spacing w:afterAutospacing="0"/>
        <w:rPr>
          <w:rFonts w:ascii="Arial" w:hAnsi="Arial" w:eastAsia="宋体" w:cs="Arial"/>
          <w:b/>
          <w:sz w:val="28"/>
          <w:szCs w:val="28"/>
          <w:lang w:val="en-US" w:eastAsia="zh-CN"/>
        </w:rPr>
      </w:pPr>
    </w:p>
    <w:bookmarkEnd w:id="0"/>
    <w:p w14:paraId="713E0943">
      <w:pPr>
        <w:tabs>
          <w:tab w:val="left" w:pos="1985"/>
        </w:tabs>
        <w:spacing w:after="0" w:afterAutospacing="0"/>
        <w:ind w:left="1985" w:hanging="1985" w:hangingChars="706"/>
        <w:rPr>
          <w:rFonts w:ascii="Arial" w:hAnsi="Arial" w:eastAsia="宋体" w:cs="Arial"/>
          <w:b/>
          <w:sz w:val="28"/>
          <w:szCs w:val="28"/>
          <w:lang w:val="en-US" w:eastAsia="zh-CN"/>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宋体" w:cs="Arial"/>
          <w:b/>
          <w:sz w:val="28"/>
          <w:szCs w:val="28"/>
          <w:lang w:val="en-US" w:eastAsia="zh-CN"/>
        </w:rPr>
        <w:t>harp</w:t>
      </w:r>
    </w:p>
    <w:p w14:paraId="28EC572D">
      <w:pPr>
        <w:spacing w:after="0" w:afterAutospacing="0"/>
        <w:ind w:left="1985" w:hanging="1985" w:hangingChars="706"/>
        <w:rPr>
          <w:rFonts w:hint="eastAsia"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cs="Arial"/>
          <w:b/>
          <w:sz w:val="28"/>
          <w:szCs w:val="28"/>
          <w:lang w:val="en-US"/>
        </w:rPr>
        <w:t xml:space="preserve">Discussion on air interface for </w:t>
      </w:r>
      <w:r>
        <w:rPr>
          <w:rFonts w:hint="eastAsia" w:ascii="Arial" w:hAnsi="Arial" w:eastAsia="宋体" w:cs="Arial"/>
          <w:b/>
          <w:sz w:val="28"/>
          <w:szCs w:val="28"/>
          <w:lang w:val="en-US" w:eastAsia="zh-CN"/>
        </w:rPr>
        <w:t>active devices</w:t>
      </w:r>
    </w:p>
    <w:p w14:paraId="33471957">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hint="eastAsia" w:ascii="Arial" w:hAnsi="Arial" w:eastAsia="宋体" w:cs="Arial"/>
          <w:b/>
          <w:sz w:val="28"/>
          <w:szCs w:val="28"/>
          <w:lang w:val="en-US" w:eastAsia="zh-CN"/>
        </w:rPr>
        <w:t>10.3.2</w:t>
      </w:r>
    </w:p>
    <w:p w14:paraId="7CD65E04">
      <w:pPr>
        <w:pBdr>
          <w:bottom w:val="single" w:color="auto" w:sz="12" w:space="1"/>
        </w:pBdr>
        <w:ind w:left="1985" w:hanging="1985" w:hangingChars="706"/>
        <w:rPr>
          <w:rFonts w:ascii="Arial" w:hAnsi="Arial" w:eastAsia="宋体"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456CED2A">
      <w:pPr>
        <w:pStyle w:val="2"/>
        <w:spacing w:after="180"/>
        <w:rPr>
          <w:lang w:val="en-US"/>
        </w:rPr>
      </w:pPr>
      <w:r>
        <w:rPr>
          <w:lang w:val="en-US"/>
        </w:rPr>
        <w:t>Introduction</w:t>
      </w:r>
      <w:bookmarkEnd w:id="1"/>
    </w:p>
    <w:p w14:paraId="0F0C176F">
      <w:pPr>
        <w:spacing w:before="180" w:beforeLines="50" w:beforeAutospacing="1" w:after="180" w:afterLines="5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 xml:space="preserve">study </w:t>
      </w:r>
      <w:r>
        <w:rPr>
          <w:rFonts w:eastAsia="宋体"/>
          <w:lang w:eastAsia="zh-CN"/>
        </w:rPr>
        <w:t>item on</w:t>
      </w:r>
      <w:r>
        <w:rPr>
          <w:rFonts w:hint="eastAsia" w:eastAsia="宋体"/>
          <w:lang w:val="en-US" w:eastAsia="zh-CN"/>
        </w:rPr>
        <w:t xml:space="preserve"> enhancements for solutions for Ambient IoT (Internet of Things) in NR outdoor for active devices</w:t>
      </w:r>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Rel-20 was approved </w:t>
      </w:r>
      <w:r>
        <w:rPr>
          <w:rFonts w:eastAsia="宋体"/>
          <w:lang w:val="en-US" w:eastAsia="zh-CN"/>
        </w:rPr>
        <w:t xml:space="preserve">in </w:t>
      </w:r>
      <w:r>
        <w:rPr>
          <w:rFonts w:hint="eastAsia" w:eastAsia="宋体"/>
          <w:lang w:val="en-US" w:eastAsia="zh-CN"/>
        </w:rPr>
        <w:t>RAN#108, with objectives including the following: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3864A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2E0FCC08">
            <w:pPr>
              <w:keepNext w:val="0"/>
              <w:keepLines w:val="0"/>
              <w:widowControl/>
              <w:numPr>
                <w:ilvl w:val="0"/>
                <w:numId w:val="5"/>
              </w:numPr>
              <w:suppressLineNumbers w:val="0"/>
              <w:overflowPunct w:val="0"/>
              <w:autoSpaceDE w:val="0"/>
              <w:autoSpaceDN w:val="0"/>
              <w:adjustRightInd w:val="0"/>
              <w:snapToGrid/>
              <w:spacing w:before="80" w:beforeAutospacing="0" w:after="80"/>
              <w:ind w:left="357" w:right="0" w:hanging="357"/>
              <w:contextualSpacing/>
              <w:jc w:val="left"/>
              <w:textAlignment w:val="baseline"/>
              <w:rPr>
                <w:rFonts w:hint="eastAsia" w:eastAsia="等线"/>
                <w:sz w:val="20"/>
                <w:szCs w:val="20"/>
                <w:lang w:val="en-US" w:eastAsia="en-US"/>
              </w:rPr>
            </w:pPr>
            <w:r>
              <w:rPr>
                <w:rFonts w:hint="eastAsia" w:eastAsia="等线"/>
                <w:sz w:val="20"/>
                <w:szCs w:val="20"/>
                <w:lang w:val="en-US" w:eastAsia="en-US"/>
              </w:rPr>
              <w:t>Study necessary and feasible changes to the Rel-19 A-IoT specifications to support A-IoT in outdoor scenarios under the following conditions [RAN1-led]:</w:t>
            </w:r>
          </w:p>
          <w:p w14:paraId="570C5178">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Deployment scenario 4 with topology 1 with no external carrier wave.</w:t>
            </w:r>
          </w:p>
          <w:p w14:paraId="7ACD3304">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Traffic types DO-DTT, DT, DO-A.</w:t>
            </w:r>
          </w:p>
          <w:p w14:paraId="767FAC85">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Representative use cases rUC5 (outdoor inventory), rUC6 (outdoor sensor), and rUC8 (outdoor command).</w:t>
            </w:r>
          </w:p>
          <w:p w14:paraId="1460FE6C">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Assumption that A-IoT BS readers are deployed on the same sites as existing outdoor NR macro BSs.</w:t>
            </w:r>
          </w:p>
          <w:p w14:paraId="1CE3D105">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FR1 licensed spectrum in FDD in-band to NR and in standalone bands, with R2D in DL spectrum and D2R in UL spectrum.</w:t>
            </w:r>
          </w:p>
          <w:p w14:paraId="0C656F41">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Assumption of the same air interface for Device 2b and Device C.</w:t>
            </w:r>
          </w:p>
          <w:p w14:paraId="3B6972AF">
            <w:pPr>
              <w:keepNext w:val="0"/>
              <w:keepLines w:val="0"/>
              <w:widowControl/>
              <w:numPr>
                <w:ilvl w:val="1"/>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bookmarkStart w:id="3" w:name="_Hlk200381346"/>
            <w:r>
              <w:rPr>
                <w:rFonts w:hint="eastAsia" w:eastAsia="等线"/>
                <w:sz w:val="20"/>
                <w:szCs w:val="20"/>
                <w:lang w:eastAsia="en-GB"/>
              </w:rPr>
              <w:t>Take into account the aspects reported in Clause 6.10 “DO-A assessment” and Clause 6.1.1.7 “CFO calibration signal for device 2b” of TR 38.769</w:t>
            </w:r>
            <w:bookmarkEnd w:id="3"/>
          </w:p>
          <w:p w14:paraId="2BB2B2E6">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val="en-US" w:eastAsia="zh-CN"/>
              </w:rPr>
              <w:t>[...]</w:t>
            </w:r>
          </w:p>
          <w:p w14:paraId="09B514C2">
            <w:pPr>
              <w:keepNext w:val="0"/>
              <w:keepLines w:val="0"/>
              <w:widowControl/>
              <w:suppressLineNumbers w:val="0"/>
              <w:overflowPunct w:val="0"/>
              <w:autoSpaceDE w:val="0"/>
              <w:autoSpaceDN w:val="0"/>
              <w:adjustRightInd w:val="0"/>
              <w:snapToGrid/>
              <w:spacing w:before="80" w:beforeAutospacing="0" w:after="80" w:afterAutospacing="0"/>
              <w:ind w:left="357" w:right="0"/>
              <w:jc w:val="left"/>
              <w:textAlignment w:val="baseline"/>
              <w:rPr>
                <w:rFonts w:hint="eastAsia" w:eastAsia="等线"/>
                <w:sz w:val="20"/>
                <w:szCs w:val="20"/>
                <w:lang w:val="en-US" w:eastAsia="zh-CN"/>
              </w:rPr>
            </w:pPr>
            <w:r>
              <w:rPr>
                <w:rFonts w:hint="eastAsia" w:eastAsia="等线"/>
                <w:sz w:val="20"/>
                <w:szCs w:val="20"/>
                <w:lang w:val="en-US" w:eastAsia="zh-CN"/>
              </w:rPr>
              <w:t>[...]</w:t>
            </w:r>
          </w:p>
          <w:p w14:paraId="61C98CC6">
            <w:pPr>
              <w:keepNext w:val="0"/>
              <w:keepLines w:val="0"/>
              <w:widowControl/>
              <w:suppressLineNumbers w:val="0"/>
              <w:overflowPunct w:val="0"/>
              <w:autoSpaceDE w:val="0"/>
              <w:autoSpaceDN w:val="0"/>
              <w:adjustRightInd w:val="0"/>
              <w:snapToGrid/>
              <w:spacing w:before="80" w:beforeAutospacing="0" w:after="80" w:afterAutospacing="0"/>
              <w:ind w:left="360" w:right="0"/>
              <w:jc w:val="left"/>
              <w:textAlignment w:val="baseline"/>
              <w:rPr>
                <w:rFonts w:hint="eastAsia" w:eastAsia="等线"/>
                <w:sz w:val="20"/>
                <w:szCs w:val="20"/>
                <w:lang w:eastAsia="en-GB"/>
              </w:rPr>
            </w:pPr>
            <w:r>
              <w:rPr>
                <w:rFonts w:hint="eastAsia" w:eastAsia="等线"/>
                <w:sz w:val="20"/>
                <w:szCs w:val="20"/>
                <w:lang w:eastAsia="en-GB"/>
              </w:rPr>
              <w:t>This objective includes:</w:t>
            </w:r>
          </w:p>
          <w:p w14:paraId="656FB5C6">
            <w:pPr>
              <w:keepNext w:val="0"/>
              <w:keepLines w:val="0"/>
              <w:widowControl/>
              <w:suppressLineNumbers w:val="0"/>
              <w:overflowPunct w:val="0"/>
              <w:autoSpaceDE w:val="0"/>
              <w:autoSpaceDN w:val="0"/>
              <w:adjustRightInd w:val="0"/>
              <w:snapToGrid/>
              <w:spacing w:before="80" w:beforeAutospacing="0" w:after="80" w:afterAutospacing="0"/>
              <w:ind w:left="360" w:right="0"/>
              <w:jc w:val="left"/>
              <w:textAlignment w:val="baseline"/>
              <w:rPr>
                <w:rFonts w:hint="eastAsia" w:eastAsia="等线"/>
                <w:b/>
                <w:bCs/>
                <w:sz w:val="20"/>
                <w:szCs w:val="20"/>
                <w:u w:val="single"/>
                <w:lang w:eastAsia="en-GB"/>
              </w:rPr>
            </w:pPr>
            <w:r>
              <w:rPr>
                <w:rFonts w:hint="eastAsia" w:eastAsia="等线"/>
                <w:b/>
                <w:bCs/>
                <w:sz w:val="20"/>
                <w:szCs w:val="20"/>
                <w:u w:val="single"/>
                <w:lang w:eastAsia="en-GB"/>
              </w:rPr>
              <w:t>RAN1-led</w:t>
            </w:r>
          </w:p>
          <w:p w14:paraId="188C3778">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Study necessary and feasible changes to the Rel-19 air interface to support the above scenarios</w:t>
            </w:r>
          </w:p>
          <w:p w14:paraId="5B143AE3">
            <w:pPr>
              <w:keepNext w:val="0"/>
              <w:keepLines w:val="0"/>
              <w:widowControl/>
              <w:numPr>
                <w:ilvl w:val="1"/>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Air interface for device 2b/C studied for outdoor will be reused for supporting device 2b/C in indoor scenarios</w:t>
            </w:r>
          </w:p>
          <w:p w14:paraId="2582FD26">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Study applicability and necessity of Device 2b and Device C to the above scenarios, assuming similar device architectures for Device 2b and Device C.</w:t>
            </w:r>
          </w:p>
          <w:p w14:paraId="12F46C65">
            <w:pPr>
              <w:keepNext w:val="0"/>
              <w:keepLines w:val="0"/>
              <w:widowControl/>
              <w:numPr>
                <w:ilvl w:val="0"/>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While providing clear differentiation with existing 3GPP LPWA IoT technology and the features of 6G relevant to IoT, study outcomes should include achievable cell edge data rate assuming</w:t>
            </w:r>
          </w:p>
          <w:p w14:paraId="1741D51D">
            <w:pPr>
              <w:keepNext w:val="0"/>
              <w:keepLines w:val="0"/>
              <w:widowControl/>
              <w:numPr>
                <w:ilvl w:val="1"/>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Maximum distance between Reader and Device of 50-500 m</w:t>
            </w:r>
          </w:p>
          <w:p w14:paraId="728C00F1">
            <w:pPr>
              <w:keepNext w:val="0"/>
              <w:keepLines w:val="0"/>
              <w:widowControl/>
              <w:numPr>
                <w:ilvl w:val="1"/>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Maximum transmit power between -3 dBm and +5 dBm for device C</w:t>
            </w:r>
          </w:p>
          <w:p w14:paraId="4E52BBA0">
            <w:pPr>
              <w:keepNext w:val="0"/>
              <w:keepLines w:val="0"/>
              <w:widowControl/>
              <w:numPr>
                <w:ilvl w:val="2"/>
                <w:numId w:val="6"/>
              </w:numPr>
              <w:suppressLineNumbers w:val="0"/>
              <w:overflowPunct w:val="0"/>
              <w:autoSpaceDE w:val="0"/>
              <w:autoSpaceDN w:val="0"/>
              <w:adjustRightInd w:val="0"/>
              <w:snapToGrid/>
              <w:spacing w:before="80" w:beforeAutospacing="0" w:after="80" w:afterAutospacing="0"/>
              <w:ind w:left="2694" w:right="0" w:hanging="354"/>
              <w:jc w:val="left"/>
              <w:textAlignment w:val="baseline"/>
              <w:rPr>
                <w:rFonts w:hint="eastAsia" w:eastAsia="等线"/>
                <w:sz w:val="20"/>
                <w:szCs w:val="20"/>
                <w:lang w:eastAsia="en-GB"/>
              </w:rPr>
            </w:pPr>
            <w:r>
              <w:rPr>
                <w:rFonts w:hint="eastAsia" w:eastAsia="等线"/>
                <w:sz w:val="20"/>
                <w:szCs w:val="20"/>
                <w:lang w:eastAsia="en-GB"/>
              </w:rPr>
              <w:t>RAN1 to recommend feasible values within this range</w:t>
            </w:r>
          </w:p>
          <w:p w14:paraId="7F0AAE3B">
            <w:pPr>
              <w:keepNext w:val="0"/>
              <w:keepLines w:val="0"/>
              <w:widowControl/>
              <w:numPr>
                <w:ilvl w:val="1"/>
                <w:numId w:val="6"/>
              </w:numPr>
              <w:suppressLineNumbers w:val="0"/>
              <w:overflowPunct w:val="0"/>
              <w:autoSpaceDE w:val="0"/>
              <w:autoSpaceDN w:val="0"/>
              <w:adjustRightInd w:val="0"/>
              <w:snapToGrid/>
              <w:spacing w:before="80" w:beforeAutospacing="0" w:after="80" w:afterAutospacing="0"/>
              <w:ind w:right="0"/>
              <w:jc w:val="left"/>
              <w:textAlignment w:val="baseline"/>
              <w:rPr>
                <w:rFonts w:hint="eastAsia" w:eastAsia="等线"/>
                <w:sz w:val="20"/>
                <w:szCs w:val="20"/>
                <w:lang w:eastAsia="en-GB"/>
              </w:rPr>
            </w:pPr>
            <w:r>
              <w:rPr>
                <w:rFonts w:hint="eastAsia" w:eastAsia="等线"/>
                <w:sz w:val="20"/>
                <w:szCs w:val="20"/>
                <w:lang w:eastAsia="en-GB"/>
              </w:rPr>
              <w:t>Maximum transmit power of -20 dBm and -10 dBm for device 2b</w:t>
            </w:r>
          </w:p>
          <w:p w14:paraId="1222A4C9">
            <w:pPr>
              <w:keepNext w:val="0"/>
              <w:keepLines w:val="0"/>
              <w:widowControl/>
              <w:suppressLineNumbers w:val="0"/>
              <w:overflowPunct w:val="0"/>
              <w:autoSpaceDE w:val="0"/>
              <w:autoSpaceDN w:val="0"/>
              <w:adjustRightInd w:val="0"/>
              <w:snapToGrid/>
              <w:spacing w:before="80" w:beforeAutospacing="0" w:after="80" w:afterAutospacing="0"/>
              <w:ind w:left="1440" w:right="0"/>
              <w:jc w:val="left"/>
              <w:textAlignment w:val="baseline"/>
              <w:rPr>
                <w:rFonts w:hint="eastAsia" w:eastAsia="等线"/>
                <w:sz w:val="20"/>
                <w:szCs w:val="20"/>
                <w:lang w:eastAsia="en-GB"/>
              </w:rPr>
            </w:pPr>
            <w:r>
              <w:rPr>
                <w:rFonts w:hint="eastAsia" w:eastAsia="等线"/>
                <w:sz w:val="20"/>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0AC7275B">
            <w:pPr>
              <w:keepNext w:val="0"/>
              <w:keepLines w:val="0"/>
              <w:widowControl/>
              <w:numPr>
                <w:ilvl w:val="0"/>
                <w:numId w:val="6"/>
              </w:numPr>
              <w:suppressLineNumbers w:val="0"/>
              <w:overflowPunct w:val="0"/>
              <w:autoSpaceDE w:val="0"/>
              <w:autoSpaceDN w:val="0"/>
              <w:adjustRightInd w:val="0"/>
              <w:snapToGrid/>
              <w:spacing w:before="80" w:beforeLines="-2147483648" w:beforeAutospacing="0" w:after="80" w:afterLines="-2147483648" w:afterAutospacing="0"/>
              <w:ind w:right="0"/>
              <w:jc w:val="left"/>
              <w:textAlignment w:val="baseline"/>
              <w:rPr>
                <w:rFonts w:hint="eastAsia" w:eastAsia="宋体"/>
                <w:szCs w:val="20"/>
                <w:lang w:val="en-US" w:eastAsia="zh-CN"/>
              </w:rPr>
            </w:pPr>
            <w:r>
              <w:rPr>
                <w:rFonts w:hint="eastAsia" w:eastAsia="等线"/>
                <w:sz w:val="20"/>
                <w:szCs w:val="20"/>
                <w:lang w:val="en-US" w:eastAsia="zh-CN"/>
              </w:rPr>
              <w:t>[...]</w:t>
            </w:r>
          </w:p>
        </w:tc>
      </w:tr>
    </w:tbl>
    <w:p w14:paraId="7C576318">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hint="eastAsia" w:eastAsia="宋体"/>
          <w:lang w:val="en-US" w:eastAsia="zh-CN"/>
        </w:rPr>
        <w:t>a few aspects of the air interface for Device 2b and Device C in Rel-20 A-IoT.</w:t>
      </w:r>
    </w:p>
    <w:p w14:paraId="3101D416">
      <w:pPr>
        <w:pStyle w:val="2"/>
        <w:spacing w:after="180"/>
        <w:rPr>
          <w:lang w:val="en-US"/>
        </w:rPr>
      </w:pPr>
      <w:r>
        <w:rPr>
          <w:lang w:val="en-US"/>
        </w:rPr>
        <w:t>Discussion</w:t>
      </w:r>
    </w:p>
    <w:p w14:paraId="6250387C">
      <w:pPr>
        <w:pStyle w:val="3"/>
        <w:spacing w:after="180"/>
        <w:rPr>
          <w:rFonts w:hint="eastAsia"/>
          <w:lang w:val="en-US" w:eastAsia="zh-CN"/>
        </w:rPr>
      </w:pPr>
      <w:r>
        <w:rPr>
          <w:rFonts w:hint="eastAsia"/>
          <w:sz w:val="28"/>
          <w:szCs w:val="28"/>
          <w:lang w:val="en-US" w:eastAsia="zh-CN"/>
        </w:rPr>
        <w:t>R2D</w:t>
      </w:r>
    </w:p>
    <w:p w14:paraId="45BFEE61">
      <w:pPr>
        <w:pStyle w:val="4"/>
        <w:spacing w:after="180"/>
        <w:rPr>
          <w:sz w:val="24"/>
          <w:szCs w:val="24"/>
          <w:lang w:val="en-US" w:eastAsia="zh-CN"/>
        </w:rPr>
      </w:pPr>
      <w:r>
        <w:rPr>
          <w:rFonts w:hint="eastAsia"/>
          <w:sz w:val="24"/>
          <w:szCs w:val="24"/>
          <w:lang w:val="en-US" w:eastAsia="zh-CN"/>
        </w:rPr>
        <w:t>R2D frequency acquisition signal</w:t>
      </w:r>
    </w:p>
    <w:p w14:paraId="62B16AD1">
      <w:pPr>
        <w:snapToGrid/>
        <w:spacing w:before="180" w:beforeLines="50" w:beforeAutospacing="1" w:after="180" w:afterLines="50"/>
        <w:rPr>
          <w:rFonts w:eastAsia="等线"/>
          <w:kern w:val="2"/>
          <w:szCs w:val="28"/>
          <w:lang w:val="en-US" w:eastAsia="zh-CN"/>
        </w:rPr>
      </w:pPr>
      <w:r>
        <w:rPr>
          <w:rFonts w:hint="eastAsia" w:eastAsia="宋体"/>
          <w:lang w:val="en-US" w:eastAsia="zh-CN"/>
        </w:rPr>
        <w:t xml:space="preserve">As captured in clause 6.1.1.7 of TR 38.769 </w:t>
      </w:r>
      <w:r>
        <w:rPr>
          <w:rFonts w:hint="eastAsia" w:eastAsia="宋体"/>
          <w:lang w:val="en-US" w:eastAsia="zh-CN"/>
        </w:rPr>
        <w:fldChar w:fldCharType="begin"/>
      </w:r>
      <w:r>
        <w:rPr>
          <w:rFonts w:hint="eastAsia" w:eastAsia="宋体"/>
          <w:lang w:val="en-US" w:eastAsia="zh-CN"/>
        </w:rPr>
        <w:instrText xml:space="preserve"> REF _Ref23969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in the A-IoT Rel-19 SI </w:t>
      </w:r>
      <w:r>
        <w:rPr>
          <w:rFonts w:hint="eastAsia" w:eastAsia="宋体"/>
          <w:lang w:val="en-US" w:eastAsia="zh-CN"/>
        </w:rPr>
        <w:fldChar w:fldCharType="begin"/>
      </w:r>
      <w:r>
        <w:rPr>
          <w:rFonts w:hint="eastAsia" w:eastAsia="宋体"/>
          <w:lang w:val="en-US" w:eastAsia="zh-CN"/>
        </w:rPr>
        <w:instrText xml:space="preserve"> REF _Ref24008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xml:space="preserve">, it had been identified that </w:t>
      </w:r>
      <w:r>
        <w:rPr>
          <w:rFonts w:eastAsia="宋体"/>
          <w:lang w:val="en-US" w:eastAsia="zh-CN"/>
        </w:rPr>
        <w:t>“</w:t>
      </w:r>
      <w:r>
        <w:rPr>
          <w:rFonts w:eastAsia="宋体"/>
          <w:i/>
          <w:iCs/>
          <w:lang w:val="en-US" w:eastAsia="zh-CN"/>
        </w:rPr>
        <w:t>for device 2b, a signal for CFO calibration should be provided to synchronize / calibrate the device clock for LO for carrier frequency (Clock purpose #5) to achieve the accuracy after clock sync / calibration at device side</w:t>
      </w:r>
      <w:r>
        <w:rPr>
          <w:rFonts w:eastAsia="宋体"/>
          <w:lang w:val="en-US" w:eastAsia="zh-CN"/>
        </w:rPr>
        <w:t>”</w:t>
      </w:r>
      <w:r>
        <w:rPr>
          <w:rFonts w:hint="eastAsia" w:eastAsia="宋体"/>
          <w:lang w:val="en-US" w:eastAsia="zh-CN"/>
        </w:rPr>
        <w:t xml:space="preserve">, in order to </w:t>
      </w:r>
      <w:r>
        <w:rPr>
          <w:rFonts w:eastAsia="宋体"/>
          <w:lang w:val="en-US" w:eastAsia="zh-CN"/>
        </w:rPr>
        <w:t>“</w:t>
      </w:r>
      <w:r>
        <w:rPr>
          <w:rFonts w:eastAsia="宋体"/>
          <w:i/>
          <w:iCs/>
          <w:lang w:val="en-US" w:eastAsia="zh-CN"/>
        </w:rPr>
        <w:t>reduce the frequency offset range and the guard-bandwidth of D2R transmission</w:t>
      </w:r>
      <w:r>
        <w:rPr>
          <w:rFonts w:eastAsia="宋体"/>
          <w:lang w:val="en-US" w:eastAsia="zh-CN"/>
        </w:rPr>
        <w:t>”</w:t>
      </w:r>
      <w:r>
        <w:rPr>
          <w:rFonts w:hint="eastAsia" w:eastAsia="宋体"/>
          <w:lang w:val="en-US" w:eastAsia="zh-CN"/>
        </w:rPr>
        <w:t xml:space="preserve">. Therefore, for Device 2b and Device C, one necessary change to the Rel-19 A-IoT air interface is to introduce an R2D </w:t>
      </w:r>
      <w:r>
        <w:rPr>
          <w:rFonts w:eastAsia="宋体"/>
          <w:lang w:val="en-US" w:eastAsia="zh-CN"/>
        </w:rPr>
        <w:t>“</w:t>
      </w:r>
      <w:r>
        <w:rPr>
          <w:rFonts w:hint="eastAsia" w:eastAsia="宋体"/>
          <w:lang w:val="en-US" w:eastAsia="zh-CN"/>
        </w:rPr>
        <w:t>frequency acquisition signal</w:t>
      </w:r>
      <w:r>
        <w:rPr>
          <w:rFonts w:eastAsia="宋体"/>
          <w:lang w:val="en-US" w:eastAsia="zh-CN"/>
        </w:rPr>
        <w:t>”</w:t>
      </w:r>
      <w:r>
        <w:rPr>
          <w:rFonts w:hint="eastAsia" w:eastAsia="宋体"/>
          <w:lang w:val="en-US" w:eastAsia="zh-CN"/>
        </w:rPr>
        <w:t xml:space="preserve"> for CFO calibration, in addition to the R2D </w:t>
      </w:r>
      <w:r>
        <w:rPr>
          <w:rFonts w:eastAsia="宋体"/>
          <w:lang w:val="en-US" w:eastAsia="zh-CN"/>
        </w:rPr>
        <w:t>“</w:t>
      </w:r>
      <w:r>
        <w:rPr>
          <w:rFonts w:hint="eastAsia" w:eastAsia="宋体"/>
          <w:lang w:val="en-US" w:eastAsia="zh-CN"/>
        </w:rPr>
        <w:t>timing acquisition signal</w:t>
      </w:r>
      <w:r>
        <w:rPr>
          <w:rFonts w:eastAsia="宋体"/>
          <w:lang w:val="en-US" w:eastAsia="zh-CN"/>
        </w:rPr>
        <w:t>”</w:t>
      </w:r>
      <w:r>
        <w:rPr>
          <w:rFonts w:hint="eastAsia" w:eastAsia="宋体"/>
          <w:lang w:val="en-US" w:eastAsia="zh-CN"/>
        </w:rPr>
        <w:t xml:space="preserve"> specified in Rel-19.</w:t>
      </w:r>
    </w:p>
    <w:p w14:paraId="7E54E25D">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an R2D frequency acquisition signal is introduced for CFO calibration.</w:t>
      </w:r>
    </w:p>
    <w:p w14:paraId="66E94D98">
      <w:pPr>
        <w:widowControl w:val="0"/>
        <w:numPr>
          <w:ilvl w:val="255"/>
          <w:numId w:val="0"/>
        </w:numPr>
        <w:tabs>
          <w:tab w:val="left" w:pos="1418"/>
        </w:tabs>
        <w:snapToGrid/>
        <w:spacing w:before="240" w:after="0" w:afterAutospacing="0"/>
        <w:ind w:left="0" w:firstLine="0"/>
        <w:rPr>
          <w:rFonts w:hint="default" w:eastAsia="宋体"/>
          <w:lang w:val="en-US" w:eastAsia="zh-CN"/>
        </w:rPr>
      </w:pPr>
      <w:r>
        <w:rPr>
          <w:rFonts w:hint="eastAsia" w:eastAsia="宋体"/>
          <w:lang w:val="en-US" w:eastAsia="zh-CN"/>
        </w:rPr>
        <w:t xml:space="preserve">One aspect to be studied for the R2D frequency acquisition signal is whether it is a standalone signal or is embedded into a legacy R2D transmission (which includes R2D timing acquisition signal, PRDCH and postamble). The latter approach is likely to result in a simpler design for Rel-20 A-IoT, and the former approach is fully compatible with Rel-19 A-IoT and is more friendly to device implementations (e.g. for a common platform for all device types) and is more flexible in terms of transmission triggering (e.g. it may be transmitted even without any data arriving at higher layers). Performance may also need to be investigated to conclude on the necessity of the former approach e.g. in terms of flexibility brought by separate transmissions, and wheter/how such an R2D signal is taken into account in supporting DO-A traffic (see section </w:t>
      </w:r>
      <w:r>
        <w:rPr>
          <w:rFonts w:hint="eastAsia" w:eastAsia="宋体"/>
          <w:lang w:val="en-US" w:eastAsia="zh-CN"/>
        </w:rPr>
        <w:fldChar w:fldCharType="begin"/>
      </w:r>
      <w:r>
        <w:rPr>
          <w:rFonts w:hint="eastAsia" w:eastAsia="宋体"/>
          <w:lang w:val="en-US" w:eastAsia="zh-CN"/>
        </w:rPr>
        <w:instrText xml:space="preserve"> REF _Ref18388 \n \h </w:instrText>
      </w:r>
      <w:r>
        <w:rPr>
          <w:rFonts w:hint="eastAsia" w:eastAsia="宋体"/>
          <w:lang w:val="en-US" w:eastAsia="zh-CN"/>
        </w:rPr>
        <w:fldChar w:fldCharType="separate"/>
      </w:r>
      <w:r>
        <w:rPr>
          <w:rFonts w:hint="eastAsia" w:eastAsia="宋体"/>
          <w:lang w:val="en-US" w:eastAsia="zh-CN"/>
        </w:rPr>
        <w:t>2.2.2</w:t>
      </w:r>
      <w:r>
        <w:rPr>
          <w:rFonts w:hint="eastAsia" w:eastAsia="宋体"/>
          <w:lang w:val="en-US" w:eastAsia="zh-CN"/>
        </w:rPr>
        <w:fldChar w:fldCharType="end"/>
      </w:r>
      <w:r>
        <w:rPr>
          <w:rFonts w:hint="eastAsia" w:eastAsia="宋体"/>
          <w:lang w:val="en-US" w:eastAsia="zh-CN"/>
        </w:rPr>
        <w:t>).</w:t>
      </w:r>
    </w:p>
    <w:p w14:paraId="3B6F65BA">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whether the R2D frequency acquisition signal is a standalone signal or is embedded into a legacy R2D transmission.</w:t>
      </w:r>
    </w:p>
    <w:p w14:paraId="5E83944E">
      <w:pPr>
        <w:widowControl w:val="0"/>
        <w:numPr>
          <w:ilvl w:val="255"/>
          <w:numId w:val="0"/>
        </w:numPr>
        <w:tabs>
          <w:tab w:val="left" w:pos="1418"/>
        </w:tabs>
        <w:snapToGrid/>
        <w:spacing w:before="240" w:after="0" w:afterAutospacing="0"/>
        <w:ind w:left="0" w:firstLine="0"/>
        <w:rPr>
          <w:rFonts w:hint="default" w:eastAsia="宋体"/>
          <w:lang w:val="en-US" w:eastAsia="zh-CN"/>
        </w:rPr>
      </w:pPr>
      <w:r>
        <w:rPr>
          <w:rFonts w:hint="eastAsia" w:eastAsia="宋体"/>
          <w:lang w:val="en-US" w:eastAsia="zh-CN"/>
        </w:rPr>
        <w:t>Another aspect to be studied for the R2D frequency acquisition signal is whether there is any restriction on the frequency positions of the R2D frequency acquisition signal, e.g. similarly to the concept of GSCN for SS/PBCH blocks in NR downlink. In our view, such a restriction is necessary in order to reduce the complexity of Device 2b and Device C. Details can be left to RAN4.</w:t>
      </w:r>
    </w:p>
    <w:p w14:paraId="6968D1BD">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whether there is any restriction on the frequency positions of the R2D frequency acquisition signal.</w:t>
      </w:r>
    </w:p>
    <w:p w14:paraId="30A84EA3">
      <w:pPr>
        <w:widowControl w:val="0"/>
        <w:numPr>
          <w:ilvl w:val="0"/>
          <w:numId w:val="0"/>
        </w:numPr>
        <w:tabs>
          <w:tab w:val="left" w:pos="1418"/>
        </w:tabs>
        <w:snapToGrid/>
        <w:spacing w:before="240" w:after="0" w:afterAutospacing="0"/>
        <w:ind w:leftChars="0"/>
        <w:rPr>
          <w:rFonts w:hint="eastAsia" w:eastAsia="宋体"/>
          <w:lang w:val="en-US" w:eastAsia="zh-CN"/>
        </w:rPr>
      </w:pPr>
      <w:r>
        <w:rPr>
          <w:rFonts w:hint="eastAsia" w:eastAsia="宋体"/>
          <w:lang w:val="en-US" w:eastAsia="zh-CN"/>
        </w:rPr>
        <w:t>The timing for transmissions of the R2D frequency acquisition signal should also be studied. From our perspective, the Reader should not be mandated to transmit the R2D frequency acquisition signal periodically. Instead, the exact timing for transmissions of the R2D frequency acquisition signal should be up to the Reader.</w:t>
      </w:r>
    </w:p>
    <w:p w14:paraId="7F4ADFC4">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timing of R2D frequency acquisition signal transmissions.</w:t>
      </w:r>
    </w:p>
    <w:p w14:paraId="0C3CCE6C">
      <w:pPr>
        <w:pStyle w:val="4"/>
        <w:spacing w:after="180"/>
        <w:rPr>
          <w:sz w:val="24"/>
          <w:szCs w:val="24"/>
          <w:lang w:val="en-US" w:eastAsia="zh-CN"/>
        </w:rPr>
      </w:pPr>
      <w:r>
        <w:rPr>
          <w:rFonts w:hint="eastAsia"/>
          <w:sz w:val="24"/>
          <w:szCs w:val="24"/>
          <w:lang w:val="en-US" w:eastAsia="zh-CN"/>
        </w:rPr>
        <w:t>R2D frequency domain multiplexing (FDM)</w:t>
      </w:r>
    </w:p>
    <w:p w14:paraId="0715ACFA">
      <w:pPr>
        <w:widowControl w:val="0"/>
        <w:numPr>
          <w:ilvl w:val="255"/>
          <w:numId w:val="0"/>
        </w:numPr>
        <w:tabs>
          <w:tab w:val="left" w:pos="1418"/>
        </w:tabs>
        <w:snapToGrid/>
        <w:spacing w:before="240" w:after="0" w:afterAutospacing="0"/>
        <w:ind w:left="0" w:firstLine="0"/>
        <w:rPr>
          <w:rFonts w:hint="eastAsia" w:eastAsia="宋体"/>
          <w:lang w:val="en-US" w:eastAsia="zh-CN"/>
        </w:rPr>
      </w:pPr>
      <w:r>
        <w:rPr>
          <w:rFonts w:hint="eastAsia" w:eastAsia="宋体"/>
          <w:lang w:val="en-US" w:eastAsia="zh-CN"/>
        </w:rPr>
        <w:t xml:space="preserve">R2D FDM was studied in the A-IoT Rel-19 SI </w:t>
      </w:r>
      <w:r>
        <w:rPr>
          <w:rFonts w:hint="eastAsia" w:eastAsia="宋体"/>
          <w:lang w:val="en-US" w:eastAsia="zh-CN"/>
        </w:rPr>
        <w:fldChar w:fldCharType="begin"/>
      </w:r>
      <w:r>
        <w:rPr>
          <w:rFonts w:hint="eastAsia" w:eastAsia="宋体"/>
          <w:lang w:val="en-US" w:eastAsia="zh-CN"/>
        </w:rPr>
        <w:instrText xml:space="preserve"> REF _Ref24008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xml:space="preserve"> for Device 2b, and a number of observations on the feasibility and necessity of FDM for Device 2b were captured in clause 6.1.1.8 of </w:t>
      </w:r>
      <w:r>
        <w:rPr>
          <w:rFonts w:hint="eastAsia" w:eastAsia="宋体"/>
          <w:lang w:val="en-US" w:eastAsia="zh-CN"/>
        </w:rPr>
        <w:fldChar w:fldCharType="begin"/>
      </w:r>
      <w:r>
        <w:rPr>
          <w:rFonts w:hint="eastAsia" w:eastAsia="宋体"/>
          <w:lang w:val="en-US" w:eastAsia="zh-CN"/>
        </w:rPr>
        <w:instrText xml:space="preserve"> REF _Ref23969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where it was mainly assumed that FDM</w:t>
      </w:r>
      <w:r>
        <w:rPr>
          <w:rFonts w:eastAsia="宋体"/>
          <w:lang w:val="en-US" w:eastAsia="zh-CN"/>
        </w:rPr>
        <w:t>’</w:t>
      </w:r>
      <w:r>
        <w:rPr>
          <w:rFonts w:hint="eastAsia" w:eastAsia="宋体"/>
          <w:lang w:val="en-US" w:eastAsia="zh-CN"/>
        </w:rPr>
        <w:t>ed R2D transmissions were from a same Reader, in which case the overall inventory completion time may be reduced, at the cost of increasing the complexity of Device 2b and Device C. This approach does not seem very attractive since inventory completion time was not deemed a problem even with Rel-19 A-IoT.</w:t>
      </w:r>
    </w:p>
    <w:p w14:paraId="714D75DC">
      <w:pPr>
        <w:widowControl w:val="0"/>
        <w:numPr>
          <w:ilvl w:val="255"/>
          <w:numId w:val="0"/>
        </w:numPr>
        <w:tabs>
          <w:tab w:val="left" w:pos="1418"/>
        </w:tabs>
        <w:snapToGrid/>
        <w:spacing w:before="240" w:after="0" w:afterAutospacing="0"/>
        <w:ind w:left="0" w:firstLine="0"/>
        <w:rPr>
          <w:rFonts w:hint="default" w:eastAsia="宋体"/>
          <w:lang w:val="en-US" w:eastAsia="zh-CN"/>
        </w:rPr>
      </w:pPr>
      <w:r>
        <w:rPr>
          <w:rFonts w:hint="eastAsia" w:eastAsia="宋体"/>
          <w:lang w:val="en-US" w:eastAsia="zh-CN"/>
        </w:rPr>
        <w:t>In our view, for Device 2b and Device C, at least R2D FDM across Readers (i.e. FDM</w:t>
      </w:r>
      <w:r>
        <w:rPr>
          <w:rFonts w:eastAsia="宋体"/>
          <w:lang w:val="en-US" w:eastAsia="zh-CN"/>
        </w:rPr>
        <w:t>’</w:t>
      </w:r>
      <w:r>
        <w:rPr>
          <w:rFonts w:hint="eastAsia" w:eastAsia="宋体"/>
          <w:lang w:val="en-US" w:eastAsia="zh-CN"/>
        </w:rPr>
        <w:t>ed R2D transmissions are always from different Readers) can increase spectral efficiency (from system perspective) without introducing additional complexity for devices, and should thus be studied. With this type of R2D FDM, for a given Reader, a constant carrier frequency can be used for all types of R2D transmissions including R2D frequency acquisition signal (if separately transmitted) and legacy R2D transmission.</w:t>
      </w:r>
    </w:p>
    <w:p w14:paraId="14F564C5">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R2D FDM across Readers (i.e. FDM</w:t>
      </w:r>
      <w:r>
        <w:rPr>
          <w:rFonts w:eastAsia="宋体"/>
          <w:lang w:val="en-US" w:eastAsia="zh-CN"/>
        </w:rPr>
        <w:t>’</w:t>
      </w:r>
      <w:r>
        <w:rPr>
          <w:rFonts w:hint="eastAsia" w:eastAsia="宋体"/>
          <w:lang w:val="en-US" w:eastAsia="zh-CN"/>
        </w:rPr>
        <w:t>ed R2D transmissions are always from different Readers).</w:t>
      </w:r>
    </w:p>
    <w:p w14:paraId="462FE5AB">
      <w:pPr>
        <w:pStyle w:val="3"/>
        <w:spacing w:after="180"/>
        <w:rPr>
          <w:rFonts w:hint="eastAsia" w:ascii="Arial" w:hAnsi="Arial"/>
          <w:lang w:val="en-US" w:eastAsia="zh-CN"/>
        </w:rPr>
      </w:pPr>
      <w:r>
        <w:rPr>
          <w:rFonts w:hint="eastAsia" w:ascii="Arial" w:hAnsi="Arial"/>
          <w:sz w:val="28"/>
          <w:szCs w:val="28"/>
          <w:lang w:val="en-US" w:eastAsia="zh-CN"/>
        </w:rPr>
        <w:t>D2R</w:t>
      </w:r>
    </w:p>
    <w:p w14:paraId="027246A8">
      <w:pPr>
        <w:pStyle w:val="4"/>
        <w:spacing w:after="180"/>
        <w:rPr>
          <w:rFonts w:hint="eastAsia" w:ascii="Arial" w:hAnsi="Arial"/>
          <w:sz w:val="24"/>
          <w:szCs w:val="24"/>
          <w:lang w:val="en-US" w:eastAsia="zh-CN"/>
        </w:rPr>
      </w:pPr>
      <w:r>
        <w:rPr>
          <w:rFonts w:hint="eastAsia" w:ascii="Arial" w:hAnsi="Arial"/>
          <w:sz w:val="24"/>
          <w:szCs w:val="24"/>
          <w:lang w:val="en-US" w:eastAsia="zh-CN"/>
        </w:rPr>
        <w:t>Spectrum for D2R</w:t>
      </w:r>
    </w:p>
    <w:p w14:paraId="7DAB5C29">
      <w:pPr>
        <w:snapToGrid/>
        <w:spacing w:before="180" w:beforeLines="50" w:beforeAutospacing="1" w:after="180" w:afterLines="50"/>
        <w:rPr>
          <w:rFonts w:hint="eastAsia" w:eastAsia="宋体"/>
          <w:sz w:val="24"/>
          <w:szCs w:val="20"/>
          <w:lang w:val="en-US" w:eastAsia="zh-CN"/>
        </w:rPr>
      </w:pPr>
      <w:r>
        <w:rPr>
          <w:rFonts w:hint="eastAsia" w:eastAsia="宋体"/>
          <w:sz w:val="24"/>
          <w:szCs w:val="20"/>
          <w:lang w:val="en-US" w:eastAsia="zh-CN"/>
        </w:rPr>
        <w:t>For Device 2b and Device C, and with internally-generated D2R transmissions, a common carrier-wave frequency for multiple devices is not necessary. Instead, a device can determine its own carrier-wave frequency based on a reference D2R carrier frequency which is common for all FDM</w:t>
      </w:r>
      <w:r>
        <w:rPr>
          <w:rFonts w:hint="default" w:eastAsia="宋体"/>
          <w:sz w:val="24"/>
          <w:szCs w:val="20"/>
          <w:lang w:val="en-US" w:eastAsia="zh-CN"/>
        </w:rPr>
        <w:t>’</w:t>
      </w:r>
      <w:r>
        <w:rPr>
          <w:rFonts w:hint="eastAsia" w:eastAsia="宋体"/>
          <w:sz w:val="24"/>
          <w:szCs w:val="20"/>
          <w:lang w:val="en-US" w:eastAsia="zh-CN"/>
        </w:rPr>
        <w:t>ed D2R transmissions and an offset corresponding to the allocated amount of small frequency shift.</w:t>
      </w:r>
    </w:p>
    <w:p w14:paraId="738EC983">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Device 2b and Device C, </w:t>
      </w:r>
      <w:r>
        <w:rPr>
          <w:rFonts w:hint="eastAsia" w:eastAsia="宋体"/>
          <w:sz w:val="24"/>
          <w:szCs w:val="20"/>
          <w:lang w:val="en-US" w:eastAsia="zh-CN"/>
        </w:rPr>
        <w:t xml:space="preserve">the carrier-wave frequency is determined as an offset to a </w:t>
      </w:r>
      <w:r>
        <w:rPr>
          <w:rFonts w:hint="default" w:eastAsia="宋体"/>
          <w:sz w:val="24"/>
          <w:szCs w:val="20"/>
          <w:lang w:val="en-US" w:eastAsia="zh-CN"/>
        </w:rPr>
        <w:t xml:space="preserve">reference </w:t>
      </w:r>
      <w:r>
        <w:rPr>
          <w:rFonts w:hint="eastAsia" w:eastAsia="宋体"/>
          <w:sz w:val="24"/>
          <w:szCs w:val="20"/>
          <w:lang w:val="en-US" w:eastAsia="zh-CN"/>
        </w:rPr>
        <w:t>D2R carrier frequency common for all FDM</w:t>
      </w:r>
      <w:r>
        <w:rPr>
          <w:rFonts w:hint="default" w:eastAsia="宋体"/>
          <w:sz w:val="24"/>
          <w:szCs w:val="20"/>
          <w:lang w:val="en-US" w:eastAsia="zh-CN"/>
        </w:rPr>
        <w:t>’</w:t>
      </w:r>
      <w:r>
        <w:rPr>
          <w:rFonts w:hint="eastAsia" w:eastAsia="宋体"/>
          <w:sz w:val="24"/>
          <w:szCs w:val="20"/>
          <w:lang w:val="en-US" w:eastAsia="zh-CN"/>
        </w:rPr>
        <w:t>ed D2R transmissions</w:t>
      </w:r>
      <w:r>
        <w:rPr>
          <w:rFonts w:hint="eastAsia" w:eastAsia="宋体"/>
          <w:lang w:val="en-US" w:eastAsia="zh-CN"/>
        </w:rPr>
        <w:t>.</w:t>
      </w:r>
    </w:p>
    <w:p w14:paraId="232C7FE6">
      <w:pPr>
        <w:snapToGrid/>
        <w:spacing w:before="180" w:beforeLines="50" w:beforeAutospacing="1" w:after="180" w:afterLines="50"/>
        <w:rPr>
          <w:rFonts w:hint="eastAsia" w:eastAsia="宋体"/>
          <w:sz w:val="24"/>
          <w:szCs w:val="20"/>
          <w:lang w:val="en-US" w:eastAsia="zh-CN"/>
        </w:rPr>
      </w:pPr>
      <w:r>
        <w:rPr>
          <w:rFonts w:hint="eastAsia" w:eastAsia="宋体"/>
          <w:sz w:val="24"/>
          <w:szCs w:val="20"/>
          <w:lang w:val="en-US" w:eastAsia="zh-CN"/>
        </w:rPr>
        <w:t xml:space="preserve">For Device 2b and Device C, and for FDD spectrum (e.g. band n8) with R2D in DL and D2R in UL (see Objective 1 in </w:t>
      </w:r>
      <w:r>
        <w:rPr>
          <w:rFonts w:hint="eastAsia" w:eastAsia="宋体"/>
          <w:sz w:val="24"/>
          <w:szCs w:val="20"/>
          <w:lang w:val="en-US" w:eastAsia="zh-CN"/>
        </w:rPr>
        <w:fldChar w:fldCharType="begin"/>
      </w:r>
      <w:r>
        <w:rPr>
          <w:rFonts w:hint="eastAsia" w:eastAsia="宋体"/>
          <w:sz w:val="24"/>
          <w:szCs w:val="20"/>
          <w:lang w:val="en-US" w:eastAsia="zh-CN"/>
        </w:rPr>
        <w:instrText xml:space="preserve"> REF _Ref124764504 \n \h </w:instrText>
      </w:r>
      <w:r>
        <w:rPr>
          <w:rFonts w:hint="eastAsia" w:eastAsia="宋体"/>
          <w:sz w:val="24"/>
          <w:szCs w:val="20"/>
          <w:lang w:val="en-US" w:eastAsia="zh-CN"/>
        </w:rPr>
        <w:fldChar w:fldCharType="separate"/>
      </w:r>
      <w:r>
        <w:rPr>
          <w:rFonts w:hint="eastAsia" w:eastAsia="宋体"/>
          <w:sz w:val="24"/>
          <w:szCs w:val="20"/>
          <w:lang w:val="en-US" w:eastAsia="zh-CN"/>
        </w:rPr>
        <w:t>[1]</w:t>
      </w:r>
      <w:r>
        <w:rPr>
          <w:rFonts w:hint="eastAsia" w:eastAsia="宋体"/>
          <w:sz w:val="24"/>
          <w:szCs w:val="20"/>
          <w:lang w:val="en-US" w:eastAsia="zh-CN"/>
        </w:rPr>
        <w:fldChar w:fldCharType="end"/>
      </w:r>
      <w:r>
        <w:rPr>
          <w:rFonts w:hint="eastAsia" w:eastAsia="宋体"/>
          <w:sz w:val="24"/>
          <w:szCs w:val="20"/>
          <w:lang w:val="en-US" w:eastAsia="zh-CN"/>
        </w:rPr>
        <w:t>), and with the lack of system-information-like configuration in A-IoT, it seems natural that the reference D2R carrier frequency should be simply derived based on the frequency used for R2D, e.g. by applying a gap of the TX-RX frequency separation of the operating band.</w:t>
      </w:r>
    </w:p>
    <w:p w14:paraId="37C2312D">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Device 2b and Device C, </w:t>
      </w:r>
      <w:r>
        <w:rPr>
          <w:rFonts w:hint="eastAsia" w:eastAsia="宋体"/>
          <w:sz w:val="24"/>
          <w:szCs w:val="20"/>
          <w:lang w:val="en-US" w:eastAsia="zh-CN"/>
        </w:rPr>
        <w:t xml:space="preserve">the </w:t>
      </w:r>
      <w:r>
        <w:rPr>
          <w:rFonts w:hint="default" w:eastAsia="宋体"/>
          <w:sz w:val="24"/>
          <w:szCs w:val="20"/>
          <w:lang w:val="en-US" w:eastAsia="zh-CN"/>
        </w:rPr>
        <w:t xml:space="preserve">reference </w:t>
      </w:r>
      <w:r>
        <w:rPr>
          <w:rFonts w:hint="eastAsia" w:eastAsia="宋体"/>
          <w:sz w:val="24"/>
          <w:szCs w:val="20"/>
          <w:lang w:val="en-US" w:eastAsia="zh-CN"/>
        </w:rPr>
        <w:t>D2R carrier frequency is derived based on the frequency used for R2D, e.g. by applying a gap of the TX-RX frequency separation of the operating band</w:t>
      </w:r>
      <w:r>
        <w:rPr>
          <w:rFonts w:hint="eastAsia" w:eastAsia="宋体"/>
          <w:lang w:val="en-US" w:eastAsia="zh-CN"/>
        </w:rPr>
        <w:t>.</w:t>
      </w:r>
    </w:p>
    <w:p w14:paraId="1B8A4A15">
      <w:pPr>
        <w:pStyle w:val="4"/>
        <w:spacing w:after="180"/>
        <w:rPr>
          <w:rFonts w:hint="eastAsia" w:ascii="Arial" w:hAnsi="Arial"/>
          <w:sz w:val="24"/>
          <w:szCs w:val="24"/>
          <w:lang w:val="en-US" w:eastAsia="zh-CN"/>
        </w:rPr>
      </w:pPr>
      <w:bookmarkStart w:id="4" w:name="_Ref18388"/>
      <w:r>
        <w:rPr>
          <w:rFonts w:hint="eastAsia"/>
          <w:sz w:val="24"/>
          <w:szCs w:val="24"/>
          <w:lang w:val="en-US" w:eastAsia="zh-CN"/>
        </w:rPr>
        <w:t>Support of DO-A traffic</w:t>
      </w:r>
      <w:bookmarkEnd w:id="4"/>
    </w:p>
    <w:p w14:paraId="4B4C3AF6">
      <w:pPr>
        <w:snapToGrid/>
        <w:spacing w:before="180" w:beforeLines="50" w:beforeAutospacing="1" w:after="180" w:afterLines="50"/>
        <w:rPr>
          <w:rFonts w:hint="default" w:eastAsia="宋体"/>
          <w:lang w:val="en-US" w:eastAsia="zh-CN"/>
        </w:rPr>
      </w:pPr>
      <w:r>
        <w:rPr>
          <w:rFonts w:hint="eastAsia" w:eastAsia="宋体"/>
          <w:lang w:val="en-US" w:eastAsia="zh-CN"/>
        </w:rPr>
        <w:t>By definition, a procedure for serving DO-A traffic is autonomously triggered by the device upon D2R data arrival at higher layers. However, it seems problematic to simply allow the device to perform a D2R transmission with data at any time and/or frequency it wants even without detecting presence of any R2D transmission (e.g. of the R2D frequency acquisition signal). For example, no D2R transmission should be allowed in areas with no Reader deployed. The first D2R transmission of the procedure for DO-A can use time/frequency resource derived from the detected R2D transmission(s).</w:t>
      </w:r>
    </w:p>
    <w:p w14:paraId="54A40D05">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a procedure for serving DO-A traffic is only allowed to be triggered after detection of R2D transmissions (e.g. of the R2D frequency acquisition signal).</w:t>
      </w:r>
    </w:p>
    <w:p w14:paraId="1BE888B9">
      <w:pPr>
        <w:widowControl w:val="0"/>
        <w:numPr>
          <w:ilvl w:val="3"/>
          <w:numId w:val="8"/>
        </w:numPr>
        <w:snapToGrid/>
        <w:spacing w:after="0" w:afterAutospacing="0"/>
        <w:rPr>
          <w:rFonts w:eastAsia="宋体"/>
          <w:lang w:val="en-US" w:eastAsia="zh-CN"/>
        </w:rPr>
      </w:pPr>
      <w:r>
        <w:rPr>
          <w:rFonts w:hint="eastAsia" w:eastAsia="宋体"/>
          <w:lang w:val="en-US" w:eastAsia="zh-CN"/>
        </w:rPr>
        <w:t>The first D2R transmission of the procedure for DO-A can use time/frequency resource derived from the detected R2D transmission(s).</w:t>
      </w:r>
    </w:p>
    <w:p w14:paraId="06C5BD54">
      <w:pPr>
        <w:snapToGrid/>
        <w:spacing w:before="180" w:beforeLines="50" w:beforeAutospacing="1" w:after="180" w:afterLines="50"/>
        <w:rPr>
          <w:rFonts w:hint="default" w:eastAsia="宋体"/>
          <w:lang w:val="en-US" w:eastAsia="zh-CN"/>
        </w:rPr>
      </w:pPr>
      <w:r>
        <w:rPr>
          <w:rFonts w:hint="eastAsia" w:eastAsia="宋体"/>
          <w:lang w:val="en-US" w:eastAsia="zh-CN"/>
        </w:rPr>
        <w:t xml:space="preserve">One possible enhancement to Rel-19 A-IoT to support DO-A traffic is to use the first D2R transmission of the procedure for DO-A to trigger A-IoT paging. The D2R transmission should be a short enough transmission such that it does not occupy too many resources while being detectable with reasonable performance by the Reader. It should be possible that multiple devices performing their respective </w:t>
      </w:r>
      <w:r>
        <w:rPr>
          <w:rFonts w:hint="default" w:eastAsia="宋体"/>
          <w:lang w:val="en-US" w:eastAsia="zh-CN"/>
        </w:rPr>
        <w:t>“</w:t>
      </w:r>
      <w:r>
        <w:rPr>
          <w:rFonts w:hint="eastAsia" w:eastAsia="宋体"/>
          <w:lang w:val="en-US" w:eastAsia="zh-CN"/>
        </w:rPr>
        <w:t>first D2R transmission of the procedure for DO-A</w:t>
      </w:r>
      <w:r>
        <w:rPr>
          <w:rFonts w:hint="default" w:eastAsia="宋体"/>
          <w:lang w:val="en-US" w:eastAsia="zh-CN"/>
        </w:rPr>
        <w:t>”</w:t>
      </w:r>
      <w:r>
        <w:rPr>
          <w:rFonts w:hint="eastAsia" w:eastAsia="宋体"/>
          <w:lang w:val="en-US" w:eastAsia="zh-CN"/>
        </w:rPr>
        <w:t xml:space="preserve"> within a time window can be paged by a same A-IoT paging message.</w:t>
      </w:r>
    </w:p>
    <w:p w14:paraId="114AF103">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the following approach for supporting DO-A traffic</w:t>
      </w:r>
    </w:p>
    <w:p w14:paraId="457434D9">
      <w:pPr>
        <w:widowControl w:val="0"/>
        <w:numPr>
          <w:ilvl w:val="3"/>
          <w:numId w:val="8"/>
        </w:numPr>
        <w:snapToGrid/>
        <w:spacing w:after="0" w:afterAutospacing="0"/>
        <w:rPr>
          <w:rFonts w:eastAsia="宋体"/>
          <w:lang w:val="en-US" w:eastAsia="zh-CN"/>
        </w:rPr>
      </w:pPr>
      <w:r>
        <w:rPr>
          <w:rFonts w:hint="eastAsia" w:eastAsia="宋体"/>
          <w:lang w:val="en-US" w:eastAsia="zh-CN"/>
        </w:rPr>
        <w:t xml:space="preserve">Upon </w:t>
      </w:r>
      <w:r>
        <w:rPr>
          <w:rFonts w:hint="default" w:ascii="Times New Roman" w:hAnsi="Times New Roman" w:eastAsia="宋体" w:cs="Times New Roman"/>
          <w:lang w:val="en-US" w:eastAsia="zh-CN"/>
        </w:rPr>
        <w:t xml:space="preserve">data </w:t>
      </w:r>
      <w:r>
        <w:rPr>
          <w:rFonts w:hint="eastAsia" w:eastAsia="宋体"/>
          <w:lang w:val="en-US" w:eastAsia="zh-CN"/>
        </w:rPr>
        <w:t>arrival of DO-A traffic, the device performs a short D2R transmission to trigger A-IoT paging</w:t>
      </w:r>
      <w:r>
        <w:rPr>
          <w:rFonts w:hint="eastAsia" w:hAnsi="Cambria Math" w:eastAsia="等线"/>
          <w:kern w:val="32"/>
          <w:lang w:val="en-US" w:eastAsia="zh-CN"/>
        </w:rPr>
        <w:t>.</w:t>
      </w:r>
    </w:p>
    <w:p w14:paraId="03A631C4">
      <w:pPr>
        <w:pStyle w:val="4"/>
        <w:spacing w:after="180"/>
        <w:rPr>
          <w:rFonts w:hint="eastAsia" w:ascii="Arial" w:hAnsi="Arial"/>
          <w:sz w:val="24"/>
          <w:szCs w:val="24"/>
          <w:lang w:val="en-US" w:eastAsia="zh-CN"/>
        </w:rPr>
      </w:pPr>
      <w:r>
        <w:rPr>
          <w:rFonts w:hint="eastAsia" w:ascii="Arial" w:hAnsi="Arial"/>
          <w:sz w:val="24"/>
          <w:szCs w:val="24"/>
          <w:lang w:val="en-US" w:eastAsia="zh-CN"/>
        </w:rPr>
        <w:t>1SB vs. 2SB</w:t>
      </w:r>
    </w:p>
    <w:p w14:paraId="6AC73D6D">
      <w:pPr>
        <w:snapToGrid/>
        <w:spacing w:before="180" w:beforeLines="50" w:beforeAutospacing="1" w:after="180" w:afterLines="50"/>
        <w:rPr>
          <w:rFonts w:hint="eastAsia" w:eastAsia="宋体"/>
          <w:lang w:val="en-US" w:eastAsia="zh-CN"/>
        </w:rPr>
      </w:pPr>
      <w:r>
        <w:rPr>
          <w:rFonts w:hint="eastAsia" w:eastAsia="宋体"/>
          <w:lang w:val="en-US" w:eastAsia="zh-CN"/>
        </w:rPr>
        <w:t xml:space="preserve">The following was captured in clause 6.1.2.1 of TR 38.769 </w:t>
      </w:r>
      <w:r>
        <w:rPr>
          <w:rFonts w:hint="eastAsia" w:eastAsia="宋体"/>
          <w:lang w:val="en-US" w:eastAsia="zh-CN"/>
        </w:rPr>
        <w:fldChar w:fldCharType="begin"/>
      </w:r>
      <w:r>
        <w:rPr>
          <w:rFonts w:hint="eastAsia" w:eastAsia="宋体"/>
          <w:lang w:val="en-US" w:eastAsia="zh-CN"/>
        </w:rPr>
        <w:instrText xml:space="preserve"> REF _Ref23969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842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2F14F420">
            <w:pPr>
              <w:keepNext w:val="0"/>
              <w:keepLines w:val="0"/>
              <w:widowControl/>
              <w:suppressLineNumbers w:val="0"/>
              <w:snapToGrid/>
              <w:spacing w:before="180" w:beforeLines="50" w:beforeAutospacing="1" w:after="180" w:afterLines="50"/>
              <w:ind w:left="0" w:right="0"/>
              <w:rPr>
                <w:rFonts w:hint="default" w:eastAsia="宋体"/>
                <w:szCs w:val="20"/>
                <w:vertAlign w:val="baseline"/>
                <w:lang w:val="en-US" w:eastAsia="zh-CN"/>
              </w:rPr>
            </w:pPr>
            <w:r>
              <w:rPr>
                <w:rFonts w:hint="default" w:eastAsia="宋体"/>
                <w:szCs w:val="20"/>
                <w:vertAlign w:val="baseline"/>
                <w:lang w:val="en-US" w:eastAsia="zh-CN"/>
              </w:rPr>
              <w:t>2SB modulation is feasible for D2R transmission for all devices. Feasibility and necessity of 1SB modulation would</w:t>
            </w:r>
            <w:r>
              <w:rPr>
                <w:rFonts w:hint="eastAsia" w:eastAsia="宋体"/>
                <w:szCs w:val="20"/>
                <w:vertAlign w:val="baseline"/>
                <w:lang w:val="en-US" w:eastAsia="zh-CN"/>
              </w:rPr>
              <w:t xml:space="preserve"> </w:t>
            </w:r>
            <w:r>
              <w:rPr>
                <w:rFonts w:hint="default" w:eastAsia="宋体"/>
                <w:szCs w:val="20"/>
                <w:vertAlign w:val="baseline"/>
                <w:lang w:val="en-US" w:eastAsia="zh-CN"/>
              </w:rPr>
              <w:t>depend on impacts due to issues including: device-side filtering requirements (i.e. image suppression), RF resource</w:t>
            </w:r>
            <w:r>
              <w:rPr>
                <w:rFonts w:hint="eastAsia" w:eastAsia="宋体"/>
                <w:szCs w:val="20"/>
                <w:vertAlign w:val="baseline"/>
                <w:lang w:val="en-US" w:eastAsia="zh-CN"/>
              </w:rPr>
              <w:t xml:space="preserve"> </w:t>
            </w:r>
            <w:r>
              <w:rPr>
                <w:rFonts w:hint="default" w:eastAsia="宋体"/>
                <w:szCs w:val="20"/>
                <w:vertAlign w:val="baseline"/>
                <w:lang w:val="en-US" w:eastAsia="zh-CN"/>
              </w:rPr>
              <w:t>usage / spectral efficiency, etc.</w:t>
            </w:r>
          </w:p>
        </w:tc>
      </w:tr>
    </w:tbl>
    <w:p w14:paraId="28040C58">
      <w:pPr>
        <w:snapToGrid/>
        <w:spacing w:before="180" w:beforeLines="50" w:beforeAutospacing="1" w:after="180" w:afterLines="50"/>
        <w:rPr>
          <w:rFonts w:hint="eastAsia" w:eastAsia="宋体"/>
          <w:lang w:val="en-US" w:eastAsia="zh-CN"/>
        </w:rPr>
      </w:pPr>
      <w:r>
        <w:rPr>
          <w:rFonts w:hint="eastAsia" w:eastAsia="宋体"/>
          <w:lang w:val="en-US" w:eastAsia="zh-CN"/>
        </w:rPr>
        <w:t>For Device 2b and Device C, RAN1 should continue to study the feasibility of 1SB modulation in terms of device complexity and power consumption, e.g. by identifying the performance gap between 1SB and 2SB, which may be used to determine whether to support both 1SB and 2SB, or only 1SB, or only 2SB.</w:t>
      </w:r>
    </w:p>
    <w:p w14:paraId="1F580C7A">
      <w:pPr>
        <w:widowControl w:val="0"/>
        <w:numPr>
          <w:ilvl w:val="0"/>
          <w:numId w:val="7"/>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the feasibility of 1SB modulation in terms of device complexity and power consumption, by identifying the performance gap between 1SB and 2SB.</w:t>
      </w:r>
    </w:p>
    <w:p w14:paraId="69308017">
      <w:pPr>
        <w:pStyle w:val="2"/>
        <w:spacing w:after="180"/>
        <w:rPr>
          <w:lang w:val="en-US"/>
        </w:rPr>
      </w:pPr>
      <w:r>
        <w:rPr>
          <w:lang w:val="en-US"/>
        </w:rPr>
        <w:t>Conclusion</w:t>
      </w:r>
    </w:p>
    <w:p w14:paraId="7B0BF458">
      <w:pPr>
        <w:spacing w:before="180" w:beforeLines="50" w:beforeAutospacing="1" w:after="180" w:afterLines="50" w:afterAutospacing="0"/>
        <w:rPr>
          <w:rFonts w:hint="eastAsia" w:eastAsia="宋体"/>
          <w:lang w:val="en-US" w:eastAsia="zh-CN"/>
        </w:rPr>
      </w:pPr>
      <w:r>
        <w:rPr>
          <w:lang w:val="en-US"/>
        </w:rPr>
        <w:t xml:space="preserve">In this contribution, </w:t>
      </w:r>
      <w:r>
        <w:rPr>
          <w:rFonts w:hint="eastAsia" w:eastAsia="宋体"/>
          <w:lang w:val="en-US" w:eastAsia="zh-CN"/>
        </w:rPr>
        <w:t xml:space="preserve">we </w:t>
      </w:r>
      <w:r>
        <w:rPr>
          <w:rFonts w:eastAsia="宋体"/>
          <w:lang w:val="en-US" w:eastAsia="zh-CN"/>
        </w:rPr>
        <w:t xml:space="preserve">share our views on </w:t>
      </w:r>
      <w:r>
        <w:rPr>
          <w:rFonts w:hint="eastAsia" w:eastAsia="宋体"/>
          <w:lang w:val="en-US" w:eastAsia="zh-CN"/>
        </w:rPr>
        <w:t>a few aspects of the air interface for Device 2b and Device C in Rel-20 A-IoT</w:t>
      </w:r>
      <w:r>
        <w:rPr>
          <w:rFonts w:eastAsia="宋体"/>
          <w:lang w:val="en-US" w:eastAsia="zh-CN"/>
        </w:rPr>
        <w:t xml:space="preserve">, and make </w:t>
      </w:r>
      <w:r>
        <w:rPr>
          <w:lang w:val="en-US"/>
        </w:rPr>
        <w:t>the following proposals</w:t>
      </w:r>
      <w:r>
        <w:rPr>
          <w:rFonts w:hint="eastAsia" w:eastAsia="宋体"/>
          <w:lang w:val="en-US" w:eastAsia="zh-CN"/>
        </w:rPr>
        <w:t>:</w:t>
      </w:r>
    </w:p>
    <w:p w14:paraId="0678355F">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an R2D frequency acquisition signal is introduced for CFO calibration.</w:t>
      </w:r>
    </w:p>
    <w:p w14:paraId="4A80D4FD">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whether the R2D frequency acquisition signal is a standalone signal or is embedded into a legacy R2D transmission.</w:t>
      </w:r>
    </w:p>
    <w:p w14:paraId="34C5940E">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whether there is any restriction on the frequency positions of the R2D frequency acquisition signal.</w:t>
      </w:r>
    </w:p>
    <w:p w14:paraId="351F03B1">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timing of R2D frequency acquisition signal transmissions.</w:t>
      </w:r>
    </w:p>
    <w:p w14:paraId="74E8C91D">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R2D FDM across Readers (i.e. FDM</w:t>
      </w:r>
      <w:r>
        <w:rPr>
          <w:rFonts w:eastAsia="宋体"/>
          <w:lang w:val="en-US" w:eastAsia="zh-CN"/>
        </w:rPr>
        <w:t>’</w:t>
      </w:r>
      <w:r>
        <w:rPr>
          <w:rFonts w:hint="eastAsia" w:eastAsia="宋体"/>
          <w:lang w:val="en-US" w:eastAsia="zh-CN"/>
        </w:rPr>
        <w:t>ed R2D transmissions are always from different Readers).</w:t>
      </w:r>
    </w:p>
    <w:p w14:paraId="41E31AEF">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Device 2b and Device C, </w:t>
      </w:r>
      <w:r>
        <w:rPr>
          <w:rFonts w:hint="eastAsia" w:eastAsia="宋体"/>
          <w:sz w:val="24"/>
          <w:szCs w:val="20"/>
          <w:lang w:val="en-US" w:eastAsia="zh-CN"/>
        </w:rPr>
        <w:t xml:space="preserve">the carrier-wave frequency is determined as an offset to a </w:t>
      </w:r>
      <w:r>
        <w:rPr>
          <w:rFonts w:hint="default" w:eastAsia="宋体"/>
          <w:sz w:val="24"/>
          <w:szCs w:val="20"/>
          <w:lang w:val="en-US" w:eastAsia="zh-CN"/>
        </w:rPr>
        <w:t xml:space="preserve">reference </w:t>
      </w:r>
      <w:r>
        <w:rPr>
          <w:rFonts w:hint="eastAsia" w:eastAsia="宋体"/>
          <w:sz w:val="24"/>
          <w:szCs w:val="20"/>
          <w:lang w:val="en-US" w:eastAsia="zh-CN"/>
        </w:rPr>
        <w:t>D2R carrier frequency common for all FDM</w:t>
      </w:r>
      <w:r>
        <w:rPr>
          <w:rFonts w:hint="default" w:eastAsia="宋体"/>
          <w:sz w:val="24"/>
          <w:szCs w:val="20"/>
          <w:lang w:val="en-US" w:eastAsia="zh-CN"/>
        </w:rPr>
        <w:t>’</w:t>
      </w:r>
      <w:r>
        <w:rPr>
          <w:rFonts w:hint="eastAsia" w:eastAsia="宋体"/>
          <w:sz w:val="24"/>
          <w:szCs w:val="20"/>
          <w:lang w:val="en-US" w:eastAsia="zh-CN"/>
        </w:rPr>
        <w:t>ed D2R transmissions</w:t>
      </w:r>
      <w:r>
        <w:rPr>
          <w:rFonts w:hint="eastAsia" w:eastAsia="宋体"/>
          <w:lang w:val="en-US" w:eastAsia="zh-CN"/>
        </w:rPr>
        <w:t>.</w:t>
      </w:r>
    </w:p>
    <w:p w14:paraId="5AF3B4C0">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 xml:space="preserve">For Device 2b and Device C, </w:t>
      </w:r>
      <w:r>
        <w:rPr>
          <w:rFonts w:hint="eastAsia" w:eastAsia="宋体"/>
          <w:sz w:val="24"/>
          <w:szCs w:val="20"/>
          <w:lang w:val="en-US" w:eastAsia="zh-CN"/>
        </w:rPr>
        <w:t xml:space="preserve">the </w:t>
      </w:r>
      <w:r>
        <w:rPr>
          <w:rFonts w:hint="default" w:eastAsia="宋体"/>
          <w:sz w:val="24"/>
          <w:szCs w:val="20"/>
          <w:lang w:val="en-US" w:eastAsia="zh-CN"/>
        </w:rPr>
        <w:t xml:space="preserve">reference </w:t>
      </w:r>
      <w:r>
        <w:rPr>
          <w:rFonts w:hint="eastAsia" w:eastAsia="宋体"/>
          <w:sz w:val="24"/>
          <w:szCs w:val="20"/>
          <w:lang w:val="en-US" w:eastAsia="zh-CN"/>
        </w:rPr>
        <w:t>D2R carrier frequency is derived based on the frequency used for R2D, e.g. by applying a gap of the TX-RX frequency separation of the operating band</w:t>
      </w:r>
      <w:r>
        <w:rPr>
          <w:rFonts w:hint="eastAsia" w:eastAsia="宋体"/>
          <w:lang w:val="en-US" w:eastAsia="zh-CN"/>
        </w:rPr>
        <w:t>.</w:t>
      </w:r>
    </w:p>
    <w:p w14:paraId="10F343FD">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a procedure for serving DO-A traffic is only allowed to be triggered after detection of R2D transmissions (e.g. of the R2D frequency acquisition signal).</w:t>
      </w:r>
    </w:p>
    <w:p w14:paraId="075AF2F8">
      <w:pPr>
        <w:widowControl w:val="0"/>
        <w:numPr>
          <w:ilvl w:val="3"/>
          <w:numId w:val="8"/>
        </w:numPr>
        <w:snapToGrid/>
        <w:spacing w:after="0" w:afterAutospacing="0"/>
        <w:rPr>
          <w:rFonts w:eastAsia="宋体"/>
          <w:lang w:val="en-US" w:eastAsia="zh-CN"/>
        </w:rPr>
      </w:pPr>
      <w:r>
        <w:rPr>
          <w:rFonts w:hint="eastAsia" w:eastAsia="宋体"/>
          <w:lang w:val="en-US" w:eastAsia="zh-CN"/>
        </w:rPr>
        <w:t>The first D2R transmission of the procedure for DO-A can use time/frequency resource derived from the detected R2D transmission(s).</w:t>
      </w:r>
    </w:p>
    <w:p w14:paraId="36C95D03">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the following approach for supporting DO-A traffic</w:t>
      </w:r>
    </w:p>
    <w:p w14:paraId="437C6D11">
      <w:pPr>
        <w:widowControl w:val="0"/>
        <w:numPr>
          <w:ilvl w:val="3"/>
          <w:numId w:val="8"/>
        </w:numPr>
        <w:snapToGrid/>
        <w:spacing w:after="0" w:afterAutospacing="0"/>
        <w:rPr>
          <w:rFonts w:eastAsia="宋体"/>
          <w:lang w:val="en-US" w:eastAsia="zh-CN"/>
        </w:rPr>
      </w:pPr>
      <w:r>
        <w:rPr>
          <w:rFonts w:hint="eastAsia" w:eastAsia="宋体"/>
          <w:lang w:val="en-US" w:eastAsia="zh-CN"/>
        </w:rPr>
        <w:t xml:space="preserve">Upon </w:t>
      </w:r>
      <w:r>
        <w:rPr>
          <w:rFonts w:hint="default" w:ascii="Times New Roman" w:hAnsi="Times New Roman" w:eastAsia="宋体" w:cs="Times New Roman"/>
          <w:lang w:val="en-US" w:eastAsia="zh-CN"/>
        </w:rPr>
        <w:t xml:space="preserve">data </w:t>
      </w:r>
      <w:r>
        <w:rPr>
          <w:rFonts w:hint="eastAsia" w:eastAsia="宋体"/>
          <w:lang w:val="en-US" w:eastAsia="zh-CN"/>
        </w:rPr>
        <w:t>arrival of DO-A traffic, the device performs a short D2R transmission to trigger A-IoT paging</w:t>
      </w:r>
      <w:r>
        <w:rPr>
          <w:rFonts w:hint="eastAsia" w:hAnsi="Cambria Math" w:eastAsia="等线"/>
          <w:kern w:val="32"/>
          <w:lang w:val="en-US" w:eastAsia="zh-CN"/>
        </w:rPr>
        <w:t>.</w:t>
      </w:r>
    </w:p>
    <w:p w14:paraId="33E83303">
      <w:pPr>
        <w:widowControl w:val="0"/>
        <w:numPr>
          <w:ilvl w:val="0"/>
          <w:numId w:val="9"/>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For Device 2b and Device C, study the feasibility of 1SB modulation in terms of device complexity and power consumption, by identifying the performance gap between 1SB and 2SB.</w:t>
      </w:r>
      <w:bookmarkStart w:id="8" w:name="_GoBack"/>
      <w:bookmarkEnd w:id="8"/>
    </w:p>
    <w:p w14:paraId="5912AB3E">
      <w:pPr>
        <w:pStyle w:val="2"/>
        <w:spacing w:after="180"/>
        <w:rPr>
          <w:lang w:val="en-US"/>
        </w:rPr>
      </w:pPr>
      <w:r>
        <w:rPr>
          <w:lang w:val="en-US"/>
        </w:rPr>
        <w:t>References</w:t>
      </w:r>
    </w:p>
    <w:p w14:paraId="536057AD">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24764504"/>
      <w:r>
        <w:rPr>
          <w:rFonts w:hint="eastAsia" w:eastAsia="MS Mincho"/>
          <w:lang w:val="en-US" w:eastAsia="en-GB"/>
        </w:rPr>
        <w:t>RP-251884</w:t>
      </w:r>
      <w:r>
        <w:rPr>
          <w:rFonts w:eastAsia="MS Mincho"/>
          <w:lang w:val="en-US" w:eastAsia="en-GB"/>
        </w:rPr>
        <w:t>, “</w:t>
      </w:r>
      <w:r>
        <w:rPr>
          <w:rFonts w:hint="eastAsia" w:eastAsia="MS Mincho"/>
          <w:lang w:val="en-US" w:eastAsia="en-GB"/>
        </w:rPr>
        <w:t>New SID on enhancements for solutions for Ambient IoT (Internet of Things) in NR outdoor for active devices</w:t>
      </w:r>
      <w:r>
        <w:rPr>
          <w:rFonts w:eastAsia="MS Mincho"/>
          <w:lang w:val="en-US" w:eastAsia="en-GB"/>
        </w:rPr>
        <w:t xml:space="preserve">”, </w:t>
      </w:r>
      <w:r>
        <w:rPr>
          <w:rFonts w:hint="eastAsia" w:eastAsia="MS Mincho"/>
          <w:lang w:val="en-US" w:eastAsia="en-GB"/>
        </w:rPr>
        <w:t>Moderator (RAN1 Vice-Chair)</w:t>
      </w:r>
      <w:r>
        <w:rPr>
          <w:rFonts w:eastAsia="MS Mincho"/>
          <w:lang w:val="en-US" w:eastAsia="en-GB"/>
        </w:rPr>
        <w:t>, RAN#10</w:t>
      </w:r>
      <w:r>
        <w:rPr>
          <w:rFonts w:hint="eastAsia" w:eastAsia="宋体"/>
          <w:lang w:val="en-US" w:eastAsia="zh-CN"/>
        </w:rPr>
        <w:t>8</w:t>
      </w:r>
      <w:r>
        <w:rPr>
          <w:rFonts w:eastAsia="MS Mincho"/>
          <w:lang w:val="en-US" w:eastAsia="en-GB"/>
        </w:rPr>
        <w:t>.</w:t>
      </w:r>
      <w:bookmarkEnd w:id="5"/>
    </w:p>
    <w:p w14:paraId="02AF3EF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23969"/>
      <w:r>
        <w:rPr>
          <w:rFonts w:hint="eastAsia" w:eastAsia="宋体"/>
          <w:lang w:val="en-US" w:eastAsia="zh-CN"/>
        </w:rPr>
        <w:t xml:space="preserve">TR 38.769, </w:t>
      </w:r>
      <w:r>
        <w:rPr>
          <w:rFonts w:eastAsia="宋体"/>
          <w:lang w:val="en-US" w:eastAsia="zh-CN"/>
        </w:rPr>
        <w:t>“Study on solutions for Ambient IoT (Internet of Things) in NR”</w:t>
      </w:r>
      <w:r>
        <w:rPr>
          <w:rFonts w:hint="eastAsia" w:eastAsia="宋体"/>
          <w:lang w:val="en-US" w:eastAsia="zh-CN"/>
        </w:rPr>
        <w:t>.</w:t>
      </w:r>
      <w:bookmarkEnd w:id="6"/>
    </w:p>
    <w:p w14:paraId="0B54BCDD">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24008"/>
      <w:r>
        <w:rPr>
          <w:rFonts w:hint="eastAsia" w:eastAsia="MS Mincho"/>
          <w:lang w:val="en-US" w:eastAsia="en-GB"/>
        </w:rPr>
        <w:t xml:space="preserve">RP-240826: </w:t>
      </w:r>
      <w:r>
        <w:rPr>
          <w:rFonts w:eastAsia="宋体"/>
          <w:lang w:val="en-US" w:eastAsia="zh-CN"/>
        </w:rPr>
        <w:t>“</w:t>
      </w:r>
      <w:r>
        <w:rPr>
          <w:rFonts w:hint="eastAsia" w:eastAsia="MS Mincho"/>
          <w:lang w:val="en-US" w:eastAsia="en-GB"/>
        </w:rPr>
        <w:t>Revised SID: Study on solutions for Ambient IoT (Internet of Things) in NR</w:t>
      </w:r>
      <w:r>
        <w:rPr>
          <w:rFonts w:eastAsia="宋体"/>
          <w:lang w:val="en-US" w:eastAsia="zh-CN"/>
        </w:rPr>
        <w:t>”</w:t>
      </w:r>
      <w:r>
        <w:rPr>
          <w:rFonts w:hint="eastAsia" w:eastAsia="MS Mincho"/>
          <w:lang w:val="en-US" w:eastAsia="en-GB"/>
        </w:rPr>
        <w:t>.</w:t>
      </w:r>
      <w:bookmarkEnd w:id="7"/>
    </w:p>
    <w:p w14:paraId="29226D15"/>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A8159">
    <w:pPr>
      <w:pStyle w:val="10"/>
      <w:jc w:val="center"/>
    </w:pPr>
    <w:r>
      <w:rPr>
        <w:b/>
      </w:rPr>
      <w:fldChar w:fldCharType="begin"/>
    </w:r>
    <w:r>
      <w:rPr>
        <w:b/>
      </w:rPr>
      <w:instrText xml:space="preserve">PAGE</w:instrText>
    </w:r>
    <w:r>
      <w:rPr>
        <w:b/>
      </w:rPr>
      <w:fldChar w:fldCharType="separate"/>
    </w:r>
    <w:r>
      <w:rPr>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93E49"/>
    <w:multiLevelType w:val="multilevel"/>
    <w:tmpl w:val="95793E49"/>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D56404"/>
    <w:multiLevelType w:val="multilevel"/>
    <w:tmpl w:val="02D5640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F250011"/>
    <w:multiLevelType w:val="multilevel"/>
    <w:tmpl w:val="1F250011"/>
    <w:lvl w:ilvl="0" w:tentative="0">
      <w:start w:val="1"/>
      <w:numFmt w:val="decimal"/>
      <w:pStyle w:val="17"/>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4A55685D"/>
    <w:multiLevelType w:val="singleLevel"/>
    <w:tmpl w:val="4A55685D"/>
    <w:lvl w:ilvl="0" w:tentative="0">
      <w:start w:val="1"/>
      <w:numFmt w:val="bullet"/>
      <w:pStyle w:val="18"/>
      <w:lvlText w:val=""/>
      <w:lvlJc w:val="left"/>
      <w:pPr>
        <w:tabs>
          <w:tab w:val="left" w:pos="992"/>
        </w:tabs>
        <w:ind w:left="992" w:hanging="425"/>
      </w:pPr>
      <w:rPr>
        <w:rFonts w:hint="default" w:ascii="Symbol" w:hAnsi="Symbol"/>
      </w:rPr>
    </w:lvl>
  </w:abstractNum>
  <w:abstractNum w:abstractNumId="4">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7">
    <w:nsid w:val="72E04451"/>
    <w:multiLevelType w:val="multilevel"/>
    <w:tmpl w:val="72E04451"/>
    <w:lvl w:ilvl="0" w:tentative="0">
      <w:start w:val="1"/>
      <w:numFmt w:val="decimal"/>
      <w:pStyle w:val="19"/>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5074CB8"/>
    <w:multiLevelType w:val="multilevel"/>
    <w:tmpl w:val="75074CB8"/>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sz w:val="15"/>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num w:numId="1">
    <w:abstractNumId w:val="6"/>
  </w:num>
  <w:num w:numId="2">
    <w:abstractNumId w:val="2"/>
  </w:num>
  <w:num w:numId="3">
    <w:abstractNumId w:val="3"/>
  </w:num>
  <w:num w:numId="4">
    <w:abstractNumId w:val="7"/>
  </w:num>
  <w:num w:numId="5">
    <w:abstractNumId w:val="1"/>
  </w:num>
  <w:num w:numId="6">
    <w:abstractNumId w:val="4"/>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965A9"/>
    <w:rsid w:val="000C753C"/>
    <w:rsid w:val="00131081"/>
    <w:rsid w:val="00132A78"/>
    <w:rsid w:val="001516A0"/>
    <w:rsid w:val="0017082B"/>
    <w:rsid w:val="001724A0"/>
    <w:rsid w:val="00183B4B"/>
    <w:rsid w:val="001A02A8"/>
    <w:rsid w:val="001A767A"/>
    <w:rsid w:val="002579B3"/>
    <w:rsid w:val="002D233F"/>
    <w:rsid w:val="002D5214"/>
    <w:rsid w:val="002F0AB2"/>
    <w:rsid w:val="00301D43"/>
    <w:rsid w:val="0033458C"/>
    <w:rsid w:val="00342FE8"/>
    <w:rsid w:val="00356619"/>
    <w:rsid w:val="0037359D"/>
    <w:rsid w:val="003F1BB8"/>
    <w:rsid w:val="003F4108"/>
    <w:rsid w:val="0040363B"/>
    <w:rsid w:val="00403CD6"/>
    <w:rsid w:val="004420D9"/>
    <w:rsid w:val="00450704"/>
    <w:rsid w:val="00474E8B"/>
    <w:rsid w:val="004874D5"/>
    <w:rsid w:val="004B399E"/>
    <w:rsid w:val="00523DBE"/>
    <w:rsid w:val="0054112B"/>
    <w:rsid w:val="00567643"/>
    <w:rsid w:val="00571122"/>
    <w:rsid w:val="00582606"/>
    <w:rsid w:val="005E6EBB"/>
    <w:rsid w:val="00637B55"/>
    <w:rsid w:val="006A6636"/>
    <w:rsid w:val="006B06C2"/>
    <w:rsid w:val="0070356C"/>
    <w:rsid w:val="007224F2"/>
    <w:rsid w:val="00772197"/>
    <w:rsid w:val="007A48FC"/>
    <w:rsid w:val="007B42DB"/>
    <w:rsid w:val="00812B98"/>
    <w:rsid w:val="00826E73"/>
    <w:rsid w:val="00833587"/>
    <w:rsid w:val="008335FC"/>
    <w:rsid w:val="008C74ED"/>
    <w:rsid w:val="009121BB"/>
    <w:rsid w:val="009172EA"/>
    <w:rsid w:val="009412B9"/>
    <w:rsid w:val="0095592C"/>
    <w:rsid w:val="009637E3"/>
    <w:rsid w:val="0097076F"/>
    <w:rsid w:val="009F3898"/>
    <w:rsid w:val="00A6466A"/>
    <w:rsid w:val="00A770A4"/>
    <w:rsid w:val="00B0227E"/>
    <w:rsid w:val="00B27957"/>
    <w:rsid w:val="00B95B6E"/>
    <w:rsid w:val="00C3548C"/>
    <w:rsid w:val="00C36B03"/>
    <w:rsid w:val="00C4624C"/>
    <w:rsid w:val="00C74513"/>
    <w:rsid w:val="00C9137D"/>
    <w:rsid w:val="00C9566F"/>
    <w:rsid w:val="00CA1860"/>
    <w:rsid w:val="00CF3293"/>
    <w:rsid w:val="00D24D00"/>
    <w:rsid w:val="00D46D22"/>
    <w:rsid w:val="00DD5BB0"/>
    <w:rsid w:val="00DE1E2A"/>
    <w:rsid w:val="00DF26C3"/>
    <w:rsid w:val="00DF2E77"/>
    <w:rsid w:val="00E47191"/>
    <w:rsid w:val="00E54F8C"/>
    <w:rsid w:val="00E551D9"/>
    <w:rsid w:val="00E77D83"/>
    <w:rsid w:val="00F03BEF"/>
    <w:rsid w:val="00F302D0"/>
    <w:rsid w:val="00F4229E"/>
    <w:rsid w:val="00F57504"/>
    <w:rsid w:val="00F77A2B"/>
    <w:rsid w:val="00F9165D"/>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9827E1"/>
    <w:rsid w:val="0FC34B48"/>
    <w:rsid w:val="10783643"/>
    <w:rsid w:val="10F468BD"/>
    <w:rsid w:val="10FC5772"/>
    <w:rsid w:val="11E54EED"/>
    <w:rsid w:val="11F5397D"/>
    <w:rsid w:val="12073C61"/>
    <w:rsid w:val="120F41BF"/>
    <w:rsid w:val="129C348E"/>
    <w:rsid w:val="12A926B4"/>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AF5F6C"/>
    <w:rsid w:val="2DBE6880"/>
    <w:rsid w:val="2DC43E7F"/>
    <w:rsid w:val="2E032864"/>
    <w:rsid w:val="2E4F41CD"/>
    <w:rsid w:val="2E67662E"/>
    <w:rsid w:val="2EDE178E"/>
    <w:rsid w:val="2EF44200"/>
    <w:rsid w:val="2F2D7712"/>
    <w:rsid w:val="2F4800A8"/>
    <w:rsid w:val="2FE70A33"/>
    <w:rsid w:val="300F504A"/>
    <w:rsid w:val="30450E91"/>
    <w:rsid w:val="307563EC"/>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F83758"/>
    <w:rsid w:val="51FB0B52"/>
    <w:rsid w:val="52460A81"/>
    <w:rsid w:val="526C4FB9"/>
    <w:rsid w:val="52987B17"/>
    <w:rsid w:val="52AE13FB"/>
    <w:rsid w:val="5380612E"/>
    <w:rsid w:val="54994D7E"/>
    <w:rsid w:val="549D793C"/>
    <w:rsid w:val="54B22CB0"/>
    <w:rsid w:val="54C2581F"/>
    <w:rsid w:val="54F2623D"/>
    <w:rsid w:val="550E5862"/>
    <w:rsid w:val="554747DA"/>
    <w:rsid w:val="558873CD"/>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830B14"/>
    <w:rsid w:val="63AC363C"/>
    <w:rsid w:val="642977BB"/>
    <w:rsid w:val="64345776"/>
    <w:rsid w:val="64C73510"/>
    <w:rsid w:val="64F93617"/>
    <w:rsid w:val="65A4405F"/>
    <w:rsid w:val="65A8257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Lines/>
      <w:tabs>
        <w:tab w:val="left" w:pos="709"/>
      </w:tabs>
      <w:spacing w:before="280" w:after="290" w:line="372" w:lineRule="auto"/>
      <w:outlineLvl w:val="3"/>
    </w:pPr>
    <w:rPr>
      <w:rFonts w:eastAsia="黑体"/>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semiHidden/>
    <w:unhideWhenUsed/>
    <w:qFormat/>
    <w:uiPriority w:val="0"/>
    <w:rPr>
      <w:rFonts w:ascii="Arial" w:hAnsi="Arial" w:eastAsia="黑体"/>
      <w:sz w:val="20"/>
    </w:r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20"/>
    <w:qFormat/>
    <w:uiPriority w:val="0"/>
    <w:pPr>
      <w:spacing w:after="0"/>
    </w:pPr>
    <w:rPr>
      <w:sz w:val="18"/>
      <w:szCs w:val="18"/>
    </w:rPr>
  </w:style>
  <w:style w:type="paragraph" w:styleId="10">
    <w:name w:val="footer"/>
    <w:basedOn w:val="1"/>
    <w:qFormat/>
    <w:uiPriority w:val="99"/>
    <w:pPr>
      <w:tabs>
        <w:tab w:val="center" w:pos="4252"/>
        <w:tab w:val="right" w:pos="8504"/>
      </w:tabs>
    </w:pPr>
  </w:style>
  <w:style w:type="paragraph" w:styleId="11">
    <w:name w:val="header"/>
    <w:basedOn w:val="1"/>
    <w:qFormat/>
    <w:uiPriority w:val="99"/>
    <w:pPr>
      <w:widowControl w:val="0"/>
    </w:pPr>
    <w:rPr>
      <w:rFonts w:ascii="Arial" w:hAnsi="Arial" w:eastAsia="MS Mincho"/>
      <w:b/>
      <w:sz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rFonts w:cs="Times New Roman"/>
      <w:b/>
    </w:rPr>
  </w:style>
  <w:style w:type="character" w:styleId="16">
    <w:name w:val="Hyperlink"/>
    <w:basedOn w:val="14"/>
    <w:qFormat/>
    <w:uiPriority w:val="0"/>
    <w:rPr>
      <w:color w:val="0000FF"/>
      <w:u w:val="single"/>
    </w:rPr>
  </w:style>
  <w:style w:type="paragraph" w:customStyle="1" w:styleId="17">
    <w:name w:val="text intend 2"/>
    <w:basedOn w:val="18"/>
    <w:qFormat/>
    <w:uiPriority w:val="0"/>
    <w:pPr>
      <w:widowControl/>
      <w:numPr>
        <w:numId w:val="2"/>
      </w:numPr>
      <w:tabs>
        <w:tab w:val="left" w:pos="420"/>
      </w:tabs>
      <w:spacing w:after="120"/>
    </w:pPr>
    <w:rPr>
      <w:lang w:val="en-US"/>
    </w:rPr>
  </w:style>
  <w:style w:type="paragraph" w:customStyle="1" w:styleId="18">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9">
    <w:name w:val="List Paragraph"/>
    <w:basedOn w:val="1"/>
    <w:link w:val="21"/>
    <w:qFormat/>
    <w:uiPriority w:val="34"/>
    <w:pPr>
      <w:numPr>
        <w:ilvl w:val="0"/>
        <w:numId w:val="4"/>
      </w:numPr>
      <w:spacing w:before="240" w:after="0" w:afterAutospacing="0"/>
    </w:pPr>
  </w:style>
  <w:style w:type="character" w:customStyle="1" w:styleId="20">
    <w:name w:val="批注框文本 字符"/>
    <w:basedOn w:val="14"/>
    <w:link w:val="9"/>
    <w:qFormat/>
    <w:uiPriority w:val="0"/>
    <w:rPr>
      <w:rFonts w:eastAsia="MS Gothic"/>
      <w:sz w:val="18"/>
      <w:szCs w:val="18"/>
      <w:lang w:val="en-GB" w:eastAsia="ja-JP"/>
    </w:rPr>
  </w:style>
  <w:style w:type="character" w:customStyle="1" w:styleId="21">
    <w:name w:val="列出段落 字符"/>
    <w:link w:val="19"/>
    <w:qFormat/>
    <w:locked/>
    <w:uiPriority w:val="34"/>
    <w:rPr>
      <w:rFonts w:eastAsia="MS Gothic"/>
      <w:sz w:val="24"/>
      <w:lang w:val="en-GB" w:eastAsia="ja-JP"/>
    </w:rPr>
  </w:style>
  <w:style w:type="paragraph" w:customStyle="1" w:styleId="22">
    <w:name w:val="0 Main text"/>
    <w:basedOn w:val="1"/>
    <w:qFormat/>
    <w:uiPriority w:val="0"/>
    <w:rPr>
      <w:rFonts w:eastAsia="Malgun Gothic"/>
    </w:rPr>
  </w:style>
  <w:style w:type="paragraph" w:customStyle="1" w:styleId="23">
    <w:name w:val="B1"/>
    <w:basedOn w:val="8"/>
    <w:qFormat/>
    <w:uiPriority w:val="0"/>
  </w:style>
  <w:style w:type="paragraph" w:customStyle="1" w:styleId="24">
    <w:name w:val="B2"/>
    <w:basedOn w:val="7"/>
    <w:qFormat/>
    <w:uiPriority w:val="0"/>
  </w:style>
  <w:style w:type="paragraph" w:customStyle="1" w:styleId="25">
    <w:name w:val="EX"/>
    <w:basedOn w:val="1"/>
    <w:qFormat/>
    <w:uiPriority w:val="0"/>
    <w:pPr>
      <w:keepLines/>
      <w:ind w:left="1702" w:hanging="1418"/>
    </w:pPr>
  </w:style>
  <w:style w:type="paragraph" w:customStyle="1" w:styleId="2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1958</Words>
  <Characters>10103</Characters>
  <Lines>63</Lines>
  <Paragraphs>17</Paragraphs>
  <TotalTime>3</TotalTime>
  <ScaleCrop>false</ScaleCrop>
  <LinksUpToDate>false</LinksUpToDate>
  <CharactersWithSpaces>12009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LC0814O1</cp:lastModifiedBy>
  <dcterms:modified xsi:type="dcterms:W3CDTF">2025-08-15T06:58:53Z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B63018FADABA4BD5A7DD77E40017B435_13</vt:lpwstr>
  </property>
  <property fmtid="{D5CDD505-2E9C-101B-9397-08002B2CF9AE}" pid="4" name="KSOTemplateDocerSaveRecord">
    <vt:lpwstr>eyJoZGlkIjoiNjg5YTE3M2RiMjhjZDUyY2MxZjU4MzFhNTRmNWZiNWEiLCJ1c2VySWQiOiI0NDM1NzkyNzAifQ==</vt:lpwstr>
  </property>
</Properties>
</file>