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B5505" w14:textId="0DCA2423" w:rsidR="00474DEB" w:rsidRPr="00F44814" w:rsidRDefault="00454585" w:rsidP="00F44814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</w:t>
      </w:r>
      <w:r w:rsidR="00E95517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2F64A4">
        <w:rPr>
          <w:rFonts w:ascii="Arial" w:hAnsi="Arial" w:cs="Arial"/>
          <w:b/>
          <w:bCs/>
          <w:sz w:val="24"/>
          <w:szCs w:val="24"/>
        </w:rPr>
        <w:t xml:space="preserve">     </w:t>
      </w:r>
      <w:bookmarkStart w:id="0" w:name="_GoBack"/>
      <w:bookmarkEnd w:id="0"/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</w:t>
      </w:r>
      <w:r w:rsidR="002F64A4">
        <w:rPr>
          <w:rFonts w:ascii="Arial" w:hAnsi="Arial" w:cs="Arial"/>
          <w:b/>
          <w:bCs/>
          <w:sz w:val="24"/>
          <w:szCs w:val="24"/>
        </w:rPr>
        <w:t>4838</w:t>
      </w:r>
    </w:p>
    <w:p w14:paraId="2ACDD20B" w14:textId="6BE9DBF9" w:rsidR="00463675" w:rsidRPr="000F4E43" w:rsidRDefault="00ED0E7B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St Julian's, Malta, May 19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64843164" w14:textId="7220DC91" w:rsidR="00F01310" w:rsidRPr="00F01310" w:rsidRDefault="00F01310" w:rsidP="00EE05A8">
      <w:pPr>
        <w:snapToGrid w:val="0"/>
        <w:spacing w:beforeLines="100" w:before="240" w:afterLines="50" w:after="120"/>
        <w:ind w:left="1985" w:hanging="1985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Title:</w:t>
      </w:r>
      <w:r w:rsidRPr="00F01310">
        <w:rPr>
          <w:rFonts w:ascii="Arial" w:eastAsia="宋体" w:hAnsi="Arial" w:cs="Arial"/>
          <w:b/>
        </w:rPr>
        <w:tab/>
      </w:r>
      <w:r w:rsidRPr="00790EBB">
        <w:rPr>
          <w:rFonts w:ascii="Arial" w:eastAsia="宋体" w:hAnsi="Arial" w:cs="Arial"/>
          <w:b/>
          <w:bCs/>
          <w:highlight w:val="yellow"/>
        </w:rPr>
        <w:t>Draft</w:t>
      </w:r>
      <w:r w:rsidRPr="00F01310">
        <w:rPr>
          <w:rFonts w:ascii="Arial" w:eastAsia="宋体" w:hAnsi="Arial" w:cs="Arial"/>
          <w:b/>
          <w:bCs/>
        </w:rPr>
        <w:t xml:space="preserve"> LS on maximum transmission power for </w:t>
      </w:r>
      <w:proofErr w:type="spellStart"/>
      <w:r w:rsidRPr="00F01310">
        <w:rPr>
          <w:rFonts w:ascii="Arial" w:eastAsia="宋体" w:hAnsi="Arial" w:cs="Arial"/>
          <w:b/>
          <w:bCs/>
        </w:rPr>
        <w:t>STxMP</w:t>
      </w:r>
      <w:proofErr w:type="spellEnd"/>
    </w:p>
    <w:p w14:paraId="3E67A5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Release:</w:t>
      </w:r>
      <w:r w:rsidRPr="00F01310">
        <w:rPr>
          <w:rFonts w:ascii="Arial" w:eastAsia="宋体" w:hAnsi="Arial" w:cs="Arial"/>
          <w:b/>
          <w:bCs/>
        </w:rPr>
        <w:tab/>
      </w:r>
      <w:r w:rsidRPr="00F01310">
        <w:rPr>
          <w:rFonts w:ascii="Arial" w:eastAsia="宋体" w:hAnsi="Arial" w:cs="Arial"/>
          <w:b/>
        </w:rPr>
        <w:t>Release 1</w:t>
      </w:r>
      <w:r w:rsidRPr="00F01310">
        <w:rPr>
          <w:rFonts w:ascii="Arial" w:eastAsia="宋体" w:hAnsi="Arial" w:cs="Arial"/>
          <w:b/>
          <w:lang w:eastAsia="zh-CN"/>
        </w:rPr>
        <w:t>8</w:t>
      </w:r>
    </w:p>
    <w:p w14:paraId="2941B6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</w:rPr>
      </w:pPr>
      <w:r w:rsidRPr="00F01310">
        <w:rPr>
          <w:rFonts w:ascii="Arial" w:eastAsia="宋体" w:hAnsi="Arial" w:cs="Arial"/>
          <w:b/>
        </w:rPr>
        <w:t>Work Item:</w:t>
      </w:r>
      <w:r w:rsidRPr="00F01310">
        <w:rPr>
          <w:rFonts w:ascii="Arial" w:eastAsia="宋体" w:hAnsi="Arial" w:cs="Arial"/>
          <w:b/>
          <w:bCs/>
        </w:rPr>
        <w:tab/>
      </w:r>
      <w:proofErr w:type="spellStart"/>
      <w:r w:rsidRPr="00F01310">
        <w:rPr>
          <w:rFonts w:ascii="Arial" w:eastAsia="宋体" w:hAnsi="Arial" w:cs="Arial"/>
          <w:b/>
        </w:rPr>
        <w:t>NR_MIMO_evo_DL_UL</w:t>
      </w:r>
      <w:proofErr w:type="spellEnd"/>
      <w:r w:rsidRPr="00F01310">
        <w:rPr>
          <w:rFonts w:ascii="Arial" w:eastAsia="宋体" w:hAnsi="Arial" w:cs="Arial"/>
          <w:b/>
        </w:rPr>
        <w:t>-Core</w:t>
      </w:r>
    </w:p>
    <w:p w14:paraId="58FFD15B" w14:textId="5C916AB6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Source:</w:t>
      </w:r>
      <w:r w:rsidRPr="00F01310">
        <w:rPr>
          <w:rFonts w:ascii="Arial" w:eastAsia="宋体" w:hAnsi="Arial" w:cs="Arial"/>
          <w:b/>
          <w:bCs/>
          <w:color w:val="FF0000"/>
        </w:rPr>
        <w:tab/>
      </w:r>
      <w:r w:rsidRPr="00F01310">
        <w:rPr>
          <w:rFonts w:ascii="Arial" w:eastAsia="宋体" w:hAnsi="Arial" w:cs="Arial"/>
          <w:b/>
        </w:rPr>
        <w:t>RAN1</w:t>
      </w:r>
      <w:r w:rsidRPr="00F01310">
        <w:rPr>
          <w:rFonts w:ascii="Arial" w:eastAsia="宋体" w:hAnsi="Arial" w:cs="Arial" w:hint="eastAsia"/>
          <w:b/>
          <w:lang w:eastAsia="zh-CN"/>
        </w:rPr>
        <w:t>,</w:t>
      </w:r>
      <w:r w:rsidRPr="00F01310">
        <w:rPr>
          <w:rFonts w:ascii="Arial" w:eastAsia="宋体" w:hAnsi="Arial" w:cs="Arial"/>
          <w:b/>
          <w:lang w:eastAsia="zh-CN"/>
        </w:rPr>
        <w:t xml:space="preserve"> </w:t>
      </w:r>
      <w:r w:rsidR="000B363B" w:rsidRPr="006D4F38">
        <w:rPr>
          <w:rFonts w:ascii="Arial" w:eastAsia="宋体" w:hAnsi="Arial" w:cs="Arial"/>
          <w:b/>
          <w:highlight w:val="yellow"/>
          <w:lang w:eastAsia="zh-CN"/>
        </w:rPr>
        <w:t>Huawei</w:t>
      </w:r>
    </w:p>
    <w:p w14:paraId="690F6985" w14:textId="11BAECE8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To:</w:t>
      </w:r>
      <w:r w:rsidRPr="00F01310">
        <w:rPr>
          <w:rFonts w:ascii="Arial" w:eastAsia="宋体" w:hAnsi="Arial" w:cs="Arial"/>
          <w:b/>
          <w:bCs/>
        </w:rPr>
        <w:tab/>
        <w:t>RA</w:t>
      </w:r>
      <w:r w:rsidRPr="00F01310">
        <w:rPr>
          <w:rFonts w:ascii="Arial" w:eastAsia="宋体" w:hAnsi="Arial" w:cs="Arial"/>
          <w:b/>
        </w:rPr>
        <w:t>N</w:t>
      </w:r>
      <w:r w:rsidR="000B363B">
        <w:rPr>
          <w:rFonts w:ascii="Arial" w:eastAsia="宋体" w:hAnsi="Arial" w:cs="Arial"/>
          <w:b/>
        </w:rPr>
        <w:t>4</w:t>
      </w:r>
    </w:p>
    <w:p w14:paraId="0F500EE0" w14:textId="77777777" w:rsidR="00F01310" w:rsidRPr="00F01310" w:rsidRDefault="00F01310" w:rsidP="00EE05A8">
      <w:pPr>
        <w:snapToGrid w:val="0"/>
        <w:spacing w:beforeLines="50" w:before="120" w:afterLines="50" w:after="120"/>
        <w:ind w:left="1985" w:hanging="1985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Cc:</w:t>
      </w:r>
      <w:r w:rsidRPr="00F01310">
        <w:rPr>
          <w:rFonts w:ascii="Arial" w:eastAsia="宋体" w:hAnsi="Arial" w:cs="Arial"/>
          <w:b/>
        </w:rPr>
        <w:tab/>
      </w:r>
    </w:p>
    <w:p w14:paraId="0D576F03" w14:textId="7777777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Contact Person:</w:t>
      </w:r>
    </w:p>
    <w:p w14:paraId="6E4A6C13" w14:textId="5DDEE4B8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宋体" w:hAnsi="Arial" w:cs="Arial"/>
          <w:bCs/>
        </w:rPr>
      </w:pPr>
      <w:r w:rsidRPr="00F01310">
        <w:rPr>
          <w:rFonts w:ascii="Arial" w:eastAsia="宋体" w:hAnsi="Arial" w:cs="Arial"/>
          <w:bCs/>
        </w:rPr>
        <w:tab/>
      </w:r>
      <w:r w:rsidRPr="00F01310">
        <w:rPr>
          <w:rFonts w:ascii="Arial" w:eastAsia="等线" w:hAnsi="Arial" w:cs="Arial"/>
          <w:b/>
        </w:rPr>
        <w:t>Name:</w:t>
      </w:r>
      <w:r w:rsidRPr="00F01310">
        <w:rPr>
          <w:rFonts w:ascii="Arial" w:eastAsia="等线" w:hAnsi="Arial" w:cs="Arial"/>
          <w:b/>
        </w:rPr>
        <w:tab/>
        <w:t xml:space="preserve"> </w:t>
      </w:r>
      <w:r w:rsidR="000B363B">
        <w:rPr>
          <w:rFonts w:ascii="Arial" w:eastAsia="等线" w:hAnsi="Arial" w:cs="Arial"/>
          <w:b/>
        </w:rPr>
        <w:t>Fanbo</w:t>
      </w:r>
    </w:p>
    <w:p w14:paraId="382118A1" w14:textId="212C45E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eastAsia="等线" w:cs="Arial"/>
          <w:b/>
          <w:i/>
          <w:iCs/>
          <w:lang w:eastAsia="zh-CN"/>
        </w:rPr>
      </w:pPr>
      <w:r w:rsidRPr="00F01310">
        <w:rPr>
          <w:rFonts w:eastAsia="等线" w:cs="Arial"/>
          <w:b/>
        </w:rPr>
        <w:tab/>
      </w:r>
      <w:r w:rsidRPr="00F01310">
        <w:rPr>
          <w:rFonts w:ascii="Arial" w:eastAsia="等线" w:hAnsi="Arial" w:cs="Arial"/>
          <w:b/>
        </w:rPr>
        <w:t xml:space="preserve">E-mail Address: </w:t>
      </w:r>
      <w:r w:rsidR="000B363B" w:rsidRPr="000B363B">
        <w:rPr>
          <w:rFonts w:ascii="Arial" w:eastAsia="等线" w:hAnsi="Arial" w:cs="Arial"/>
          <w:b/>
          <w:lang w:eastAsia="zh-CN"/>
        </w:rPr>
        <w:t>asen.fanbo@huawei.com</w:t>
      </w:r>
    </w:p>
    <w:p w14:paraId="0B5346B9" w14:textId="68BA988D" w:rsidR="00F01310" w:rsidRPr="000F4E43" w:rsidRDefault="00F01310" w:rsidP="00EE05A8">
      <w:pPr>
        <w:tabs>
          <w:tab w:val="left" w:pos="2694"/>
        </w:tabs>
        <w:snapToGrid w:val="0"/>
        <w:spacing w:beforeLines="50" w:before="120" w:afterLines="50" w:after="120"/>
        <w:rPr>
          <w:rFonts w:ascii="Arial" w:hAnsi="Arial" w:cs="Arial"/>
          <w:bCs/>
        </w:rPr>
      </w:pPr>
      <w:r w:rsidRPr="00F01310">
        <w:rPr>
          <w:rFonts w:ascii="Arial" w:eastAsia="宋体" w:hAnsi="Arial" w:cs="Arial"/>
          <w:b/>
        </w:rPr>
        <w:t>Send any reply LS to:</w:t>
      </w:r>
      <w:r w:rsidRPr="00F01310">
        <w:rPr>
          <w:rFonts w:ascii="Arial" w:eastAsia="宋体" w:hAnsi="Arial" w:cs="Arial"/>
          <w:b/>
        </w:rPr>
        <w:tab/>
        <w:t xml:space="preserve">3GPP Liaisons Coordinator, </w:t>
      </w:r>
      <w:hyperlink r:id="rId11" w:history="1">
        <w:r w:rsidRPr="00F01310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</w:p>
    <w:p w14:paraId="01C50447" w14:textId="773E3587" w:rsidR="00463675" w:rsidRPr="00A05F3D" w:rsidRDefault="00463675" w:rsidP="00EE05A8">
      <w:pPr>
        <w:pStyle w:val="af2"/>
        <w:snapToGrid w:val="0"/>
        <w:spacing w:beforeLines="50" w:before="120" w:afterLines="50" w:after="120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949A6" w14:textId="418547AF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 38.101-2 (Table 1), the maximum transmission power </w:t>
      </w:r>
      <w:proofErr w:type="spellStart"/>
      <w:proofErr w:type="gram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</w:t>
      </w:r>
      <w:proofErr w:type="gram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for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STxMP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defined, with k=0 for the first indicated TCI state and k=1 for the second indicated TCI state. While, according to 38.213 (Table 2), </w:t>
      </w:r>
      <w:proofErr w:type="spellStart"/>
      <w:proofErr w:type="gram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</w:t>
      </w:r>
      <w:proofErr w:type="gram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,c,k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applied for the k-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th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TCI state, which implies k=1 for the first indicated TCI state and k=2 for the second indicated TCI state. In addition, in 38.321 (Table 3), it is also assumed k=1 for the first indicated TCI state and k=2 for the second indicated TCI state. In other words, The description of </w:t>
      </w:r>
      <w:proofErr w:type="spellStart"/>
      <w:proofErr w:type="gram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</w:t>
      </w:r>
      <w:proofErr w:type="gram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RAN1 and RAN2 specifications are</w:t>
      </w:r>
      <w:r w:rsidR="001F572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aligned, but not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aligned with the description of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RAN4 specification.</w:t>
      </w:r>
    </w:p>
    <w:p w14:paraId="00FB272C" w14:textId="77777777" w:rsidR="001C1D0D" w:rsidRPr="00595CDA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3E1A697F" w14:textId="77777777" w:rsidR="001C1D0D" w:rsidRDefault="001C1D0D" w:rsidP="001C1D0D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1. Definition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38.101-2.</w:t>
      </w:r>
    </w:p>
    <w:tbl>
      <w:tblPr>
        <w:tblStyle w:val="af8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75DCB08D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E14EB" w14:textId="77777777" w:rsidR="001C1D0D" w:rsidRDefault="001C1D0D">
            <w:pPr>
              <w:overflowPunct w:val="0"/>
              <w:spacing w:before="120"/>
              <w:textAlignment w:val="baseline"/>
              <w:outlineLvl w:val="2"/>
              <w:rPr>
                <w:rFonts w:ascii="Arial" w:eastAsia="Malgun Gothic" w:hAnsi="Arial"/>
                <w:sz w:val="28"/>
                <w:lang w:bidi="en-US"/>
              </w:rPr>
            </w:pPr>
            <w:bookmarkStart w:id="1" w:name="_Toc176611417"/>
            <w:bookmarkStart w:id="2" w:name="_Toc183182413"/>
            <w:bookmarkStart w:id="3" w:name="_Toc187238954"/>
            <w:r>
              <w:rPr>
                <w:rFonts w:ascii="Arial" w:eastAsia="Malgun Gothic" w:hAnsi="Arial"/>
                <w:sz w:val="28"/>
                <w:lang w:bidi="en-US"/>
              </w:rPr>
              <w:t>6.2K.4 Configured transmitted power for simultaneous transmission to multiple directions</w:t>
            </w:r>
            <w:bookmarkEnd w:id="1"/>
            <w:bookmarkEnd w:id="2"/>
            <w:bookmarkEnd w:id="3"/>
          </w:p>
          <w:p w14:paraId="4C8529E7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A UE configured for simultaneous transmission to multiple directions can configure two maximum output powers. The configured UE maximum output power </w:t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CMAX,f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,c,</w:t>
            </w:r>
            <w:r>
              <w:rPr>
                <w:rFonts w:eastAsia="Malgun Gothic"/>
                <w:color w:val="FF0000"/>
                <w:vertAlign w:val="subscript"/>
                <w:lang w:bidi="en-US"/>
              </w:rPr>
              <w:t>k</w:t>
            </w:r>
            <w:proofErr w:type="spellEnd"/>
            <w:r>
              <w:rPr>
                <w:rFonts w:eastAsia="Malgun Gothic"/>
                <w:lang w:bidi="en-US"/>
              </w:rPr>
              <w:t xml:space="preserve"> for each of joint/UL TCI states k (</w:t>
            </w:r>
            <w:r>
              <w:rPr>
                <w:rFonts w:eastAsia="Malgun Gothic"/>
                <w:color w:val="FF0000"/>
                <w:lang w:bidi="en-US"/>
              </w:rPr>
              <w:t>k=0,1</w:t>
            </w:r>
            <w:r>
              <w:rPr>
                <w:rFonts w:eastAsia="Malgun Gothic"/>
                <w:lang w:bidi="en-US"/>
              </w:rPr>
              <w:t xml:space="preserve">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    </w:r>
          </w:p>
          <w:p w14:paraId="2BA5550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The configured UE maximum output power </w:t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CMAX,f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,c,k</w:t>
            </w:r>
            <w:proofErr w:type="spellEnd"/>
            <w:r>
              <w:rPr>
                <w:rFonts w:eastAsia="Malgun Gothic"/>
                <w:lang w:bidi="en-US"/>
              </w:rPr>
              <w:t xml:space="preserve"> shall be set such that the corresponding measured peak EIRP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proofErr w:type="spellEnd"/>
            <w:r>
              <w:rPr>
                <w:rFonts w:eastAsia="Malgun Gothic"/>
                <w:lang w:bidi="en-US"/>
              </w:rPr>
              <w:t xml:space="preserve"> is within the following bounds</w:t>
            </w:r>
          </w:p>
          <w:p w14:paraId="00BC3D79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Powerclass</w:t>
            </w:r>
            <w:proofErr w:type="spellEnd"/>
            <w:r>
              <w:rPr>
                <w:rFonts w:eastAsia="Malgun Gothic"/>
                <w:lang w:bidi="en-US"/>
              </w:rPr>
              <w:t xml:space="preserve"> + ΔP</w:t>
            </w:r>
            <w:r>
              <w:rPr>
                <w:rFonts w:eastAsia="Malgun Gothic"/>
                <w:vertAlign w:val="subscript"/>
                <w:lang w:bidi="en-US"/>
              </w:rPr>
              <w:t>IBE</w:t>
            </w:r>
            <w:r>
              <w:rPr>
                <w:rFonts w:eastAsia="Malgun Gothic"/>
                <w:lang w:bidi="en-US"/>
              </w:rPr>
              <w:t xml:space="preserve"> – </w:t>
            </w:r>
            <w:proofErr w:type="gramStart"/>
            <w:r>
              <w:rPr>
                <w:rFonts w:eastAsia="Malgun Gothic"/>
                <w:lang w:bidi="en-US"/>
              </w:rPr>
              <w:t>MAX(</w:t>
            </w:r>
            <w:proofErr w:type="gramEnd"/>
            <w:r>
              <w:rPr>
                <w:rFonts w:eastAsia="Malgun Gothic"/>
                <w:lang w:bidi="en-US"/>
              </w:rPr>
              <w:t>MAX(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 A- 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,) + </w:t>
            </w:r>
            <w:proofErr w:type="spellStart"/>
            <w:r>
              <w:rPr>
                <w:rFonts w:eastAsia="Malgun Gothic"/>
                <w:lang w:bidi="en-US"/>
              </w:rPr>
              <w:t>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 xml:space="preserve"> + </w:t>
            </w:r>
            <w:proofErr w:type="spellStart"/>
            <w:r>
              <w:rPr>
                <w:rFonts w:eastAsia="Malgun Gothic"/>
                <w:lang w:bidi="en-US"/>
              </w:rPr>
              <w:t>ΔMB</w:t>
            </w:r>
            <w:r>
              <w:rPr>
                <w:rFonts w:eastAsia="Malgun Gothic"/>
                <w:vertAlign w:val="subscript"/>
                <w:lang w:bidi="en-US"/>
              </w:rPr>
              <w:t>P,n</w:t>
            </w:r>
            <w:proofErr w:type="spellEnd"/>
            <w:r>
              <w:rPr>
                <w:rFonts w:eastAsia="Malgun Gothic"/>
                <w:lang w:bidi="en-US"/>
              </w:rPr>
              <w:t>, P-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>) – MAX{T(MAX(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 A- 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,) + </w:t>
            </w:r>
            <w:proofErr w:type="spellStart"/>
            <w:r>
              <w:rPr>
                <w:rFonts w:eastAsia="Malgun Gothic"/>
                <w:lang w:bidi="en-US"/>
              </w:rPr>
              <w:t>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>), T(P-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)} – </w:t>
            </w:r>
            <w:proofErr w:type="spellStart"/>
            <w:r>
              <w:rPr>
                <w:rFonts w:eastAsia="Malgun Gothic"/>
                <w:lang w:bidi="en-US"/>
              </w:rPr>
              <w:t>ΔT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 xml:space="preserve">  ≤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  <w:p w14:paraId="508F0075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and </w:t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</w:t>
            </w:r>
            <w:proofErr w:type="spellEnd"/>
            <w:r>
              <w:rPr>
                <w:rFonts w:eastAsia="Malgun Gothic"/>
                <w:lang w:bidi="en-US"/>
              </w:rPr>
              <w:t xml:space="preserve">, the corresponding measured peak EIRP for carrier </w:t>
            </w:r>
            <w:r>
              <w:rPr>
                <w:rFonts w:eastAsia="Malgun Gothic"/>
                <w:i/>
                <w:iCs/>
                <w:lang w:bidi="en-US"/>
              </w:rPr>
              <w:t>f</w:t>
            </w:r>
            <w:r>
              <w:rPr>
                <w:rFonts w:eastAsia="Malgun Gothic"/>
                <w:lang w:bidi="en-US"/>
              </w:rPr>
              <w:t xml:space="preserve"> of a serving cell </w:t>
            </w:r>
            <w:r>
              <w:rPr>
                <w:rFonts w:eastAsia="Malgun Gothic"/>
                <w:i/>
                <w:iCs/>
                <w:lang w:bidi="en-US"/>
              </w:rPr>
              <w:t>c</w:t>
            </w:r>
            <w:r>
              <w:rPr>
                <w:rFonts w:eastAsia="Malgun Gothic"/>
                <w:lang w:bidi="en-US"/>
              </w:rPr>
              <w:t>, aggregated over all indicated joint/UL TCI states in a given direction</w:t>
            </w:r>
            <w:r>
              <w:rPr>
                <w:rFonts w:eastAsia="Malgun Gothic"/>
                <w:i/>
                <w:iCs/>
                <w:lang w:bidi="en-US"/>
              </w:rPr>
              <w:t>,</w:t>
            </w:r>
            <w:r>
              <w:rPr>
                <w:rFonts w:eastAsia="Malgun Gothic"/>
                <w:lang w:bidi="en-US"/>
              </w:rPr>
              <w:t xml:space="preserve"> satisfies over all directions</w:t>
            </w:r>
          </w:p>
          <w:p w14:paraId="19115682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  <w:p w14:paraId="49307B8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while the corresponding measured total radiated power </w:t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TMAX,f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</w:t>
            </w:r>
            <w:proofErr w:type="spellEnd"/>
            <w:r>
              <w:rPr>
                <w:rFonts w:eastAsia="Malgun Gothic"/>
                <w:lang w:bidi="en-US"/>
              </w:rPr>
              <w:t xml:space="preserve"> is bounded by</w:t>
            </w:r>
          </w:p>
          <w:p w14:paraId="64002D74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TMAX,f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TRP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</w:tc>
      </w:tr>
    </w:tbl>
    <w:p w14:paraId="2E6E0344" w14:textId="77777777" w:rsidR="001C1D0D" w:rsidRDefault="001C1D0D" w:rsidP="001C1D0D">
      <w:pPr>
        <w:rPr>
          <w:rFonts w:eastAsiaTheme="minorEastAsia"/>
          <w:lang w:eastAsia="zh-CN"/>
        </w:rPr>
      </w:pPr>
    </w:p>
    <w:p w14:paraId="4A0E573F" w14:textId="77777777" w:rsidR="004B0AA0" w:rsidRDefault="004B0AA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br w:type="page"/>
      </w:r>
    </w:p>
    <w:p w14:paraId="4D800CDD" w14:textId="12EDDB9A" w:rsidR="001C1D0D" w:rsidRDefault="001C1D0D" w:rsidP="004B0AA0">
      <w:pPr>
        <w:spacing w:afterLines="5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Table 2. Description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38.213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4A340828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A46DD" w14:textId="77777777" w:rsidR="001C1D0D" w:rsidRDefault="001C1D0D">
            <w:pPr>
              <w:keepNext/>
              <w:keepLines/>
              <w:spacing w:before="120"/>
              <w:outlineLvl w:val="2"/>
              <w:rPr>
                <w:rFonts w:ascii="Arial" w:eastAsia="宋体" w:hAnsi="Arial"/>
                <w:sz w:val="28"/>
                <w:lang w:bidi="en-US"/>
              </w:rPr>
            </w:pPr>
            <w:bookmarkStart w:id="4" w:name="_Ref500774487"/>
            <w:bookmarkStart w:id="5" w:name="_Toc12021446"/>
            <w:bookmarkStart w:id="6" w:name="_Toc20311558"/>
            <w:bookmarkStart w:id="7" w:name="_Toc26719383"/>
            <w:bookmarkStart w:id="8" w:name="_Toc29894814"/>
            <w:bookmarkStart w:id="9" w:name="_Toc29899113"/>
            <w:bookmarkStart w:id="10" w:name="_Toc29899531"/>
            <w:bookmarkStart w:id="11" w:name="_Toc29917268"/>
            <w:bookmarkStart w:id="12" w:name="_Toc36498142"/>
            <w:bookmarkStart w:id="13" w:name="_Toc45699168"/>
            <w:bookmarkStart w:id="14" w:name="_Toc185865731"/>
            <w:bookmarkStart w:id="15" w:name="_Ref497117847"/>
            <w:r>
              <w:rPr>
                <w:rFonts w:ascii="Arial" w:eastAsia="宋体" w:hAnsi="Arial"/>
                <w:sz w:val="28"/>
                <w:lang w:bidi="en-US"/>
              </w:rPr>
              <w:t>7.1.1</w:t>
            </w:r>
            <w:r>
              <w:rPr>
                <w:rFonts w:ascii="Arial" w:eastAsia="宋体" w:hAnsi="Arial"/>
                <w:sz w:val="28"/>
                <w:lang w:bidi="en-US"/>
              </w:rPr>
              <w:tab/>
              <w:t>UE behaviour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21FD5831" w14:textId="77777777" w:rsidR="001C1D0D" w:rsidRDefault="001C1D0D">
            <w:pPr>
              <w:rPr>
                <w:rFonts w:eastAsia="宋体"/>
                <w:lang w:bidi="en-US"/>
              </w:rPr>
            </w:pPr>
            <w:r>
              <w:rPr>
                <w:rFonts w:eastAsia="宋体"/>
                <w:lang w:bidi="en-US"/>
              </w:rPr>
              <w:t xml:space="preserve">If a UE transmits a PUSCH on active UL BWP </w:t>
            </w:r>
            <m:oMath>
              <m:r>
                <w:rPr>
                  <w:rFonts w:ascii="Cambria Math" w:eastAsia="宋体" w:hAnsi="Cambria Math"/>
                  <w:lang w:bidi="en-US"/>
                </w:rPr>
                <m:t>b</m:t>
              </m:r>
            </m:oMath>
            <w:r>
              <w:rPr>
                <w:rFonts w:eastAsia="宋体"/>
                <w:iCs/>
                <w:lang w:bidi="en-US"/>
              </w:rPr>
              <w:t xml:space="preserve"> of </w:t>
            </w:r>
            <w:r>
              <w:rPr>
                <w:rFonts w:eastAsia="宋体"/>
                <w:lang w:bidi="en-US"/>
              </w:rPr>
              <w:t xml:space="preserve">carrier </w:t>
            </w:r>
            <m:oMath>
              <m:r>
                <w:rPr>
                  <w:rFonts w:ascii="Cambria Math" w:eastAsia="宋体" w:hAnsi="Cambria Math"/>
                  <w:lang w:bidi="en-US"/>
                </w:rPr>
                <m:t>f</m:t>
              </m:r>
            </m:oMath>
            <w:r>
              <w:rPr>
                <w:rFonts w:eastAsia="宋体"/>
                <w:iCs/>
                <w:lang w:bidi="en-US"/>
              </w:rPr>
              <w:t xml:space="preserve"> of </w:t>
            </w:r>
            <w:r>
              <w:rPr>
                <w:rFonts w:eastAsia="宋体"/>
                <w:lang w:bidi="en-US"/>
              </w:rPr>
              <w:t xml:space="preserve">serving cell </w:t>
            </w:r>
            <m:oMath>
              <m:r>
                <w:rPr>
                  <w:rFonts w:ascii="Cambria Math" w:eastAsia="宋体" w:hAnsi="Cambria Math"/>
                  <w:lang w:bidi="en-US"/>
                </w:rPr>
                <m:t>c</m:t>
              </m:r>
            </m:oMath>
            <w:r>
              <w:rPr>
                <w:rFonts w:eastAsia="宋体"/>
                <w:iCs/>
                <w:lang w:bidi="en-US"/>
              </w:rPr>
              <w:t xml:space="preserve"> using </w:t>
            </w:r>
            <w:r>
              <w:rPr>
                <w:rFonts w:eastAsia="宋体"/>
                <w:lang w:bidi="en-US"/>
              </w:rPr>
              <w:t xml:space="preserve">parameter set configuration </w:t>
            </w:r>
            <w:r>
              <w:rPr>
                <w:rFonts w:eastAsia="宋体"/>
                <w:iCs/>
                <w:lang w:bidi="en-US"/>
              </w:rPr>
              <w:t xml:space="preserve">with index </w:t>
            </w:r>
            <m:oMath>
              <m:r>
                <w:rPr>
                  <w:rFonts w:ascii="Cambria Math" w:eastAsia="宋体" w:hAnsi="Cambria Math"/>
                  <w:lang w:bidi="en-US"/>
                </w:rPr>
                <m:t>j</m:t>
              </m:r>
            </m:oMath>
            <w:r>
              <w:rPr>
                <w:rFonts w:eastAsia="宋体"/>
                <w:iCs/>
                <w:lang w:bidi="en-US"/>
              </w:rPr>
              <w:t xml:space="preserve"> and </w:t>
            </w:r>
            <w:r>
              <w:rPr>
                <w:rFonts w:eastAsia="宋体"/>
                <w:lang w:bidi="en-US"/>
              </w:rPr>
              <w:t xml:space="preserve">PUSCH power control adjustment state with index </w:t>
            </w:r>
            <m:oMath>
              <m:r>
                <w:rPr>
                  <w:rFonts w:ascii="Cambria Math" w:eastAsia="宋体" w:hAnsi="Cambria Math"/>
                  <w:lang w:bidi="en-US"/>
                </w:rPr>
                <m:t>l</m:t>
              </m:r>
            </m:oMath>
          </w:p>
          <w:p w14:paraId="0F2D035B" w14:textId="77777777" w:rsidR="001C1D0D" w:rsidRDefault="001C1D0D">
            <w:pPr>
              <w:ind w:left="568" w:hanging="284"/>
              <w:rPr>
                <w:rFonts w:eastAsia="宋体"/>
                <w:lang w:val="x-none" w:bidi="en-US"/>
              </w:rPr>
            </w:pPr>
            <w:r>
              <w:rPr>
                <w:rFonts w:eastAsia="宋体"/>
                <w:lang w:val="x-none" w:bidi="en-US"/>
              </w:rPr>
              <w:t>-</w:t>
            </w:r>
            <w:r>
              <w:rPr>
                <w:rFonts w:eastAsia="宋体"/>
                <w:lang w:val="x-none" w:bidi="en-US"/>
              </w:rPr>
              <w:tab/>
            </w:r>
            <w:r>
              <w:rPr>
                <w:rFonts w:eastAsia="PMingLiU"/>
                <w:lang w:val="x-none" w:eastAsia="zh-TW" w:bidi="en-US"/>
              </w:rPr>
              <w:t xml:space="preserve">if the UE is indicated </w:t>
            </w:r>
            <w:r>
              <w:rPr>
                <w:rFonts w:eastAsia="宋体"/>
                <w:lang w:val="x-none" w:bidi="en-US"/>
              </w:rPr>
              <w:t xml:space="preserve">a first </w:t>
            </w:r>
            <w:r>
              <w:rPr>
                <w:rFonts w:eastAsia="宋体"/>
                <w:i/>
                <w:iCs/>
                <w:lang w:val="x-none" w:bidi="en-US"/>
              </w:rPr>
              <w:t>TCI-State</w:t>
            </w:r>
            <w:r>
              <w:rPr>
                <w:rFonts w:eastAsia="宋体"/>
                <w:lang w:val="x-none" w:bidi="en-US"/>
              </w:rPr>
              <w:t xml:space="preserve"> 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 and a second </w:t>
            </w:r>
            <w:r>
              <w:rPr>
                <w:rFonts w:eastAsia="宋体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宋体"/>
                <w:lang w:val="x-none" w:bidi="en-US"/>
              </w:rPr>
              <w:t xml:space="preserve">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, and is configured with </w:t>
            </w:r>
            <w:r>
              <w:rPr>
                <w:rFonts w:eastAsia="宋体" w:cs="Arial"/>
                <w:i/>
                <w:noProof/>
                <w:lang w:val="x-none" w:eastAsia="zh-CN" w:bidi="en-US"/>
              </w:rPr>
              <w:t>multipanelSchemeSDM</w:t>
            </w:r>
            <w:r>
              <w:rPr>
                <w:rFonts w:eastAsia="宋体"/>
                <w:i/>
                <w:iCs/>
                <w:lang w:val="x-none" w:bidi="en-US"/>
              </w:rPr>
              <w:t xml:space="preserve"> </w:t>
            </w:r>
            <w:r>
              <w:rPr>
                <w:rFonts w:eastAsia="宋体"/>
                <w:iCs/>
                <w:lang w:val="x-none" w:bidi="en-US"/>
              </w:rPr>
              <w:t>or</w:t>
            </w:r>
            <w:r>
              <w:rPr>
                <w:rFonts w:eastAsia="宋体"/>
                <w:i/>
                <w:iCs/>
                <w:lang w:val="x-none" w:bidi="en-US"/>
              </w:rPr>
              <w:t xml:space="preserve"> </w:t>
            </w:r>
            <w:r>
              <w:rPr>
                <w:rFonts w:eastAsia="宋体" w:cs="Arial"/>
                <w:i/>
                <w:noProof/>
                <w:lang w:val="x-none" w:eastAsia="zh-CN" w:bidi="en-US"/>
              </w:rPr>
              <w:t>multipanelSchemeSFN</w:t>
            </w:r>
            <w:r>
              <w:rPr>
                <w:rFonts w:eastAsia="宋体"/>
                <w:lang w:val="x-none" w:eastAsia="zh-CN" w:bidi="en-US"/>
              </w:rPr>
              <w:t xml:space="preserve"> or</w:t>
            </w:r>
            <w:r>
              <w:rPr>
                <w:rFonts w:eastAsia="宋体"/>
                <w:i/>
                <w:iCs/>
                <w:lang w:val="x-none" w:eastAsia="zh-CN" w:bidi="en-US"/>
              </w:rPr>
              <w:t xml:space="preserve"> sTx-2Panel</w:t>
            </w:r>
            <w:r>
              <w:rPr>
                <w:rFonts w:eastAsia="宋体"/>
                <w:lang w:val="x-none" w:bidi="en-US"/>
              </w:rPr>
              <w:t>,</w:t>
            </w:r>
            <w:r>
              <w:rPr>
                <w:rFonts w:eastAsia="PMingLiU"/>
                <w:lang w:val="x-none" w:eastAsia="zh-TW" w:bidi="en-US"/>
              </w:rPr>
              <w:t xml:space="preserve"> and the UE determines to apply both the first </w:t>
            </w:r>
            <w:r>
              <w:rPr>
                <w:rFonts w:eastAsia="宋体"/>
                <w:i/>
                <w:iCs/>
                <w:lang w:val="x-none" w:bidi="en-US"/>
              </w:rPr>
              <w:t>TCI-State</w:t>
            </w:r>
            <w:r>
              <w:rPr>
                <w:rFonts w:eastAsia="宋体"/>
                <w:lang w:val="x-none" w:bidi="en-US"/>
              </w:rPr>
              <w:t xml:space="preserve"> 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 and the second </w:t>
            </w:r>
            <w:r>
              <w:rPr>
                <w:rFonts w:eastAsia="宋体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宋体"/>
                <w:lang w:val="x-none" w:bidi="en-US"/>
              </w:rPr>
              <w:t xml:space="preserve">or </w:t>
            </w:r>
            <w:r>
              <w:rPr>
                <w:rFonts w:eastAsia="宋体"/>
                <w:i/>
                <w:iCs/>
                <w:lang w:val="x-none" w:bidi="en-US"/>
              </w:rPr>
              <w:t>TCI-UL-S</w:t>
            </w:r>
            <w:r>
              <w:rPr>
                <w:rFonts w:eastAsia="宋体"/>
                <w:lang w:val="x-none" w:bidi="en-US"/>
              </w:rPr>
              <w:t xml:space="preserve">tate in PUSCH transmission occasion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</m:oMath>
            <w:r>
              <w:rPr>
                <w:rFonts w:eastAsia="宋体"/>
                <w:lang w:val="x-none" w:bidi="en-US"/>
              </w:rPr>
              <w:t xml:space="preserve">, the UE determines the PUSCH transmission power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 xml:space="preserve">, 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(</m:t>
              </m:r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r>
                <w:rPr>
                  <w:rFonts w:ascii="Cambria Math" w:eastAsia="宋体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r>
                <w:rPr>
                  <w:rFonts w:ascii="Cambria Math" w:eastAsia="宋体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)</m:t>
              </m:r>
            </m:oMath>
            <w:r>
              <w:rPr>
                <w:rFonts w:eastAsia="宋体"/>
                <w:lang w:val="x-none" w:bidi="en-US"/>
              </w:rPr>
              <w:t xml:space="preserve"> for the k-th indicated </w:t>
            </w:r>
            <w:r>
              <w:rPr>
                <w:rFonts w:eastAsia="宋体"/>
                <w:i/>
                <w:iCs/>
                <w:lang w:val="x-none" w:bidi="en-US"/>
              </w:rPr>
              <w:t>TCI-State</w:t>
            </w:r>
            <w:r>
              <w:rPr>
                <w:rFonts w:eastAsia="宋体"/>
                <w:lang w:val="x-none" w:bidi="en-US"/>
              </w:rPr>
              <w:t xml:space="preserve"> 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 as</w:t>
            </w:r>
          </w:p>
          <w:p w14:paraId="4CE66C56" w14:textId="77777777" w:rsidR="001C1D0D" w:rsidRDefault="00DD5ABF">
            <w:pPr>
              <w:keepLines/>
              <w:tabs>
                <w:tab w:val="center" w:pos="4536"/>
                <w:tab w:val="right" w:pos="9072"/>
              </w:tabs>
              <w:rPr>
                <w:rFonts w:eastAsia="宋体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宋体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宋体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宋体"/>
                <w:noProof/>
                <w:lang w:bidi="en-US"/>
              </w:rPr>
              <w:t xml:space="preserve"> [dBm]</w:t>
            </w:r>
          </w:p>
          <w:p w14:paraId="3ED6F483" w14:textId="77777777" w:rsidR="001C1D0D" w:rsidRDefault="001C1D0D">
            <w:pPr>
              <w:ind w:left="568" w:hanging="284"/>
              <w:rPr>
                <w:rFonts w:eastAsia="宋体"/>
                <w:lang w:val="x-none" w:bidi="en-US"/>
              </w:rPr>
            </w:pPr>
            <w:r>
              <w:rPr>
                <w:rFonts w:eastAsia="宋体"/>
                <w:lang w:val="x-none" w:bidi="en-US"/>
              </w:rPr>
              <w:t>-</w:t>
            </w:r>
            <w:r>
              <w:rPr>
                <w:rFonts w:eastAsia="宋体"/>
                <w:lang w:val="x-none" w:bidi="en-US"/>
              </w:rPr>
              <w:tab/>
              <w:t>else,</w:t>
            </w:r>
            <w:r>
              <w:rPr>
                <w:rFonts w:eastAsia="PMingLiU"/>
                <w:lang w:val="x-none" w:eastAsia="zh-TW" w:bidi="en-US"/>
              </w:rPr>
              <w:t xml:space="preserve"> the UE </w:t>
            </w:r>
            <w:r>
              <w:rPr>
                <w:rFonts w:eastAsia="宋体"/>
                <w:lang w:val="x-none" w:bidi="en-US"/>
              </w:rPr>
              <w:t xml:space="preserve">determines the PUSCH transmission power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iCs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(</m:t>
              </m:r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r>
                <w:rPr>
                  <w:rFonts w:ascii="Cambria Math" w:eastAsia="宋体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r>
                <w:rPr>
                  <w:rFonts w:ascii="Cambria Math" w:eastAsia="宋体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)</m:t>
              </m:r>
            </m:oMath>
            <w:r>
              <w:rPr>
                <w:rFonts w:eastAsia="宋体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</m:oMath>
            <w:r>
              <w:rPr>
                <w:rFonts w:eastAsia="宋体"/>
                <w:iCs/>
                <w:lang w:val="x-none" w:bidi="en-US"/>
              </w:rPr>
              <w:t xml:space="preserve"> </w:t>
            </w:r>
            <w:r>
              <w:rPr>
                <w:rFonts w:eastAsia="宋体"/>
                <w:lang w:val="x-none" w:bidi="en-US"/>
              </w:rPr>
              <w:t>as</w:t>
            </w:r>
          </w:p>
          <w:p w14:paraId="576F1430" w14:textId="77777777" w:rsidR="001C1D0D" w:rsidRDefault="00DD5ABF">
            <w:pPr>
              <w:keepLines/>
              <w:tabs>
                <w:tab w:val="center" w:pos="4536"/>
                <w:tab w:val="right" w:pos="9072"/>
              </w:tabs>
              <w:rPr>
                <w:rFonts w:eastAsia="宋体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宋体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宋体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宋体"/>
                <w:noProof/>
                <w:lang w:bidi="en-US"/>
              </w:rPr>
              <w:t xml:space="preserve"> [dBm]</w:t>
            </w:r>
          </w:p>
          <w:p w14:paraId="5B666408" w14:textId="77777777" w:rsidR="001C1D0D" w:rsidRDefault="001C1D0D">
            <w:pPr>
              <w:rPr>
                <w:rFonts w:eastAsia="宋体"/>
                <w:lang w:bidi="en-US"/>
              </w:rPr>
            </w:pPr>
            <w:r>
              <w:rPr>
                <w:rFonts w:eastAsia="宋体"/>
                <w:lang w:bidi="en-US"/>
              </w:rPr>
              <w:t>where,</w:t>
            </w:r>
          </w:p>
          <w:p w14:paraId="021864A5" w14:textId="77777777" w:rsidR="001C1D0D" w:rsidRDefault="001C1D0D">
            <w:pPr>
              <w:ind w:left="568" w:hanging="284"/>
              <w:rPr>
                <w:rFonts w:eastAsia="宋体"/>
                <w:sz w:val="18"/>
                <w:lang w:val="x-none" w:bidi="en-US"/>
              </w:rPr>
            </w:pPr>
            <w:r>
              <w:rPr>
                <w:rFonts w:eastAsia="宋体"/>
                <w:lang w:val="x-none" w:bidi="en-US"/>
              </w:rPr>
              <w:t>-</w:t>
            </w:r>
            <w:r>
              <w:rPr>
                <w:rFonts w:eastAsia="宋体"/>
                <w:lang w:val="x-none" w:bidi="en-US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iCs/>
                      <w:lang w:val="x-none"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c,</m:t>
                  </m:r>
                  <m:r>
                    <w:rPr>
                      <w:rFonts w:ascii="Cambria Math" w:eastAsia="宋体" w:hAnsi="Cambria Math"/>
                      <w:color w:val="FF0000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(</m:t>
              </m:r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)</m:t>
              </m:r>
            </m:oMath>
            <w:r>
              <w:rPr>
                <w:rFonts w:eastAsia="宋体"/>
                <w:lang w:val="x-none" w:bidi="en-US"/>
              </w:rPr>
              <w:t xml:space="preserve"> is the UE configured </w:t>
            </w:r>
            <w:r>
              <w:rPr>
                <w:rFonts w:eastAsia="Calibri"/>
                <w:lang w:val="x-none" w:bidi="en-US"/>
              </w:rPr>
              <w:t>maximum output</w:t>
            </w:r>
            <w:r>
              <w:rPr>
                <w:rFonts w:eastAsia="宋体"/>
                <w:lang w:val="x-none" w:bidi="en-US"/>
              </w:rPr>
              <w:t xml:space="preserve"> power for the </w:t>
            </w:r>
            <w:r>
              <w:rPr>
                <w:rFonts w:eastAsia="宋体"/>
                <w:color w:val="FF0000"/>
                <w:lang w:val="x-none" w:bidi="en-US"/>
              </w:rPr>
              <w:t>k-</w:t>
            </w:r>
            <w:proofErr w:type="spellStart"/>
            <w:r>
              <w:rPr>
                <w:rFonts w:eastAsia="宋体"/>
                <w:color w:val="FF0000"/>
                <w:lang w:val="x-none" w:bidi="en-US"/>
              </w:rPr>
              <w:t>th</w:t>
            </w:r>
            <w:proofErr w:type="spellEnd"/>
            <w:r>
              <w:rPr>
                <w:rFonts w:eastAsia="宋体"/>
                <w:lang w:val="x-none" w:bidi="en-US"/>
              </w:rPr>
              <w:t xml:space="preserve"> indicated </w:t>
            </w:r>
            <w:r>
              <w:rPr>
                <w:rFonts w:eastAsia="宋体"/>
                <w:i/>
                <w:iCs/>
                <w:lang w:val="x-none" w:bidi="en-US"/>
              </w:rPr>
              <w:t>TCI-State</w:t>
            </w:r>
            <w:r>
              <w:rPr>
                <w:rFonts w:eastAsia="宋体"/>
                <w:lang w:val="x-none" w:bidi="en-US"/>
              </w:rPr>
              <w:t xml:space="preserve"> 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 defined in [8-2, TS 38.101-2] for carrier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f</m:t>
              </m:r>
            </m:oMath>
            <w:r>
              <w:rPr>
                <w:rFonts w:eastAsia="宋体"/>
                <w:iCs/>
                <w:lang w:val="x-none" w:bidi="en-US"/>
              </w:rPr>
              <w:t xml:space="preserve"> of </w:t>
            </w:r>
            <w:r>
              <w:rPr>
                <w:rFonts w:eastAsia="宋体"/>
                <w:lang w:val="x-none" w:bidi="en-US"/>
              </w:rPr>
              <w:t xml:space="preserve">serving cell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c</m:t>
              </m:r>
            </m:oMath>
            <w:r>
              <w:rPr>
                <w:rFonts w:eastAsia="宋体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</m:oMath>
            <w:r>
              <w:rPr>
                <w:rFonts w:eastAsia="宋体"/>
                <w:lang w:val="x-none" w:bidi="en-US"/>
              </w:rPr>
              <w:t xml:space="preserve"> .</w:t>
            </w:r>
          </w:p>
          <w:p w14:paraId="7CD9CA55" w14:textId="77777777" w:rsidR="001C1D0D" w:rsidRDefault="001C1D0D">
            <w:pPr>
              <w:ind w:leftChars="143" w:left="566" w:hangingChars="140" w:hanging="280"/>
              <w:rPr>
                <w:rFonts w:eastAsia="MS Mincho"/>
                <w:lang w:bidi="en-US"/>
              </w:rPr>
            </w:pPr>
            <w:r>
              <w:rPr>
                <w:rFonts w:eastAsia="宋体"/>
                <w:lang w:bidi="en-US"/>
              </w:rPr>
              <w:t>-</w:t>
            </w:r>
            <w:r>
              <w:rPr>
                <w:rFonts w:eastAsia="宋体"/>
                <w:lang w:bidi="en-US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lang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  <w:iCs/>
                      <w:lang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bidi="en-US"/>
                    </w:rPr>
                    <m:t>,</m:t>
                  </m:r>
                  <m:r>
                    <w:rPr>
                      <w:rFonts w:ascii="Cambria Math" w:eastAsia="宋体"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bidi="en-US"/>
                    </w:rPr>
                    <m:t>,</m:t>
                  </m:r>
                  <m:r>
                    <w:rPr>
                      <w:rFonts w:ascii="Cambria Math" w:eastAsia="宋体"/>
                      <w:lang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  <w:lang w:bidi="en-US"/>
                </w:rPr>
                <m:t>(</m:t>
              </m:r>
              <m:r>
                <w:rPr>
                  <w:rFonts w:ascii="Cambria Math" w:eastAsia="宋体"/>
                  <w:lang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/>
                  <w:lang w:bidi="en-US"/>
                </w:rPr>
                <m:t>)</m:t>
              </m:r>
            </m:oMath>
            <w:r>
              <w:rPr>
                <w:rFonts w:eastAsia="宋体"/>
                <w:lang w:bidi="en-US"/>
              </w:rPr>
              <w:t xml:space="preserve"> is the UE configured </w:t>
            </w:r>
            <w:r>
              <w:rPr>
                <w:rFonts w:eastAsia="Calibri"/>
                <w:lang w:bidi="en-US"/>
              </w:rPr>
              <w:t>maximum output</w:t>
            </w:r>
            <w:r>
              <w:rPr>
                <w:rFonts w:eastAsia="宋体"/>
                <w:lang w:bidi="en-US"/>
              </w:rPr>
              <w:t xml:space="preserve"> power defined in [8-1, TS 38.101-1], [8-2, TS 38.101-2], [8-3, TS 38.101-3] and [8-5, TS 38.101-5] for carrier </w:t>
            </w:r>
            <m:oMath>
              <m:r>
                <w:rPr>
                  <w:rFonts w:ascii="Cambria Math" w:eastAsia="宋体" w:hAnsi="Cambria Math"/>
                  <w:lang w:bidi="en-US"/>
                </w:rPr>
                <m:t>f</m:t>
              </m:r>
            </m:oMath>
            <w:r>
              <w:rPr>
                <w:rFonts w:eastAsia="宋体"/>
                <w:iCs/>
                <w:lang w:bidi="en-US"/>
              </w:rPr>
              <w:t xml:space="preserve"> of </w:t>
            </w:r>
            <w:r>
              <w:rPr>
                <w:rFonts w:eastAsia="宋体"/>
                <w:lang w:bidi="en-US"/>
              </w:rPr>
              <w:t xml:space="preserve">serving cell </w:t>
            </w:r>
            <m:oMath>
              <m:r>
                <w:rPr>
                  <w:rFonts w:ascii="Cambria Math" w:eastAsia="宋体" w:hAnsi="Cambria Math"/>
                  <w:lang w:bidi="en-US"/>
                </w:rPr>
                <m:t>c</m:t>
              </m:r>
            </m:oMath>
            <w:r>
              <w:rPr>
                <w:rFonts w:eastAsia="宋体"/>
                <w:lang w:bidi="en-US"/>
              </w:rPr>
              <w:t xml:space="preserve"> in PUSCH transmission occasion </w:t>
            </w:r>
            <m:oMath>
              <m:r>
                <w:rPr>
                  <w:rFonts w:ascii="Cambria Math" w:eastAsia="宋体" w:hAnsi="Cambria Math"/>
                  <w:lang w:bidi="en-US"/>
                </w:rPr>
                <m:t>i</m:t>
              </m:r>
            </m:oMath>
            <w:r>
              <w:rPr>
                <w:rFonts w:eastAsia="宋体"/>
                <w:lang w:bidi="en-US"/>
              </w:rPr>
              <w:t>.</w:t>
            </w:r>
          </w:p>
        </w:tc>
      </w:tr>
    </w:tbl>
    <w:p w14:paraId="4929B8E1" w14:textId="77777777" w:rsidR="001C1D0D" w:rsidRDefault="001C1D0D" w:rsidP="008F119B">
      <w:pPr>
        <w:rPr>
          <w:rFonts w:eastAsiaTheme="minorEastAsia"/>
          <w:lang w:eastAsia="zh-CN"/>
        </w:rPr>
      </w:pPr>
    </w:p>
    <w:p w14:paraId="60A65B1D" w14:textId="77777777" w:rsidR="001C1D0D" w:rsidRDefault="001C1D0D" w:rsidP="008F119B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Table 3. Description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38.321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095A2464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25D65" w14:textId="77777777" w:rsidR="001C1D0D" w:rsidRDefault="001C1D0D">
            <w:pPr>
              <w:keepNext/>
              <w:keepLines/>
              <w:overflowPunct w:val="0"/>
              <w:spacing w:before="120"/>
              <w:textAlignment w:val="baseline"/>
              <w:outlineLvl w:val="3"/>
              <w:rPr>
                <w:rFonts w:ascii="Arial" w:eastAsia="MS Mincho" w:hAnsi="Arial"/>
                <w:noProof/>
                <w:sz w:val="24"/>
                <w:lang w:eastAsia="ja-JP" w:bidi="en-US"/>
              </w:rPr>
            </w:pPr>
            <w:bookmarkStart w:id="16" w:name="_Toc193408713"/>
            <w:r>
              <w:rPr>
                <w:rFonts w:ascii="Arial" w:hAnsi="Arial"/>
                <w:noProof/>
                <w:sz w:val="24"/>
                <w:lang w:eastAsia="ja-JP" w:bidi="en-US"/>
              </w:rPr>
              <w:t>6.1.3.81</w:t>
            </w:r>
            <w:r>
              <w:rPr>
                <w:rFonts w:ascii="Arial" w:hAnsi="Arial"/>
                <w:noProof/>
                <w:sz w:val="24"/>
                <w:lang w:eastAsia="ja-JP" w:bidi="en-US"/>
              </w:rPr>
              <w:tab/>
              <w:t>Enhanced Single Entry PHR for multiple TRP STx2P MAC CE</w:t>
            </w:r>
            <w:bookmarkEnd w:id="16"/>
          </w:p>
          <w:p w14:paraId="1AC5E12E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The Enhanced Single Entry PHR for multiple TRP STx2P MAC CE is identified by a MAC subheader with eLCID as specified in Table 6.2.1-2b.</w:t>
            </w:r>
          </w:p>
          <w:p w14:paraId="345C745C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The two PHs together with </w:t>
            </w:r>
            <w:r>
              <w:rPr>
                <w:lang w:eastAsia="ja-JP" w:bidi="en-US"/>
              </w:rPr>
              <w:t>two</w:t>
            </w:r>
            <w:r>
              <w:rPr>
                <w:noProof/>
                <w:lang w:eastAsia="ja-JP" w:bidi="en-US"/>
              </w:rPr>
              <w:t xml:space="preserve"> P</w:t>
            </w:r>
            <w:r>
              <w:rPr>
                <w:noProof/>
                <w:vertAlign w:val="subscript"/>
                <w:lang w:eastAsia="ja-JP" w:bidi="en-US"/>
              </w:rPr>
              <w:t>CMAX,f,c,</w:t>
            </w:r>
            <w:r>
              <w:rPr>
                <w:noProof/>
                <w:color w:val="FF0000"/>
                <w:vertAlign w:val="subscript"/>
                <w:lang w:eastAsia="ja-JP" w:bidi="en-US"/>
              </w:rPr>
              <w:t>k</w:t>
            </w:r>
            <w:r>
              <w:rPr>
                <w:noProof/>
                <w:lang w:eastAsia="ja-JP" w:bidi="en-US"/>
              </w:rPr>
              <w:t xml:space="preserve"> for the Serving Cell are reported if UE is configured with </w:t>
            </w:r>
            <w:r>
              <w:rPr>
                <w:i/>
                <w:iCs/>
                <w:noProof/>
                <w:lang w:eastAsia="ja-JP" w:bidi="en-US"/>
              </w:rPr>
              <w:t>twoPHRMode</w:t>
            </w:r>
            <w:r>
              <w:rPr>
                <w:noProof/>
                <w:lang w:eastAsia="ja-JP" w:bidi="en-US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iCs/>
                <w:lang w:bidi="en-US"/>
              </w:rPr>
              <w:t>multipanelSchemeSDM</w:t>
            </w:r>
            <w:proofErr w:type="spellEnd"/>
            <w:r>
              <w:rPr>
                <w:rFonts w:eastAsia="Malgun Gothic"/>
                <w:iCs/>
                <w:lang w:bidi="en-US"/>
              </w:rPr>
              <w:t xml:space="preserve"> or </w:t>
            </w:r>
            <w:proofErr w:type="spellStart"/>
            <w:r>
              <w:rPr>
                <w:rFonts w:eastAsia="Malgun Gothic"/>
                <w:i/>
                <w:iCs/>
                <w:lang w:bidi="en-US"/>
              </w:rPr>
              <w:t>multipanelSchemeSFN</w:t>
            </w:r>
            <w:proofErr w:type="spellEnd"/>
            <w:r>
              <w:rPr>
                <w:rFonts w:eastAsia="Malgun Gothic"/>
                <w:iCs/>
                <w:lang w:bidi="en-US"/>
              </w:rPr>
              <w:t>, as specified in clause 5.4.6</w:t>
            </w:r>
            <w:r>
              <w:rPr>
                <w:noProof/>
                <w:lang w:eastAsia="ja-JP" w:bidi="en-US"/>
              </w:rPr>
              <w:t>.</w:t>
            </w:r>
          </w:p>
          <w:p w14:paraId="59E8AE4F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It has a fixed size and consists of </w:t>
            </w:r>
            <w:r>
              <w:rPr>
                <w:lang w:eastAsia="ja-JP" w:bidi="en-US"/>
              </w:rPr>
              <w:t>four</w:t>
            </w:r>
            <w:r>
              <w:rPr>
                <w:noProof/>
                <w:lang w:eastAsia="ja-JP" w:bidi="en-US"/>
              </w:rPr>
              <w:t xml:space="preserve"> octets defined as follows (Figure 6.1.3.81-1):</w:t>
            </w:r>
          </w:p>
          <w:p w14:paraId="4E73F214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>R: Reserved bit, set to 0;</w:t>
            </w:r>
          </w:p>
          <w:p w14:paraId="511AB9E3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 xml:space="preserve">Power Headroom k (PH k): This field indicates the power headroom level for </w:t>
            </w:r>
            <w:r>
              <w:rPr>
                <w:noProof/>
                <w:color w:val="FF0000"/>
                <w:lang w:eastAsia="ja-JP" w:bidi="en-US"/>
              </w:rPr>
              <w:t>k = 1, 2</w:t>
            </w:r>
            <w:r>
              <w:rPr>
                <w:noProof/>
                <w:lang w:eastAsia="ja-JP" w:bidi="en-US"/>
              </w:rPr>
              <w:t xml:space="preserve">, </w:t>
            </w:r>
            <w:r>
              <w:rPr>
                <w:lang w:eastAsia="zh-CN" w:bidi="en-US"/>
              </w:rPr>
              <w:t xml:space="preserve">where PH 1 is associated with </w:t>
            </w:r>
            <w:r>
              <w:rPr>
                <w:rFonts w:eastAsia="宋体"/>
                <w:lang w:bidi="en-US"/>
              </w:rPr>
              <w:t xml:space="preserve">the first </w:t>
            </w:r>
            <w:r>
              <w:rPr>
                <w:rFonts w:eastAsia="宋体"/>
                <w:i/>
                <w:iCs/>
                <w:lang w:bidi="en-US"/>
              </w:rPr>
              <w:t>TCI-State</w:t>
            </w:r>
            <w:r>
              <w:rPr>
                <w:rFonts w:eastAsia="宋体"/>
                <w:iCs/>
                <w:lang w:bidi="en-US"/>
              </w:rPr>
              <w:t xml:space="preserve"> or </w:t>
            </w:r>
            <w:r>
              <w:rPr>
                <w:rFonts w:eastAsia="宋体"/>
                <w:i/>
                <w:iCs/>
                <w:lang w:bidi="en-US"/>
              </w:rPr>
              <w:t>TCI-UL-State</w:t>
            </w:r>
            <w:r>
              <w:rPr>
                <w:rFonts w:eastAsia="宋体"/>
                <w:iCs/>
                <w:lang w:bidi="en-US"/>
              </w:rPr>
              <w:t xml:space="preserve"> for a real or reference PUSCH transmission</w:t>
            </w:r>
            <w:r>
              <w:rPr>
                <w:lang w:eastAsia="zh-CN" w:bidi="en-US"/>
              </w:rPr>
              <w:t xml:space="preserve"> and PH 2 is associated with </w:t>
            </w:r>
            <w:r>
              <w:rPr>
                <w:rFonts w:eastAsia="宋体"/>
                <w:lang w:bidi="en-US"/>
              </w:rPr>
              <w:t xml:space="preserve">the second </w:t>
            </w:r>
            <w:r>
              <w:rPr>
                <w:rFonts w:eastAsia="宋体"/>
                <w:i/>
                <w:iCs/>
                <w:lang w:bidi="en-US"/>
              </w:rPr>
              <w:t>TCI-State</w:t>
            </w:r>
            <w:r>
              <w:rPr>
                <w:rFonts w:eastAsia="宋体"/>
                <w:iCs/>
                <w:lang w:bidi="en-US"/>
              </w:rPr>
              <w:t xml:space="preserve"> or </w:t>
            </w:r>
            <w:r>
              <w:rPr>
                <w:rFonts w:eastAsia="宋体"/>
                <w:i/>
                <w:iCs/>
                <w:lang w:bidi="en-US"/>
              </w:rPr>
              <w:t>TCI-UL-State</w:t>
            </w:r>
            <w:r>
              <w:rPr>
                <w:rFonts w:eastAsia="宋体"/>
                <w:iCs/>
                <w:lang w:bidi="en-US"/>
              </w:rPr>
              <w:t xml:space="preserve"> for a real or reference PUSCH transmission, as specified in TS 38.213 clause 7.7.1 [6]</w:t>
            </w:r>
            <w:r>
              <w:rPr>
                <w:noProof/>
                <w:lang w:eastAsia="ja-JP" w:bidi="en-US"/>
              </w:rPr>
              <w:t xml:space="preserve">. </w:t>
            </w:r>
            <w:r>
              <w:rPr>
                <w:lang w:eastAsia="ja-JP" w:bidi="en-US"/>
              </w:rPr>
              <w:t xml:space="preserve">PH fields for a Serving Cell are included in ascending order based on k. </w:t>
            </w:r>
            <w:r>
              <w:rPr>
                <w:noProof/>
                <w:lang w:eastAsia="ja-JP" w:bidi="en-US"/>
              </w:rPr>
              <w:t>The length of the field is 6 bits. The reported PH and the corresponding power headroom levels are shown in Table 6.1.3.8-1 (the corresponding measured values in dB are specified in TS 38.133 [11]);</w:t>
            </w:r>
          </w:p>
        </w:tc>
      </w:tr>
    </w:tbl>
    <w:p w14:paraId="6232CB85" w14:textId="77777777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14:paraId="61CB34EE" w14:textId="72DF1DEC" w:rsidR="0099551A" w:rsidRPr="00595CDA" w:rsidRDefault="00595CDA" w:rsidP="005C44E7">
      <w:pPr>
        <w:pStyle w:val="a5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Cs/>
          <w:lang w:eastAsia="zh-CN"/>
        </w:rPr>
        <w:t>RAN1 has discussed the above issue</w:t>
      </w:r>
      <w:r w:rsidR="005B1867">
        <w:rPr>
          <w:rFonts w:ascii="Arial" w:eastAsia="等线" w:hAnsi="Arial" w:cs="Arial"/>
          <w:bCs/>
          <w:lang w:eastAsia="zh-CN"/>
        </w:rPr>
        <w:t>. Instead of changing</w:t>
      </w:r>
      <w:r w:rsidR="00E82D5F">
        <w:rPr>
          <w:rFonts w:ascii="Arial" w:eastAsia="等线" w:hAnsi="Arial" w:cs="Arial"/>
          <w:bCs/>
          <w:lang w:eastAsia="zh-CN"/>
        </w:rPr>
        <w:t xml:space="preserve"> both</w:t>
      </w:r>
      <w:r w:rsidR="005B1867">
        <w:rPr>
          <w:rFonts w:ascii="Arial" w:eastAsia="等线" w:hAnsi="Arial" w:cs="Arial"/>
          <w:bCs/>
          <w:lang w:eastAsia="zh-CN"/>
        </w:rPr>
        <w:t xml:space="preserve"> RAN1 and RAN2 spec</w:t>
      </w:r>
      <w:r w:rsidR="00B977C9">
        <w:rPr>
          <w:rFonts w:ascii="Arial" w:eastAsia="等线" w:hAnsi="Arial" w:cs="Arial"/>
          <w:bCs/>
          <w:lang w:eastAsia="zh-CN"/>
        </w:rPr>
        <w:t>ification</w:t>
      </w:r>
      <w:r w:rsidR="005B1867">
        <w:rPr>
          <w:rFonts w:ascii="Arial" w:eastAsia="等线" w:hAnsi="Arial" w:cs="Arial"/>
          <w:bCs/>
          <w:lang w:eastAsia="zh-CN"/>
        </w:rPr>
        <w:t xml:space="preserve">, RAN1 thinks it </w:t>
      </w:r>
      <w:r w:rsidR="00E82D5F">
        <w:rPr>
          <w:rFonts w:ascii="Arial" w:eastAsia="等线" w:hAnsi="Arial" w:cs="Arial"/>
          <w:bCs/>
          <w:lang w:eastAsia="zh-CN"/>
        </w:rPr>
        <w:t>may be</w:t>
      </w:r>
      <w:r w:rsidR="005B1867">
        <w:rPr>
          <w:rFonts w:ascii="Arial" w:eastAsia="等线" w:hAnsi="Arial" w:cs="Arial"/>
          <w:bCs/>
          <w:lang w:eastAsia="zh-CN"/>
        </w:rPr>
        <w:t xml:space="preserve"> simper to </w:t>
      </w:r>
      <w:r w:rsidR="0086695F">
        <w:rPr>
          <w:rFonts w:ascii="Arial" w:eastAsia="等线" w:hAnsi="Arial" w:cs="Arial"/>
          <w:bCs/>
          <w:lang w:eastAsia="zh-CN"/>
        </w:rPr>
        <w:t>update</w:t>
      </w:r>
      <w:r w:rsidR="005B1867">
        <w:rPr>
          <w:rFonts w:ascii="Arial" w:eastAsia="等线" w:hAnsi="Arial" w:cs="Arial"/>
          <w:bCs/>
          <w:lang w:eastAsia="zh-CN"/>
        </w:rPr>
        <w:t xml:space="preserve"> RAN4 spec</w:t>
      </w:r>
      <w:r w:rsidR="00E82D5F">
        <w:rPr>
          <w:rFonts w:ascii="Arial" w:eastAsia="等线" w:hAnsi="Arial" w:cs="Arial"/>
          <w:bCs/>
          <w:lang w:eastAsia="zh-CN"/>
        </w:rPr>
        <w:t>,</w:t>
      </w:r>
      <w:r w:rsidR="005B1867">
        <w:rPr>
          <w:rFonts w:ascii="Arial" w:eastAsia="等线" w:hAnsi="Arial" w:cs="Arial"/>
          <w:bCs/>
          <w:lang w:eastAsia="zh-CN"/>
        </w:rPr>
        <w:t xml:space="preserve"> so that RAN1, RAN2 and RAN4 specifications are aligned.</w:t>
      </w:r>
    </w:p>
    <w:p w14:paraId="05480A37" w14:textId="77777777" w:rsidR="00EA6A31" w:rsidRPr="00B30D5F" w:rsidRDefault="00EA6A31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D89D26C" w14:textId="46404D2F" w:rsidR="003A1AB5" w:rsidRDefault="00463675" w:rsidP="003A1A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0A3B17B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</w:p>
    <w:p w14:paraId="0B752576" w14:textId="5C9A4E54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="008E26D4">
        <w:rPr>
          <w:rFonts w:ascii="Arial" w:hAnsi="Arial" w:cs="Arial"/>
          <w:b/>
        </w:rPr>
        <w:t xml:space="preserve"> </w:t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</w:t>
      </w:r>
      <w:r w:rsidR="00F0536C">
        <w:rPr>
          <w:rFonts w:ascii="Arial" w:hAnsi="Arial" w:cs="Arial"/>
          <w:bCs/>
          <w:lang w:val="en-US" w:eastAsia="ja-JP"/>
        </w:rPr>
        <w:t xml:space="preserve">suggests </w:t>
      </w:r>
      <w:r w:rsidR="00092700" w:rsidRPr="004E016D">
        <w:rPr>
          <w:rFonts w:ascii="Arial" w:hAnsi="Arial" w:cs="Arial"/>
          <w:lang w:val="en-US" w:eastAsia="ja-JP"/>
        </w:rPr>
        <w:t>RAN</w:t>
      </w:r>
      <w:r w:rsidR="00502DF2">
        <w:rPr>
          <w:rFonts w:ascii="Arial" w:hAnsi="Arial" w:cs="Arial"/>
          <w:lang w:val="en-US" w:eastAsia="ja-JP"/>
        </w:rPr>
        <w:t>4</w:t>
      </w:r>
      <w:r w:rsidR="00092700" w:rsidRPr="004E016D">
        <w:rPr>
          <w:rFonts w:ascii="Arial" w:hAnsi="Arial" w:cs="Arial"/>
          <w:lang w:val="en-US" w:eastAsia="ja-JP"/>
        </w:rPr>
        <w:t xml:space="preserve"> to </w:t>
      </w:r>
      <w:r w:rsidR="00F0536C">
        <w:rPr>
          <w:rFonts w:ascii="Arial" w:hAnsi="Arial" w:cs="Arial"/>
          <w:lang w:val="en-US" w:eastAsia="ja-JP"/>
        </w:rPr>
        <w:t xml:space="preserve">change the value range of k in </w:t>
      </w:r>
      <w:proofErr w:type="spellStart"/>
      <w:r w:rsidR="00F0536C">
        <w:rPr>
          <w:rFonts w:eastAsia="Malgun Gothic"/>
          <w:lang w:bidi="en-US"/>
        </w:rPr>
        <w:t>P</w:t>
      </w:r>
      <w:r w:rsidR="00F0536C">
        <w:rPr>
          <w:rFonts w:eastAsia="Malgun Gothic"/>
          <w:vertAlign w:val="subscript"/>
          <w:lang w:bidi="en-US"/>
        </w:rPr>
        <w:t>CMAX,f,c,</w:t>
      </w:r>
      <w:r w:rsidR="00F0536C" w:rsidRPr="00F0536C">
        <w:rPr>
          <w:rFonts w:eastAsia="Malgun Gothic"/>
          <w:color w:val="000000" w:themeColor="text1"/>
          <w:vertAlign w:val="subscript"/>
          <w:lang w:bidi="en-US"/>
        </w:rPr>
        <w:t>k</w:t>
      </w:r>
      <w:proofErr w:type="spellEnd"/>
      <w:r w:rsidR="00F0536C" w:rsidRPr="00F0536C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 xml:space="preserve">to </w:t>
      </w:r>
      <w:r w:rsidR="002C7021">
        <w:rPr>
          <w:rFonts w:ascii="Arial" w:hAnsi="Arial" w:cs="Arial"/>
          <w:color w:val="000000" w:themeColor="text1"/>
          <w:lang w:val="en-US" w:eastAsia="ja-JP"/>
        </w:rPr>
        <w:t>{</w:t>
      </w:r>
      <w:r w:rsidR="00F0536C">
        <w:rPr>
          <w:rFonts w:ascii="Arial" w:hAnsi="Arial" w:cs="Arial"/>
          <w:color w:val="000000" w:themeColor="text1"/>
          <w:lang w:val="en-US" w:eastAsia="ja-JP"/>
        </w:rPr>
        <w:t>1</w:t>
      </w:r>
      <w:r w:rsidR="002C7021">
        <w:rPr>
          <w:rFonts w:ascii="Arial" w:hAnsi="Arial" w:cs="Arial"/>
          <w:color w:val="000000" w:themeColor="text1"/>
          <w:lang w:val="en-US" w:eastAsia="ja-JP"/>
        </w:rPr>
        <w:t>,</w:t>
      </w:r>
      <w:r w:rsidR="00365347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>2</w:t>
      </w:r>
      <w:r w:rsidR="009E4170">
        <w:rPr>
          <w:rFonts w:ascii="Arial" w:hAnsi="Arial" w:cs="Arial"/>
          <w:color w:val="000000" w:themeColor="text1"/>
          <w:lang w:val="en-US" w:eastAsia="ja-JP"/>
        </w:rPr>
        <w:t>}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012F179B" w:rsidR="00CB68B3" w:rsidRPr="008E26D4" w:rsidRDefault="00CB68B3" w:rsidP="008E26D4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6520F783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</w:t>
      </w:r>
      <w:r w:rsidR="00246769">
        <w:rPr>
          <w:rFonts w:ascii="Arial" w:eastAsia="Malgun Gothic" w:hAnsi="Arial" w:cs="Arial"/>
          <w:bCs/>
          <w:lang w:eastAsia="ko-KR"/>
        </w:rPr>
        <w:t>2</w:t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25</w:t>
      </w:r>
      <w:r w:rsidRPr="000A1BB0">
        <w:rPr>
          <w:rFonts w:ascii="Arial" w:hAnsi="Arial" w:cs="Arial"/>
          <w:bCs/>
          <w:vertAlign w:val="superscript"/>
        </w:rPr>
        <w:t>th</w:t>
      </w:r>
      <w:r w:rsidR="000A1BB0" w:rsidRPr="000A1BB0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0A1BB0">
        <w:rPr>
          <w:rFonts w:ascii="Arial" w:hAnsi="Arial" w:cs="Arial"/>
          <w:bCs/>
        </w:rPr>
        <w:t>29</w:t>
      </w:r>
      <w:r w:rsidR="00F86038" w:rsidRPr="000A1BB0">
        <w:rPr>
          <w:rFonts w:ascii="Arial" w:hAnsi="Arial" w:cs="Arial"/>
          <w:bCs/>
          <w:vertAlign w:val="superscript"/>
        </w:rPr>
        <w:t>th</w:t>
      </w:r>
      <w:r w:rsidR="00A05F3D">
        <w:rPr>
          <w:rFonts w:ascii="Arial" w:hAnsi="Arial" w:cs="Arial" w:hint="eastAsia"/>
          <w:bCs/>
        </w:rPr>
        <w:t xml:space="preserve"> </w:t>
      </w:r>
      <w:r w:rsidR="000A1BB0" w:rsidRPr="000A1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</w:t>
      </w:r>
      <w:r w:rsidR="000F59BF">
        <w:rPr>
          <w:rFonts w:ascii="Arial" w:hAnsi="Arial" w:cs="Arial"/>
          <w:bCs/>
        </w:rPr>
        <w:t>I</w:t>
      </w:r>
      <w:r w:rsidR="00342DD8">
        <w:rPr>
          <w:rFonts w:ascii="Arial" w:hAnsi="Arial" w:cs="Arial"/>
          <w:bCs/>
        </w:rPr>
        <w:t>N</w:t>
      </w:r>
    </w:p>
    <w:p w14:paraId="5A569E05" w14:textId="5396CC60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778B7">
        <w:rPr>
          <w:rFonts w:ascii="Arial" w:hAnsi="Arial" w:cs="Arial"/>
          <w:bCs/>
          <w:lang w:eastAsia="ja-JP"/>
        </w:rPr>
        <w:t>2-bis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74682">
        <w:rPr>
          <w:rFonts w:ascii="Arial" w:hAnsi="Arial" w:cs="Arial"/>
          <w:bCs/>
        </w:rPr>
        <w:t>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74682">
        <w:rPr>
          <w:rFonts w:ascii="Arial" w:hAnsi="Arial" w:cs="Arial"/>
          <w:bCs/>
        </w:rPr>
        <w:t>17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074682">
        <w:rPr>
          <w:rFonts w:ascii="Arial" w:hAnsi="Arial" w:cs="Arial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 w:rsidR="00074682" w:rsidRPr="00074682">
        <w:rPr>
          <w:rFonts w:ascii="Arial" w:hAnsi="Arial" w:cs="Arial"/>
          <w:bCs/>
        </w:rPr>
        <w:t>Czech</w:t>
      </w:r>
      <w:r w:rsidR="00553355">
        <w:rPr>
          <w:rFonts w:ascii="Arial" w:hAnsi="Arial" w:cs="Arial"/>
          <w:bCs/>
        </w:rPr>
        <w:t xml:space="preserve">, </w:t>
      </w:r>
      <w:r w:rsidR="00074682">
        <w:rPr>
          <w:rFonts w:ascii="Arial" w:hAnsi="Arial" w:cs="Arial"/>
          <w:bCs/>
        </w:rPr>
        <w:t>CZ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9F5F3" w14:textId="77777777" w:rsidR="00DD5ABF" w:rsidRDefault="00DD5ABF">
      <w:r>
        <w:separator/>
      </w:r>
    </w:p>
  </w:endnote>
  <w:endnote w:type="continuationSeparator" w:id="0">
    <w:p w14:paraId="23428BFE" w14:textId="77777777" w:rsidR="00DD5ABF" w:rsidRDefault="00DD5ABF">
      <w:r>
        <w:continuationSeparator/>
      </w:r>
    </w:p>
  </w:endnote>
  <w:endnote w:type="continuationNotice" w:id="1">
    <w:p w14:paraId="0BB242AF" w14:textId="77777777" w:rsidR="00DD5ABF" w:rsidRDefault="00DD5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EACB3" w14:textId="77777777" w:rsidR="00DD5ABF" w:rsidRDefault="00DD5ABF">
      <w:r>
        <w:separator/>
      </w:r>
    </w:p>
  </w:footnote>
  <w:footnote w:type="continuationSeparator" w:id="0">
    <w:p w14:paraId="20E93388" w14:textId="77777777" w:rsidR="00DD5ABF" w:rsidRDefault="00DD5ABF">
      <w:r>
        <w:continuationSeparator/>
      </w:r>
    </w:p>
  </w:footnote>
  <w:footnote w:type="continuationNotice" w:id="1">
    <w:p w14:paraId="716616AE" w14:textId="77777777" w:rsidR="00DD5ABF" w:rsidRDefault="00DD5A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4"/>
  </w:num>
  <w:num w:numId="5">
    <w:abstractNumId w:val="0"/>
  </w:num>
  <w:num w:numId="6">
    <w:abstractNumId w:val="26"/>
  </w:num>
  <w:num w:numId="7">
    <w:abstractNumId w:val="24"/>
  </w:num>
  <w:num w:numId="8">
    <w:abstractNumId w:val="3"/>
  </w:num>
  <w:num w:numId="9">
    <w:abstractNumId w:val="26"/>
  </w:num>
  <w:num w:numId="10">
    <w:abstractNumId w:val="20"/>
  </w:num>
  <w:num w:numId="11">
    <w:abstractNumId w:val="11"/>
  </w:num>
  <w:num w:numId="12">
    <w:abstractNumId w:val="5"/>
  </w:num>
  <w:num w:numId="13">
    <w:abstractNumId w:val="7"/>
  </w:num>
  <w:num w:numId="14">
    <w:abstractNumId w:val="27"/>
  </w:num>
  <w:num w:numId="15">
    <w:abstractNumId w:val="18"/>
  </w:num>
  <w:num w:numId="16">
    <w:abstractNumId w:val="30"/>
  </w:num>
  <w:num w:numId="17">
    <w:abstractNumId w:val="14"/>
  </w:num>
  <w:num w:numId="18">
    <w:abstractNumId w:val="29"/>
  </w:num>
  <w:num w:numId="19">
    <w:abstractNumId w:val="5"/>
  </w:num>
  <w:num w:numId="20">
    <w:abstractNumId w:val="30"/>
  </w:num>
  <w:num w:numId="21">
    <w:abstractNumId w:val="1"/>
  </w:num>
  <w:num w:numId="22">
    <w:abstractNumId w:val="17"/>
  </w:num>
  <w:num w:numId="23">
    <w:abstractNumId w:val="2"/>
  </w:num>
  <w:num w:numId="24">
    <w:abstractNumId w:val="1"/>
  </w:num>
  <w:num w:numId="25">
    <w:abstractNumId w:val="8"/>
  </w:num>
  <w:num w:numId="26">
    <w:abstractNumId w:val="16"/>
  </w:num>
  <w:num w:numId="27">
    <w:abstractNumId w:val="10"/>
  </w:num>
  <w:num w:numId="28">
    <w:abstractNumId w:val="28"/>
  </w:num>
  <w:num w:numId="29">
    <w:abstractNumId w:val="13"/>
  </w:num>
  <w:num w:numId="30">
    <w:abstractNumId w:val="23"/>
  </w:num>
  <w:num w:numId="31">
    <w:abstractNumId w:val="25"/>
  </w:num>
  <w:num w:numId="32">
    <w:abstractNumId w:val="6"/>
  </w:num>
  <w:num w:numId="33">
    <w:abstractNumId w:val="12"/>
  </w:num>
  <w:num w:numId="34">
    <w:abstractNumId w:val="9"/>
  </w:num>
  <w:num w:numId="35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0B3E"/>
    <w:rsid w:val="000344E1"/>
    <w:rsid w:val="00040B22"/>
    <w:rsid w:val="00040D5B"/>
    <w:rsid w:val="00044844"/>
    <w:rsid w:val="00046442"/>
    <w:rsid w:val="000514DE"/>
    <w:rsid w:val="00051DA5"/>
    <w:rsid w:val="00060CFA"/>
    <w:rsid w:val="000669BE"/>
    <w:rsid w:val="00070CE7"/>
    <w:rsid w:val="00074682"/>
    <w:rsid w:val="00075C72"/>
    <w:rsid w:val="00076310"/>
    <w:rsid w:val="00083B2D"/>
    <w:rsid w:val="00092700"/>
    <w:rsid w:val="000932B9"/>
    <w:rsid w:val="00094620"/>
    <w:rsid w:val="000A1BB0"/>
    <w:rsid w:val="000A4BD5"/>
    <w:rsid w:val="000B1421"/>
    <w:rsid w:val="000B217C"/>
    <w:rsid w:val="000B363B"/>
    <w:rsid w:val="000B4131"/>
    <w:rsid w:val="000C684D"/>
    <w:rsid w:val="000C6DC4"/>
    <w:rsid w:val="000C6F6D"/>
    <w:rsid w:val="000D4F47"/>
    <w:rsid w:val="000E6D32"/>
    <w:rsid w:val="000E7457"/>
    <w:rsid w:val="000F3EC8"/>
    <w:rsid w:val="000F4E43"/>
    <w:rsid w:val="000F511E"/>
    <w:rsid w:val="000F59BF"/>
    <w:rsid w:val="001022FD"/>
    <w:rsid w:val="00105FE3"/>
    <w:rsid w:val="0011260A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B0668"/>
    <w:rsid w:val="001C1D0D"/>
    <w:rsid w:val="001C47C9"/>
    <w:rsid w:val="001D2FAF"/>
    <w:rsid w:val="001D5225"/>
    <w:rsid w:val="001D5C7F"/>
    <w:rsid w:val="001D6AEE"/>
    <w:rsid w:val="001E3398"/>
    <w:rsid w:val="001E3D17"/>
    <w:rsid w:val="001F5728"/>
    <w:rsid w:val="00201643"/>
    <w:rsid w:val="00203C3D"/>
    <w:rsid w:val="00207650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69"/>
    <w:rsid w:val="002467A7"/>
    <w:rsid w:val="002523F6"/>
    <w:rsid w:val="00261FCB"/>
    <w:rsid w:val="00267822"/>
    <w:rsid w:val="00282F38"/>
    <w:rsid w:val="002875DB"/>
    <w:rsid w:val="0029085D"/>
    <w:rsid w:val="0029490B"/>
    <w:rsid w:val="002A0E06"/>
    <w:rsid w:val="002A7E84"/>
    <w:rsid w:val="002B0C14"/>
    <w:rsid w:val="002B1284"/>
    <w:rsid w:val="002B21E1"/>
    <w:rsid w:val="002B2474"/>
    <w:rsid w:val="002B4CD8"/>
    <w:rsid w:val="002C1DBF"/>
    <w:rsid w:val="002C7021"/>
    <w:rsid w:val="002D1152"/>
    <w:rsid w:val="002D531E"/>
    <w:rsid w:val="002D5949"/>
    <w:rsid w:val="002F5729"/>
    <w:rsid w:val="002F64A4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556B1"/>
    <w:rsid w:val="003626E9"/>
    <w:rsid w:val="00365347"/>
    <w:rsid w:val="00375754"/>
    <w:rsid w:val="0038279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0B30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2BD1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0AA0"/>
    <w:rsid w:val="004B293B"/>
    <w:rsid w:val="004B601A"/>
    <w:rsid w:val="004B6964"/>
    <w:rsid w:val="004D602E"/>
    <w:rsid w:val="004E0067"/>
    <w:rsid w:val="004E016D"/>
    <w:rsid w:val="005021CD"/>
    <w:rsid w:val="00502DF2"/>
    <w:rsid w:val="00512D6C"/>
    <w:rsid w:val="00514094"/>
    <w:rsid w:val="00517B08"/>
    <w:rsid w:val="00525DAB"/>
    <w:rsid w:val="00526442"/>
    <w:rsid w:val="005264E7"/>
    <w:rsid w:val="00530C0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95CDA"/>
    <w:rsid w:val="005A1691"/>
    <w:rsid w:val="005A3852"/>
    <w:rsid w:val="005A4547"/>
    <w:rsid w:val="005A79A2"/>
    <w:rsid w:val="005B1867"/>
    <w:rsid w:val="005B2491"/>
    <w:rsid w:val="005B2E39"/>
    <w:rsid w:val="005B41F7"/>
    <w:rsid w:val="005C44E7"/>
    <w:rsid w:val="005C560F"/>
    <w:rsid w:val="005D0AFC"/>
    <w:rsid w:val="005D2DC3"/>
    <w:rsid w:val="005E58C3"/>
    <w:rsid w:val="005E6964"/>
    <w:rsid w:val="005F0EE0"/>
    <w:rsid w:val="0060026D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4F38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15FB"/>
    <w:rsid w:val="0078210F"/>
    <w:rsid w:val="0078320E"/>
    <w:rsid w:val="00790EBB"/>
    <w:rsid w:val="00791E98"/>
    <w:rsid w:val="00793D48"/>
    <w:rsid w:val="00794BB8"/>
    <w:rsid w:val="007A53D2"/>
    <w:rsid w:val="007B0E1A"/>
    <w:rsid w:val="007B6E8C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695F"/>
    <w:rsid w:val="008671A2"/>
    <w:rsid w:val="00875080"/>
    <w:rsid w:val="008778B7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E26D4"/>
    <w:rsid w:val="008F119B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933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4170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73A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24D3"/>
    <w:rsid w:val="00B846A5"/>
    <w:rsid w:val="00B8751C"/>
    <w:rsid w:val="00B90881"/>
    <w:rsid w:val="00B977C9"/>
    <w:rsid w:val="00BA2421"/>
    <w:rsid w:val="00BC11AE"/>
    <w:rsid w:val="00BC402F"/>
    <w:rsid w:val="00BD7D73"/>
    <w:rsid w:val="00BE2F74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1FAA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08E4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1CC2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5ABF"/>
    <w:rsid w:val="00DD7C43"/>
    <w:rsid w:val="00DE18B9"/>
    <w:rsid w:val="00DE21A9"/>
    <w:rsid w:val="00DE355D"/>
    <w:rsid w:val="00DE40C2"/>
    <w:rsid w:val="00DF15AF"/>
    <w:rsid w:val="00DF2286"/>
    <w:rsid w:val="00DF577A"/>
    <w:rsid w:val="00DF7F36"/>
    <w:rsid w:val="00DF7FBA"/>
    <w:rsid w:val="00E034B8"/>
    <w:rsid w:val="00E05941"/>
    <w:rsid w:val="00E15EE3"/>
    <w:rsid w:val="00E21D30"/>
    <w:rsid w:val="00E2323C"/>
    <w:rsid w:val="00E30597"/>
    <w:rsid w:val="00E31B66"/>
    <w:rsid w:val="00E42920"/>
    <w:rsid w:val="00E50D4F"/>
    <w:rsid w:val="00E8274A"/>
    <w:rsid w:val="00E82D5F"/>
    <w:rsid w:val="00E85050"/>
    <w:rsid w:val="00E858B5"/>
    <w:rsid w:val="00E87364"/>
    <w:rsid w:val="00E93194"/>
    <w:rsid w:val="00E95517"/>
    <w:rsid w:val="00E96957"/>
    <w:rsid w:val="00EA1B52"/>
    <w:rsid w:val="00EA3EF0"/>
    <w:rsid w:val="00EA6A31"/>
    <w:rsid w:val="00EB1F82"/>
    <w:rsid w:val="00EB23B3"/>
    <w:rsid w:val="00EB27A3"/>
    <w:rsid w:val="00EB4E16"/>
    <w:rsid w:val="00EB5D2C"/>
    <w:rsid w:val="00EC3034"/>
    <w:rsid w:val="00ED0E7B"/>
    <w:rsid w:val="00ED12C6"/>
    <w:rsid w:val="00EE05A8"/>
    <w:rsid w:val="00EE374F"/>
    <w:rsid w:val="00EF2551"/>
    <w:rsid w:val="00EF354C"/>
    <w:rsid w:val="00F00D87"/>
    <w:rsid w:val="00F01310"/>
    <w:rsid w:val="00F02E5C"/>
    <w:rsid w:val="00F0313E"/>
    <w:rsid w:val="00F03D90"/>
    <w:rsid w:val="00F04915"/>
    <w:rsid w:val="00F04F61"/>
    <w:rsid w:val="00F0536C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40C2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批注框文本 字符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正文文本 字符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批注文字 字符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标题 字符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rsid w:val="0090686F"/>
    <w:rPr>
      <w:rFonts w:eastAsia="MS Gothic"/>
      <w:sz w:val="24"/>
      <w:lang w:val="en-GB"/>
    </w:rPr>
  </w:style>
  <w:style w:type="character" w:customStyle="1" w:styleId="a6">
    <w:name w:val="页眉 字符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af7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8">
    <w:name w:val="Table Grid"/>
    <w:aliases w:val="TableGrid"/>
    <w:basedOn w:val="a3"/>
    <w:uiPriority w:val="39"/>
    <w:qFormat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981B59-19DE-4DB3-B833-BA7248E3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Fanbo</cp:lastModifiedBy>
  <cp:revision>61</cp:revision>
  <cp:lastPrinted>2002-04-24T08:10:00Z</cp:lastPrinted>
  <dcterms:created xsi:type="dcterms:W3CDTF">2025-05-20T16:50:00Z</dcterms:created>
  <dcterms:modified xsi:type="dcterms:W3CDTF">2025-05-21T06:32:00Z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