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09809BFD" w:rsidR="0000346F" w:rsidRPr="00C47EB2"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3C5C1B">
        <w:rPr>
          <w:rFonts w:ascii="Arial" w:eastAsiaTheme="minorEastAsia" w:hAnsi="Arial" w:cs="Arial" w:hint="eastAsia"/>
          <w:b/>
          <w:bCs/>
          <w:sz w:val="28"/>
          <w:szCs w:val="28"/>
        </w:rPr>
        <w:t>1</w:t>
      </w:r>
      <w:r w:rsidR="0000346F" w:rsidRPr="00476118">
        <w:rPr>
          <w:lang w:val="de-DE"/>
        </w:rPr>
        <w:tab/>
      </w:r>
      <w:r w:rsidR="0000346F" w:rsidRPr="00476118">
        <w:rPr>
          <w:lang w:val="de-DE"/>
        </w:rPr>
        <w:tab/>
      </w:r>
      <w:r w:rsidR="0000346F" w:rsidRPr="00476118">
        <w:rPr>
          <w:lang w:val="de-DE"/>
        </w:rPr>
        <w:tab/>
      </w:r>
      <w:r w:rsidR="00E16E1A" w:rsidRPr="00E16E1A">
        <w:rPr>
          <w:rFonts w:ascii="Arial" w:eastAsia="Batang" w:hAnsi="Arial" w:cs="Arial"/>
          <w:b/>
          <w:bCs/>
          <w:sz w:val="28"/>
          <w:szCs w:val="28"/>
          <w:lang w:eastAsia="en-US"/>
        </w:rPr>
        <w:t>R1-2504477</w:t>
      </w:r>
    </w:p>
    <w:p w14:paraId="4469F108" w14:textId="2C5DE318" w:rsidR="001408D1" w:rsidRPr="001408D1" w:rsidRDefault="00E74D83" w:rsidP="001408D1">
      <w:pPr>
        <w:tabs>
          <w:tab w:val="left" w:pos="1985"/>
        </w:tabs>
        <w:spacing w:after="0" w:afterAutospacing="0"/>
        <w:ind w:left="1985" w:hangingChars="706" w:hanging="1985"/>
        <w:rPr>
          <w:rFonts w:ascii="Arial" w:eastAsia="MS Mincho" w:hAnsi="Arial" w:cs="Arial"/>
          <w:b/>
          <w:bCs/>
          <w:sz w:val="28"/>
          <w:szCs w:val="24"/>
        </w:rPr>
      </w:pPr>
      <w:r w:rsidRPr="00E74D83">
        <w:rPr>
          <w:rFonts w:ascii="Arial" w:eastAsia="MS Mincho" w:hAnsi="Arial" w:cs="Arial"/>
          <w:b/>
          <w:bCs/>
          <w:sz w:val="28"/>
          <w:szCs w:val="24"/>
        </w:rPr>
        <w:t xml:space="preserve">St Julian’s, Malta, </w:t>
      </w:r>
      <w:r w:rsidRPr="00E74D83">
        <w:rPr>
          <w:rFonts w:ascii="Arial" w:eastAsia="MS Mincho" w:hAnsi="Arial" w:cs="Arial" w:hint="eastAsia"/>
          <w:b/>
          <w:bCs/>
          <w:sz w:val="28"/>
          <w:szCs w:val="24"/>
        </w:rPr>
        <w:t xml:space="preserve">May </w:t>
      </w:r>
      <w:r w:rsidRPr="00E74D83">
        <w:rPr>
          <w:rFonts w:ascii="Arial" w:eastAsia="MS Mincho" w:hAnsi="Arial" w:cs="Arial"/>
          <w:b/>
          <w:bCs/>
          <w:sz w:val="28"/>
          <w:szCs w:val="24"/>
        </w:rPr>
        <w:t>19</w:t>
      </w:r>
      <w:r w:rsidRPr="00E74D83">
        <w:rPr>
          <w:rFonts w:ascii="Arial" w:eastAsia="MS Mincho" w:hAnsi="Arial" w:cs="Arial" w:hint="eastAsia"/>
          <w:b/>
          <w:bCs/>
          <w:sz w:val="28"/>
          <w:szCs w:val="24"/>
          <w:vertAlign w:val="superscript"/>
        </w:rPr>
        <w:t>th</w:t>
      </w:r>
      <w:r w:rsidRPr="00E74D83">
        <w:rPr>
          <w:rFonts w:ascii="Arial" w:eastAsia="MS Mincho" w:hAnsi="Arial" w:cs="Arial"/>
          <w:b/>
          <w:bCs/>
          <w:sz w:val="28"/>
          <w:szCs w:val="24"/>
        </w:rPr>
        <w:t xml:space="preserve"> – 23</w:t>
      </w:r>
      <w:r w:rsidR="00383E6E">
        <w:rPr>
          <w:rFonts w:ascii="Arial" w:eastAsia="MS Mincho" w:hAnsi="Arial" w:cs="Arial" w:hint="eastAsia"/>
          <w:b/>
          <w:bCs/>
          <w:sz w:val="28"/>
          <w:szCs w:val="24"/>
          <w:vertAlign w:val="superscript"/>
        </w:rPr>
        <w:t>rd</w:t>
      </w:r>
      <w:r w:rsidRPr="00E74D83">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0269750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FB09DC">
        <w:rPr>
          <w:rFonts w:ascii="Arial" w:hAnsi="Arial" w:cs="Arial" w:hint="eastAsia"/>
          <w:b/>
          <w:bCs/>
          <w:sz w:val="28"/>
          <w:szCs w:val="28"/>
          <w:lang w:val="en-US"/>
        </w:rPr>
        <w:t>Discussion on Reply to LS on simul</w:t>
      </w:r>
      <w:r w:rsidR="009A4956">
        <w:rPr>
          <w:rFonts w:ascii="Arial" w:hAnsi="Arial" w:cs="Arial" w:hint="eastAsia"/>
          <w:b/>
          <w:bCs/>
          <w:sz w:val="28"/>
          <w:szCs w:val="28"/>
          <w:lang w:val="en-US"/>
        </w:rPr>
        <w:t>taneous configuration of SBFD and DC</w:t>
      </w:r>
    </w:p>
    <w:p w14:paraId="26DC8AEB" w14:textId="7591870C"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9A4956">
        <w:rPr>
          <w:rFonts w:ascii="Arial" w:eastAsiaTheme="minorEastAsia" w:hAnsi="Arial" w:cs="Arial" w:hint="eastAsia"/>
          <w:b/>
          <w:bCs/>
          <w:sz w:val="28"/>
          <w:szCs w:val="28"/>
          <w:lang w:val="pt-BR"/>
        </w:rPr>
        <w:t>5</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33CCFA" w14:textId="2C7C2CAF" w:rsidR="00C71638" w:rsidRDefault="00FB09DC" w:rsidP="004078C7">
      <w:pPr>
        <w:pStyle w:val="Heading1"/>
        <w:spacing w:after="180"/>
      </w:pPr>
      <w:r>
        <w:rPr>
          <w:rFonts w:hint="eastAsia"/>
        </w:rPr>
        <w:t>Background</w:t>
      </w:r>
    </w:p>
    <w:p w14:paraId="4B5A3662" w14:textId="1E274F8E" w:rsidR="000E44A4" w:rsidRDefault="00D621A3" w:rsidP="000E44A4">
      <w:r w:rsidRPr="00D621A3">
        <w:rPr>
          <w:rFonts w:hint="eastAsia"/>
        </w:rPr>
        <w:t xml:space="preserve">RAN1 </w:t>
      </w:r>
      <w:r>
        <w:rPr>
          <w:rFonts w:hint="eastAsia"/>
        </w:rPr>
        <w:t>has received a LS from RAN2 on simultaneous configuration of SBFD and DC [1]</w:t>
      </w:r>
      <w:r w:rsidR="00404329">
        <w:rPr>
          <w:rFonts w:hint="eastAsia"/>
        </w:rPr>
        <w:t xml:space="preserve">. The </w:t>
      </w:r>
      <w:r w:rsidR="00404329">
        <w:t>question</w:t>
      </w:r>
      <w:r w:rsidR="00404329">
        <w:rPr>
          <w:rFonts w:hint="eastAsia"/>
        </w:rPr>
        <w:t xml:space="preserve"> is copied below.</w:t>
      </w:r>
    </w:p>
    <w:tbl>
      <w:tblPr>
        <w:tblStyle w:val="TableGrid"/>
        <w:tblW w:w="0" w:type="auto"/>
        <w:tblLook w:val="04A0" w:firstRow="1" w:lastRow="0" w:firstColumn="1" w:lastColumn="0" w:noHBand="0" w:noVBand="1"/>
      </w:tblPr>
      <w:tblGrid>
        <w:gridCol w:w="9954"/>
      </w:tblGrid>
      <w:tr w:rsidR="00404329" w14:paraId="717EBB0D" w14:textId="77777777" w:rsidTr="00404329">
        <w:tc>
          <w:tcPr>
            <w:tcW w:w="9954" w:type="dxa"/>
          </w:tcPr>
          <w:p w14:paraId="7C4038CA" w14:textId="77777777" w:rsidR="003F7D9D" w:rsidRPr="003F7D9D" w:rsidRDefault="003F7D9D" w:rsidP="003F7D9D">
            <w:pPr>
              <w:overflowPunct w:val="0"/>
              <w:autoSpaceDE w:val="0"/>
              <w:autoSpaceDN w:val="0"/>
              <w:adjustRightInd w:val="0"/>
              <w:spacing w:after="180" w:afterAutospacing="0"/>
              <w:jc w:val="left"/>
              <w:textAlignment w:val="baseline"/>
              <w:rPr>
                <w:rFonts w:eastAsia="Times New Roman"/>
                <w:sz w:val="20"/>
                <w:lang w:eastAsia="zh-CN"/>
              </w:rPr>
            </w:pPr>
            <w:r w:rsidRPr="003F7D9D">
              <w:rPr>
                <w:rFonts w:eastAsia="Times New Roman"/>
                <w:sz w:val="20"/>
                <w:lang w:eastAsia="zh-CN"/>
              </w:rPr>
              <w:t>RAN2 has discussed whether SBFD and dual connectivity (DC) can be configured simultaneously for an SBFD-aware UE. However, no consensus has been reached. RAN2 would like to seek inputs from RAN1 by asking the following question:</w:t>
            </w:r>
          </w:p>
          <w:p w14:paraId="758B0654" w14:textId="1EDF3A05" w:rsidR="00404329" w:rsidRPr="003F7D9D" w:rsidRDefault="003F7D9D" w:rsidP="003F7D9D">
            <w:pPr>
              <w:overflowPunct w:val="0"/>
              <w:autoSpaceDE w:val="0"/>
              <w:autoSpaceDN w:val="0"/>
              <w:adjustRightInd w:val="0"/>
              <w:spacing w:after="180" w:afterAutospacing="0"/>
              <w:jc w:val="left"/>
              <w:textAlignment w:val="baseline"/>
              <w:rPr>
                <w:rFonts w:eastAsiaTheme="minorEastAsia"/>
                <w:b/>
                <w:sz w:val="20"/>
                <w:lang w:val="en-US"/>
              </w:rPr>
            </w:pPr>
            <w:r w:rsidRPr="003F7D9D">
              <w:rPr>
                <w:rFonts w:eastAsia="Times New Roman"/>
                <w:b/>
                <w:sz w:val="20"/>
                <w:lang w:eastAsia="zh-CN"/>
              </w:rPr>
              <w:t xml:space="preserve">Question: </w:t>
            </w:r>
            <w:r w:rsidRPr="003F7D9D">
              <w:rPr>
                <w:rFonts w:eastAsia="Times New Roman"/>
                <w:b/>
                <w:sz w:val="20"/>
                <w:lang w:val="en-US" w:eastAsia="zh-CN"/>
              </w:rPr>
              <w:t>Whether SBFD and DC can be configured simultaneously, and whether there is any issue with such configuration for an SBFD-aware UE?</w:t>
            </w:r>
          </w:p>
        </w:tc>
      </w:tr>
    </w:tbl>
    <w:p w14:paraId="26DED635" w14:textId="77777777" w:rsidR="00404329" w:rsidRPr="00D621A3" w:rsidRDefault="00404329" w:rsidP="000E44A4"/>
    <w:p w14:paraId="32283E99" w14:textId="2A06C1FC" w:rsidR="00B76A75" w:rsidRDefault="00B76A75" w:rsidP="00B76A75">
      <w:pPr>
        <w:pStyle w:val="Heading1"/>
        <w:spacing w:after="180"/>
      </w:pPr>
      <w:r>
        <w:rPr>
          <w:rFonts w:hint="eastAsia"/>
        </w:rPr>
        <w:t>Discussion</w:t>
      </w:r>
    </w:p>
    <w:p w14:paraId="29C388F9" w14:textId="5C14EF71" w:rsidR="00FB09DC" w:rsidRPr="000F4808" w:rsidRDefault="00583739" w:rsidP="00583739">
      <w:r>
        <w:t>From RAN1 perspective, there are no issues with the simultaneous configuration of SBFD and DC</w:t>
      </w:r>
      <w:r w:rsidR="00BB5427">
        <w:rPr>
          <w:rFonts w:hint="eastAsia"/>
        </w:rPr>
        <w:t xml:space="preserve"> since m</w:t>
      </w:r>
      <w:r>
        <w:t xml:space="preserve">ost DC procedures are transparent to the RAN1 specifications. An exception is power control, where the UE's transmit power is shared between the two cell groups when the UL or flexible symbols of the two groups overlap in time. </w:t>
      </w:r>
      <w:r w:rsidR="00A1418D">
        <w:rPr>
          <w:rFonts w:hint="eastAsia"/>
        </w:rPr>
        <w:t>Although in the legacy, t</w:t>
      </w:r>
      <w:r>
        <w:t>he determination of symbol overlap is based on the semi-static TDD UL/DL configuration</w:t>
      </w:r>
      <w:r w:rsidR="000F4808">
        <w:rPr>
          <w:rFonts w:hint="eastAsia"/>
        </w:rPr>
        <w:t xml:space="preserve">, UL sub-band in semi-static DL symbols should also be taken into account for power-sharing. </w:t>
      </w:r>
      <w:r>
        <w:t>However, we believe this minor adjustment would not hinder support for the simultaneous configuration of SBFD and DC.</w:t>
      </w:r>
    </w:p>
    <w:p w14:paraId="1B9DEE35" w14:textId="79219BED" w:rsidR="00F75498" w:rsidRDefault="00AF2E0B" w:rsidP="000E44A4">
      <w:r>
        <w:rPr>
          <w:rFonts w:hint="eastAsia"/>
        </w:rPr>
        <w:t>On the other hand, i</w:t>
      </w:r>
      <w:r w:rsidR="00F75498">
        <w:rPr>
          <w:rFonts w:hint="eastAsia"/>
        </w:rPr>
        <w:t xml:space="preserve">n RAN1#120 meeting, </w:t>
      </w:r>
      <w:r w:rsidR="00AF0F34">
        <w:rPr>
          <w:rFonts w:hint="eastAsia"/>
        </w:rPr>
        <w:t xml:space="preserve">RAN1 agreed </w:t>
      </w:r>
      <w:r w:rsidR="002267C4">
        <w:rPr>
          <w:rFonts w:hint="eastAsia"/>
        </w:rPr>
        <w:t>support for simultaneous configuration of SBFD and CA [2].</w:t>
      </w:r>
    </w:p>
    <w:tbl>
      <w:tblPr>
        <w:tblStyle w:val="TableGrid"/>
        <w:tblW w:w="0" w:type="auto"/>
        <w:tblLook w:val="04A0" w:firstRow="1" w:lastRow="0" w:firstColumn="1" w:lastColumn="0" w:noHBand="0" w:noVBand="1"/>
      </w:tblPr>
      <w:tblGrid>
        <w:gridCol w:w="9954"/>
      </w:tblGrid>
      <w:tr w:rsidR="00F75498" w14:paraId="6BB9A6D1" w14:textId="77777777" w:rsidTr="004050CE">
        <w:tc>
          <w:tcPr>
            <w:tcW w:w="9954" w:type="dxa"/>
          </w:tcPr>
          <w:p w14:paraId="4A56F54C" w14:textId="77777777" w:rsidR="00DB088B" w:rsidRPr="00DB088B" w:rsidRDefault="00DB088B" w:rsidP="00DB088B">
            <w:pPr>
              <w:spacing w:after="0" w:afterAutospacing="0"/>
              <w:jc w:val="left"/>
              <w:rPr>
                <w:rFonts w:ascii="Times" w:eastAsia="Times New Roman" w:hAnsi="Times" w:cs="Times"/>
                <w:color w:val="000000"/>
                <w:sz w:val="20"/>
                <w:lang w:val="en-US"/>
              </w:rPr>
            </w:pPr>
            <w:r w:rsidRPr="00DB088B">
              <w:rPr>
                <w:rFonts w:ascii="Times" w:eastAsia="Times New Roman" w:hAnsi="Times" w:cs="Times"/>
                <w:color w:val="000000"/>
                <w:sz w:val="20"/>
                <w:shd w:val="clear" w:color="auto" w:fill="00FF00"/>
              </w:rPr>
              <w:t>Agreement</w:t>
            </w:r>
          </w:p>
          <w:p w14:paraId="050D3636" w14:textId="77777777" w:rsidR="00DB088B" w:rsidRPr="00DB088B" w:rsidRDefault="00DB088B" w:rsidP="00DB088B">
            <w:pPr>
              <w:spacing w:after="0" w:afterAutospacing="0"/>
              <w:jc w:val="left"/>
              <w:rPr>
                <w:rFonts w:ascii="Times" w:eastAsia="Times New Roman" w:hAnsi="Times" w:cs="Times"/>
                <w:color w:val="000000"/>
                <w:sz w:val="20"/>
                <w:lang w:val="en-US"/>
              </w:rPr>
            </w:pPr>
            <w:r w:rsidRPr="00DB088B">
              <w:rPr>
                <w:rFonts w:ascii="Times" w:eastAsia="Times New Roman" w:hAnsi="Times" w:cs="Times"/>
                <w:color w:val="000000"/>
                <w:sz w:val="20"/>
              </w:rPr>
              <w:t>Support SBFD operation on one TDD carrier in multi-carrier scenario.</w:t>
            </w:r>
          </w:p>
          <w:p w14:paraId="66E561AC" w14:textId="77777777" w:rsidR="00DB088B" w:rsidRPr="00DB088B" w:rsidRDefault="00DB088B" w:rsidP="00DB088B">
            <w:pPr>
              <w:spacing w:after="0" w:afterAutospacing="0"/>
              <w:ind w:left="720" w:hanging="360"/>
              <w:jc w:val="left"/>
              <w:rPr>
                <w:rFonts w:eastAsia="Times New Roman"/>
                <w:color w:val="000000"/>
                <w:sz w:val="20"/>
                <w:lang w:val="en-US"/>
              </w:rPr>
            </w:pPr>
            <w:r w:rsidRPr="00DB088B">
              <w:rPr>
                <w:rFonts w:ascii="Symbol" w:eastAsia="Times New Roman" w:hAnsi="Symbol"/>
                <w:color w:val="000000"/>
                <w:sz w:val="20"/>
              </w:rPr>
              <w:t>·</w:t>
            </w:r>
            <w:r w:rsidRPr="00DB088B">
              <w:rPr>
                <w:rFonts w:eastAsia="Times New Roman"/>
                <w:color w:val="000000"/>
                <w:sz w:val="14"/>
                <w:szCs w:val="14"/>
              </w:rPr>
              <w:t>       </w:t>
            </w:r>
            <w:r w:rsidRPr="00DB088B">
              <w:rPr>
                <w:rFonts w:eastAsia="Times New Roman"/>
                <w:color w:val="000000"/>
                <w:sz w:val="20"/>
              </w:rPr>
              <w:t>Note: If the TDD carrier for SBFD operation is an Scell, support UE dedicated signaling for cell-specific configuration of time and frequency location of SBFD subbands for the Scell. </w:t>
            </w:r>
          </w:p>
          <w:p w14:paraId="25B35466" w14:textId="76C2461B" w:rsidR="00F75498" w:rsidRPr="00DB088B" w:rsidRDefault="00DB088B" w:rsidP="00DB088B">
            <w:pPr>
              <w:spacing w:after="180" w:afterAutospacing="0"/>
              <w:ind w:left="720" w:hanging="360"/>
              <w:jc w:val="left"/>
              <w:rPr>
                <w:rFonts w:eastAsiaTheme="minorEastAsia"/>
                <w:color w:val="000000"/>
                <w:sz w:val="20"/>
                <w:lang w:val="en-US"/>
              </w:rPr>
            </w:pPr>
            <w:r w:rsidRPr="00DB088B">
              <w:rPr>
                <w:rFonts w:ascii="Symbol" w:eastAsia="Times New Roman" w:hAnsi="Symbol"/>
                <w:color w:val="000000"/>
                <w:sz w:val="20"/>
              </w:rPr>
              <w:t>·</w:t>
            </w:r>
            <w:r w:rsidRPr="00DB088B">
              <w:rPr>
                <w:rFonts w:eastAsia="Times New Roman"/>
                <w:color w:val="000000"/>
                <w:sz w:val="14"/>
                <w:szCs w:val="14"/>
              </w:rPr>
              <w:t>       </w:t>
            </w:r>
            <w:r w:rsidRPr="00DB088B">
              <w:rPr>
                <w:rFonts w:eastAsia="Times New Roman"/>
                <w:color w:val="000000"/>
                <w:sz w:val="20"/>
              </w:rPr>
              <w:t>FFS whether/how to handle half-duplex CA case</w:t>
            </w:r>
          </w:p>
        </w:tc>
      </w:tr>
    </w:tbl>
    <w:p w14:paraId="2829A39E" w14:textId="77777777" w:rsidR="002B187C" w:rsidRDefault="002B187C" w:rsidP="000E44A4"/>
    <w:p w14:paraId="5C6E17DC" w14:textId="34584B61" w:rsidR="00D64ADB" w:rsidRDefault="00BF1A58" w:rsidP="000E44A4">
      <w:r>
        <w:rPr>
          <w:rFonts w:hint="eastAsia"/>
        </w:rPr>
        <w:t xml:space="preserve">As in the agreement, RAN1 agreed to limit the number of SBFD </w:t>
      </w:r>
      <w:r w:rsidR="00F50636">
        <w:rPr>
          <w:rFonts w:hint="eastAsia"/>
        </w:rPr>
        <w:t xml:space="preserve">carriers to one in multi-carrier scenario. </w:t>
      </w:r>
      <w:r w:rsidR="009F640A">
        <w:rPr>
          <w:rFonts w:hint="eastAsia"/>
        </w:rPr>
        <w:t xml:space="preserve">The </w:t>
      </w:r>
      <w:r w:rsidR="00F405FF">
        <w:rPr>
          <w:rFonts w:hint="eastAsia"/>
        </w:rPr>
        <w:t xml:space="preserve">reason behind that is to reduce UE implementation complexity. Therefore, </w:t>
      </w:r>
      <w:r w:rsidR="006612AC">
        <w:rPr>
          <w:rFonts w:hint="eastAsia"/>
        </w:rPr>
        <w:t xml:space="preserve">it is suggested to </w:t>
      </w:r>
      <w:r w:rsidR="00350FB3">
        <w:rPr>
          <w:rFonts w:hint="eastAsia"/>
        </w:rPr>
        <w:t xml:space="preserve">apply the same </w:t>
      </w:r>
      <w:r w:rsidR="0030041C">
        <w:rPr>
          <w:rFonts w:hint="eastAsia"/>
        </w:rPr>
        <w:t>limitation for DC, i.e., support SBFD operation on one carrier in DC scenario.</w:t>
      </w:r>
    </w:p>
    <w:p w14:paraId="78F05EB2" w14:textId="1F192C96" w:rsidR="00A74CBF" w:rsidRDefault="00A74CBF" w:rsidP="000E44A4">
      <w:r>
        <w:rPr>
          <w:rFonts w:hint="eastAsia"/>
        </w:rPr>
        <w:lastRenderedPageBreak/>
        <w:t>In our view, SBFD can support all the DC options (i.e., EN-DC, NE-DC, and NR-DC) since there is no reasons to restrict the options from RAN1 perspective.</w:t>
      </w:r>
    </w:p>
    <w:p w14:paraId="04039F7A" w14:textId="5F176BA5" w:rsidR="00A74CBF" w:rsidRDefault="0030041C" w:rsidP="000E44A4">
      <w:pPr>
        <w:rPr>
          <w:b/>
          <w:bCs/>
        </w:rPr>
      </w:pPr>
      <w:bookmarkStart w:id="2" w:name="_Hlk197521791"/>
      <w:r w:rsidRPr="0030041C">
        <w:rPr>
          <w:rFonts w:hint="eastAsia"/>
          <w:b/>
          <w:bCs/>
        </w:rPr>
        <w:t xml:space="preserve">Proposal 1: Support SBFD operation on one carrier </w:t>
      </w:r>
      <w:r w:rsidR="00A74CBF">
        <w:rPr>
          <w:rFonts w:hint="eastAsia"/>
          <w:b/>
          <w:bCs/>
        </w:rPr>
        <w:t>in EN-DC, NE-DC, and NR-DC</w:t>
      </w:r>
      <w:r w:rsidRPr="0030041C">
        <w:rPr>
          <w:rFonts w:hint="eastAsia"/>
          <w:b/>
          <w:bCs/>
        </w:rPr>
        <w:t>.</w:t>
      </w:r>
    </w:p>
    <w:bookmarkEnd w:id="2"/>
    <w:p w14:paraId="239710D5" w14:textId="453C22EA" w:rsidR="003C5207" w:rsidRDefault="0030041C" w:rsidP="000E44A4">
      <w:pPr>
        <w:rPr>
          <w:b/>
          <w:bCs/>
        </w:rPr>
      </w:pPr>
      <w:r>
        <w:rPr>
          <w:rFonts w:hint="eastAsia"/>
          <w:b/>
          <w:bCs/>
        </w:rPr>
        <w:t xml:space="preserve">Proposal 2: </w:t>
      </w:r>
      <w:r w:rsidR="004E5FA3">
        <w:rPr>
          <w:rFonts w:hint="eastAsia"/>
          <w:b/>
          <w:bCs/>
        </w:rPr>
        <w:t>Reply to RAN2 that</w:t>
      </w:r>
      <w:r w:rsidR="003C5207">
        <w:rPr>
          <w:rFonts w:hint="eastAsia"/>
          <w:b/>
          <w:bCs/>
        </w:rPr>
        <w:t>:</w:t>
      </w:r>
    </w:p>
    <w:p w14:paraId="62483DC4" w14:textId="77777777" w:rsidR="003C5207" w:rsidRDefault="003C5207" w:rsidP="003C5207">
      <w:pPr>
        <w:pStyle w:val="ListParagraph"/>
        <w:numPr>
          <w:ilvl w:val="0"/>
          <w:numId w:val="32"/>
        </w:numPr>
        <w:ind w:leftChars="0"/>
        <w:rPr>
          <w:b/>
          <w:bCs/>
        </w:rPr>
      </w:pPr>
      <w:r w:rsidRPr="003C5207">
        <w:rPr>
          <w:rFonts w:hint="eastAsia"/>
          <w:b/>
          <w:bCs/>
        </w:rPr>
        <w:t>T</w:t>
      </w:r>
      <w:r w:rsidR="00D24AF8" w:rsidRPr="003C5207">
        <w:rPr>
          <w:rFonts w:hint="eastAsia"/>
          <w:b/>
          <w:bCs/>
        </w:rPr>
        <w:t xml:space="preserve">here is no issue to prevent us from supporting simultaneous configuration of SBFD and DC. </w:t>
      </w:r>
    </w:p>
    <w:p w14:paraId="7F3A9EF9" w14:textId="0076A297" w:rsidR="0030041C" w:rsidRPr="003C5207" w:rsidRDefault="00D24AF8" w:rsidP="003C5207">
      <w:pPr>
        <w:pStyle w:val="ListParagraph"/>
        <w:numPr>
          <w:ilvl w:val="0"/>
          <w:numId w:val="32"/>
        </w:numPr>
        <w:ind w:leftChars="0"/>
        <w:rPr>
          <w:b/>
          <w:bCs/>
        </w:rPr>
      </w:pPr>
      <w:r w:rsidRPr="003C5207">
        <w:rPr>
          <w:rFonts w:hint="eastAsia"/>
          <w:b/>
          <w:bCs/>
        </w:rPr>
        <w:t xml:space="preserve">However, </w:t>
      </w:r>
      <w:r w:rsidR="004E5FA3" w:rsidRPr="003C5207">
        <w:rPr>
          <w:rFonts w:hint="eastAsia"/>
          <w:b/>
          <w:bCs/>
        </w:rPr>
        <w:t>the number of carriers with SBFD configuration should be one across cell groups.</w:t>
      </w:r>
      <w:r w:rsidR="00AC4BCD" w:rsidRPr="003C5207">
        <w:rPr>
          <w:rFonts w:hint="eastAsia"/>
          <w:b/>
          <w:bCs/>
        </w:rPr>
        <w:t xml:space="preserve"> </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502133">
        <w:rPr>
          <w:lang w:val="en-US"/>
        </w:rPr>
        <w:t>In this contribution, we have the following proposals:</w:t>
      </w:r>
    </w:p>
    <w:p w14:paraId="48E46D46" w14:textId="77777777" w:rsidR="000F4808" w:rsidRDefault="000F4808" w:rsidP="000F4808">
      <w:pPr>
        <w:rPr>
          <w:b/>
          <w:bCs/>
        </w:rPr>
      </w:pPr>
      <w:r w:rsidRPr="0030041C">
        <w:rPr>
          <w:rFonts w:hint="eastAsia"/>
          <w:b/>
          <w:bCs/>
        </w:rPr>
        <w:t xml:space="preserve">Proposal 1: Support SBFD operation on one carrier </w:t>
      </w:r>
      <w:r>
        <w:rPr>
          <w:rFonts w:hint="eastAsia"/>
          <w:b/>
          <w:bCs/>
        </w:rPr>
        <w:t>in EN-DC, NE-DC, and NR-DC</w:t>
      </w:r>
      <w:r w:rsidRPr="0030041C">
        <w:rPr>
          <w:rFonts w:hint="eastAsia"/>
          <w:b/>
          <w:bCs/>
        </w:rPr>
        <w:t>.</w:t>
      </w:r>
    </w:p>
    <w:p w14:paraId="7E40E660" w14:textId="77777777" w:rsidR="000F4808" w:rsidRDefault="000F4808" w:rsidP="000F4808">
      <w:pPr>
        <w:rPr>
          <w:b/>
          <w:bCs/>
        </w:rPr>
      </w:pPr>
      <w:r>
        <w:rPr>
          <w:rFonts w:hint="eastAsia"/>
          <w:b/>
          <w:bCs/>
        </w:rPr>
        <w:t>Proposal 2: Reply to RAN2 that:</w:t>
      </w:r>
    </w:p>
    <w:p w14:paraId="1AD2E9D0" w14:textId="77777777" w:rsidR="000F4808" w:rsidRDefault="000F4808" w:rsidP="000F4808">
      <w:pPr>
        <w:pStyle w:val="ListParagraph"/>
        <w:numPr>
          <w:ilvl w:val="0"/>
          <w:numId w:val="32"/>
        </w:numPr>
        <w:ind w:leftChars="0"/>
        <w:rPr>
          <w:b/>
          <w:bCs/>
        </w:rPr>
      </w:pPr>
      <w:r w:rsidRPr="003C5207">
        <w:rPr>
          <w:rFonts w:hint="eastAsia"/>
          <w:b/>
          <w:bCs/>
        </w:rPr>
        <w:t xml:space="preserve">There is no issue to prevent us from supporting simultaneous configuration of SBFD and DC. </w:t>
      </w:r>
    </w:p>
    <w:p w14:paraId="76F0A58D" w14:textId="6EA82CC3" w:rsidR="00315C70" w:rsidRPr="000F4808" w:rsidRDefault="000F4808" w:rsidP="008A6816">
      <w:pPr>
        <w:pStyle w:val="ListParagraph"/>
        <w:numPr>
          <w:ilvl w:val="0"/>
          <w:numId w:val="32"/>
        </w:numPr>
        <w:ind w:leftChars="0"/>
        <w:rPr>
          <w:b/>
          <w:bCs/>
        </w:rPr>
      </w:pPr>
      <w:r w:rsidRPr="003C5207">
        <w:rPr>
          <w:rFonts w:hint="eastAsia"/>
          <w:b/>
          <w:bCs/>
        </w:rPr>
        <w:t xml:space="preserve">However, the number of carriers with SBFD configuration should be one across cell groups. </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0474FE60" w:rsidR="00580E4F" w:rsidRPr="002267C4" w:rsidRDefault="00223755" w:rsidP="00130746">
      <w:pPr>
        <w:pStyle w:val="textintend2"/>
        <w:widowControl w:val="0"/>
        <w:numPr>
          <w:ilvl w:val="0"/>
          <w:numId w:val="13"/>
        </w:numPr>
        <w:spacing w:after="0"/>
        <w:rPr>
          <w:bCs/>
          <w:szCs w:val="24"/>
          <w:lang w:eastAsia="ja-JP"/>
        </w:rPr>
      </w:pPr>
      <w:r>
        <w:rPr>
          <w:rFonts w:hint="eastAsia"/>
          <w:bCs/>
          <w:szCs w:val="24"/>
          <w:lang w:val="en-GB" w:eastAsia="ja-JP"/>
        </w:rPr>
        <w:t>R1</w:t>
      </w:r>
      <w:r w:rsidR="00D621A3">
        <w:rPr>
          <w:rFonts w:hint="eastAsia"/>
          <w:bCs/>
          <w:szCs w:val="24"/>
          <w:lang w:val="en-GB" w:eastAsia="ja-JP"/>
        </w:rPr>
        <w:t>-</w:t>
      </w:r>
      <w:r w:rsidR="00CE61EC" w:rsidRPr="00CE61EC">
        <w:rPr>
          <w:bCs/>
          <w:szCs w:val="24"/>
          <w:lang w:val="en-GB" w:eastAsia="ja-JP"/>
        </w:rPr>
        <w:t>2503615</w:t>
      </w:r>
      <w:r w:rsidR="00CE61EC">
        <w:rPr>
          <w:rFonts w:hint="eastAsia"/>
          <w:bCs/>
          <w:szCs w:val="24"/>
          <w:lang w:val="en-GB" w:eastAsia="ja-JP"/>
        </w:rPr>
        <w:t xml:space="preserve">, </w:t>
      </w:r>
      <w:r w:rsidR="00FF46F2" w:rsidRPr="00FF46F2">
        <w:rPr>
          <w:bCs/>
          <w:szCs w:val="24"/>
          <w:lang w:val="en-GB" w:eastAsia="ja-JP"/>
        </w:rPr>
        <w:t>LS on simultaneous configuration of SBFD and DC</w:t>
      </w:r>
      <w:r w:rsidR="00FF46F2">
        <w:rPr>
          <w:rFonts w:hint="eastAsia"/>
          <w:bCs/>
          <w:szCs w:val="24"/>
          <w:lang w:val="en-GB" w:eastAsia="ja-JP"/>
        </w:rPr>
        <w:t>, RAN2, May 2025</w:t>
      </w:r>
    </w:p>
    <w:p w14:paraId="4B6AFA12" w14:textId="5FA41447" w:rsidR="002267C4" w:rsidRPr="005F79F9" w:rsidRDefault="00C647BC" w:rsidP="00130746">
      <w:pPr>
        <w:pStyle w:val="textintend2"/>
        <w:widowControl w:val="0"/>
        <w:numPr>
          <w:ilvl w:val="0"/>
          <w:numId w:val="13"/>
        </w:numPr>
        <w:spacing w:after="0"/>
        <w:rPr>
          <w:bCs/>
          <w:szCs w:val="24"/>
          <w:lang w:eastAsia="ja-JP"/>
        </w:rPr>
      </w:pPr>
      <w:r>
        <w:rPr>
          <w:rFonts w:hint="eastAsia"/>
          <w:bCs/>
          <w:szCs w:val="24"/>
          <w:lang w:val="en-GB" w:eastAsia="ja-JP"/>
        </w:rPr>
        <w:t>RAN1 chairman</w:t>
      </w:r>
      <w:r>
        <w:rPr>
          <w:bCs/>
          <w:szCs w:val="24"/>
          <w:lang w:val="en-GB" w:eastAsia="ja-JP"/>
        </w:rPr>
        <w:t>’</w:t>
      </w:r>
      <w:r>
        <w:rPr>
          <w:rFonts w:hint="eastAsia"/>
          <w:bCs/>
          <w:szCs w:val="24"/>
          <w:lang w:val="en-GB" w:eastAsia="ja-JP"/>
        </w:rPr>
        <w:t>s note at RAN1#120 meeting, February 2025</w:t>
      </w: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B843" w14:textId="77777777" w:rsidR="00997F0A" w:rsidRDefault="00997F0A">
      <w:r>
        <w:separator/>
      </w:r>
    </w:p>
  </w:endnote>
  <w:endnote w:type="continuationSeparator" w:id="0">
    <w:p w14:paraId="23A5DE10" w14:textId="77777777" w:rsidR="00997F0A" w:rsidRDefault="00997F0A">
      <w:r>
        <w:continuationSeparator/>
      </w:r>
    </w:p>
  </w:endnote>
  <w:endnote w:type="continuationNotice" w:id="1">
    <w:p w14:paraId="4148E41C" w14:textId="77777777" w:rsidR="00997F0A" w:rsidRDefault="00997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94D18" w14:textId="77777777" w:rsidR="00997F0A" w:rsidRDefault="00997F0A">
      <w:r>
        <w:separator/>
      </w:r>
    </w:p>
  </w:footnote>
  <w:footnote w:type="continuationSeparator" w:id="0">
    <w:p w14:paraId="55301476" w14:textId="77777777" w:rsidR="00997F0A" w:rsidRDefault="00997F0A">
      <w:r>
        <w:continuationSeparator/>
      </w:r>
    </w:p>
  </w:footnote>
  <w:footnote w:type="continuationNotice" w:id="1">
    <w:p w14:paraId="4DE42B8B" w14:textId="77777777" w:rsidR="00997F0A" w:rsidRDefault="00997F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7F68F1"/>
    <w:multiLevelType w:val="hybridMultilevel"/>
    <w:tmpl w:val="8416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2"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3"/>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4"/>
  </w:num>
  <w:num w:numId="5" w16cid:durableId="846208585">
    <w:abstractNumId w:val="13"/>
  </w:num>
  <w:num w:numId="6" w16cid:durableId="91829759">
    <w:abstractNumId w:val="14"/>
  </w:num>
  <w:num w:numId="7" w16cid:durableId="1154877211">
    <w:abstractNumId w:val="12"/>
  </w:num>
  <w:num w:numId="8" w16cid:durableId="321782556">
    <w:abstractNumId w:val="4"/>
  </w:num>
  <w:num w:numId="9" w16cid:durableId="1159426595">
    <w:abstractNumId w:val="28"/>
  </w:num>
  <w:num w:numId="10" w16cid:durableId="942692334">
    <w:abstractNumId w:val="10"/>
  </w:num>
  <w:num w:numId="11" w16cid:durableId="1159467531">
    <w:abstractNumId w:val="3"/>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0"/>
  </w:num>
  <w:num w:numId="14" w16cid:durableId="723793328">
    <w:abstractNumId w:val="0"/>
  </w:num>
  <w:num w:numId="15" w16cid:durableId="981467609">
    <w:abstractNumId w:val="26"/>
  </w:num>
  <w:num w:numId="16" w16cid:durableId="1751735970">
    <w:abstractNumId w:val="18"/>
  </w:num>
  <w:num w:numId="17" w16cid:durableId="169758318">
    <w:abstractNumId w:val="1"/>
  </w:num>
  <w:num w:numId="18" w16cid:durableId="287398288">
    <w:abstractNumId w:val="29"/>
  </w:num>
  <w:num w:numId="19" w16cid:durableId="2147039057">
    <w:abstractNumId w:val="7"/>
  </w:num>
  <w:num w:numId="20" w16cid:durableId="1841852734">
    <w:abstractNumId w:val="17"/>
  </w:num>
  <w:num w:numId="21" w16cid:durableId="1998223771">
    <w:abstractNumId w:val="25"/>
  </w:num>
  <w:num w:numId="22" w16cid:durableId="907958953">
    <w:abstractNumId w:val="19"/>
  </w:num>
  <w:num w:numId="23" w16cid:durableId="345517467">
    <w:abstractNumId w:val="21"/>
  </w:num>
  <w:num w:numId="24" w16cid:durableId="1323123731">
    <w:abstractNumId w:val="11"/>
  </w:num>
  <w:num w:numId="25" w16cid:durableId="1850214260">
    <w:abstractNumId w:val="22"/>
  </w:num>
  <w:num w:numId="26" w16cid:durableId="1388918595">
    <w:abstractNumId w:val="8"/>
  </w:num>
  <w:num w:numId="27" w16cid:durableId="62916954">
    <w:abstractNumId w:val="16"/>
  </w:num>
  <w:num w:numId="28" w16cid:durableId="266739096">
    <w:abstractNumId w:val="27"/>
  </w:num>
  <w:num w:numId="29" w16cid:durableId="1433357167">
    <w:abstractNumId w:val="2"/>
  </w:num>
  <w:num w:numId="30" w16cid:durableId="2110002980">
    <w:abstractNumId w:val="6"/>
  </w:num>
  <w:num w:numId="31" w16cid:durableId="1415467973">
    <w:abstractNumId w:val="9"/>
  </w:num>
  <w:num w:numId="32" w16cid:durableId="22441980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0FB3"/>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07"/>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9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BE6"/>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2AC"/>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A7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32A"/>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0BE"/>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5DFE"/>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A75"/>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9E8"/>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A58"/>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7BC"/>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202"/>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493</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10</cp:revision>
  <cp:lastPrinted>2019-03-18T22:48:00Z</cp:lastPrinted>
  <dcterms:created xsi:type="dcterms:W3CDTF">2025-05-07T21:54:00Z</dcterms:created>
  <dcterms:modified xsi:type="dcterms:W3CDTF">2025-05-09T16:48:00Z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