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A73B2" w14:textId="7087A89C" w:rsidR="00F36F1A" w:rsidRPr="00852F2B" w:rsidRDefault="00F36F1A" w:rsidP="00F36F1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Pr>
          <w:rFonts w:cs="Arial" w:hint="eastAsia"/>
          <w:noProof w:val="0"/>
          <w:sz w:val="28"/>
          <w:szCs w:val="28"/>
          <w:lang w:val="en-US"/>
        </w:rPr>
        <w:t>1</w:t>
      </w:r>
      <w:r w:rsidRPr="00003B2A">
        <w:rPr>
          <w:rFonts w:cs="Arial"/>
          <w:noProof w:val="0"/>
          <w:sz w:val="28"/>
          <w:szCs w:val="28"/>
          <w:lang w:val="en-US"/>
        </w:rPr>
        <w:tab/>
      </w:r>
      <w:r w:rsidRPr="00852F2B">
        <w:rPr>
          <w:rFonts w:cs="Arial"/>
          <w:noProof w:val="0"/>
          <w:sz w:val="28"/>
          <w:szCs w:val="28"/>
          <w:lang w:val="en-US"/>
        </w:rPr>
        <w:t>R1-250</w:t>
      </w:r>
      <w:r w:rsidR="00852F2B" w:rsidRPr="00852F2B">
        <w:rPr>
          <w:rFonts w:cs="Arial" w:hint="eastAsia"/>
          <w:noProof w:val="0"/>
          <w:sz w:val="28"/>
          <w:szCs w:val="28"/>
          <w:lang w:val="en-US"/>
        </w:rPr>
        <w:t>4446</w:t>
      </w:r>
    </w:p>
    <w:p w14:paraId="29655692" w14:textId="77777777" w:rsidR="00F36F1A" w:rsidRPr="00EF0DE6" w:rsidRDefault="00F36F1A" w:rsidP="00F36F1A">
      <w:pPr>
        <w:pStyle w:val="a3"/>
        <w:rPr>
          <w:rFonts w:asciiTheme="majorHAnsi" w:hAnsiTheme="majorHAnsi" w:cstheme="majorHAnsi"/>
          <w:bCs/>
          <w:sz w:val="28"/>
        </w:rPr>
      </w:pPr>
      <w:bookmarkStart w:id="2" w:name="_Hlk149574297"/>
      <w:bookmarkEnd w:id="0"/>
      <w:r w:rsidRPr="00E54D1E">
        <w:rPr>
          <w:rFonts w:asciiTheme="majorHAnsi" w:eastAsia="SimSun" w:hAnsiTheme="majorHAnsi" w:cstheme="majorHAnsi"/>
          <w:sz w:val="28"/>
          <w:szCs w:val="28"/>
          <w:lang w:val="en-US" w:eastAsia="zh-CN"/>
        </w:rPr>
        <w:t>St Julian’s, Malta, May 19th – 23th, 2025</w:t>
      </w:r>
    </w:p>
    <w:bookmarkEnd w:id="2"/>
    <w:p w14:paraId="2E7B3FD7" w14:textId="16FE037B"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22FC799B"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C72761" w:rsidRPr="00666500">
        <w:rPr>
          <w:rFonts w:ascii="Arial" w:hAnsi="Arial" w:cs="Arial"/>
          <w:b/>
          <w:sz w:val="28"/>
          <w:szCs w:val="28"/>
          <w:lang w:val="en-US"/>
        </w:rPr>
        <w:t>Support for 3-antenna-port transmission</w:t>
      </w:r>
    </w:p>
    <w:p w14:paraId="26DC8AEB" w14:textId="7009DF1A"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B110B3" w:rsidRPr="00666500">
        <w:rPr>
          <w:rFonts w:ascii="Arial" w:eastAsiaTheme="minorEastAsia" w:hAnsi="Arial" w:cs="Arial"/>
          <w:b/>
          <w:sz w:val="28"/>
          <w:szCs w:val="28"/>
          <w:lang w:val="pt-BR"/>
        </w:rPr>
        <w:t>9.2</w:t>
      </w:r>
      <w:r w:rsidR="001E0623" w:rsidRPr="00666500">
        <w:rPr>
          <w:rFonts w:ascii="Arial" w:eastAsiaTheme="minorEastAsia" w:hAnsi="Arial" w:cs="Arial"/>
          <w:b/>
          <w:sz w:val="28"/>
          <w:szCs w:val="28"/>
          <w:lang w:val="pt-BR"/>
        </w:rPr>
        <w:t>.</w:t>
      </w:r>
      <w:r w:rsidR="00C72761" w:rsidRPr="00666500">
        <w:rPr>
          <w:rFonts w:ascii="Arial" w:eastAsiaTheme="minorEastAsia" w:hAnsi="Arial" w:cs="Arial" w:hint="eastAsia"/>
          <w:b/>
          <w:sz w:val="28"/>
          <w:szCs w:val="28"/>
          <w:lang w:val="pt-BR"/>
        </w:rPr>
        <w:t>3</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4D7985D2" w:rsidR="00004B52" w:rsidRPr="00666500" w:rsidRDefault="00D74DC6" w:rsidP="005544D4">
      <w:pPr>
        <w:pStyle w:val="10"/>
        <w:adjustRightInd w:val="0"/>
        <w:spacing w:before="100" w:beforeAutospacing="1" w:afterLines="0"/>
        <w:rPr>
          <w:lang w:val="en-US"/>
        </w:rPr>
      </w:pPr>
      <w:r w:rsidRPr="00666500">
        <w:rPr>
          <w:lang w:val="en-US"/>
        </w:rPr>
        <w:t>Background</w:t>
      </w:r>
    </w:p>
    <w:p w14:paraId="2D85A636" w14:textId="77777777" w:rsidR="002A4EC4" w:rsidRPr="00666500" w:rsidRDefault="002A4EC4" w:rsidP="002A4EC4">
      <w:pPr>
        <w:pStyle w:val="Style1"/>
        <w:snapToGrid w:val="0"/>
        <w:spacing w:line="240" w:lineRule="auto"/>
        <w:ind w:firstLine="0"/>
        <w:contextualSpacing w:val="0"/>
        <w:rPr>
          <w:rFonts w:eastAsia="ＭＳ ゴシック"/>
          <w:sz w:val="24"/>
          <w:lang w:val="en-GB" w:eastAsia="ja-JP"/>
        </w:rPr>
      </w:pPr>
      <w:r w:rsidRPr="00666500">
        <w:rPr>
          <w:rFonts w:eastAsia="ＭＳ ゴシック" w:hint="eastAsia"/>
          <w:sz w:val="24"/>
          <w:lang w:val="en-GB" w:eastAsia="ja-JP"/>
        </w:rPr>
        <w:t>I</w:t>
      </w:r>
      <w:r w:rsidRPr="00666500">
        <w:rPr>
          <w:rFonts w:eastAsia="ＭＳ ゴシック"/>
          <w:sz w:val="24"/>
          <w:lang w:val="en-GB" w:eastAsia="ja-JP"/>
        </w:rPr>
        <w:t>n RAN#102 and #105, the working item to enhance NR MIMO operations in Rel-19 was agreed and revised, respectively [1,2].</w:t>
      </w:r>
    </w:p>
    <w:p w14:paraId="7EC8494F" w14:textId="0C928DEF" w:rsidR="00600EA9" w:rsidRPr="00666500" w:rsidRDefault="00600EA9" w:rsidP="00A24545">
      <w:pPr>
        <w:pStyle w:val="Style1"/>
        <w:snapToGrid w:val="0"/>
        <w:spacing w:line="240" w:lineRule="auto"/>
        <w:ind w:firstLine="0"/>
        <w:contextualSpacing w:val="0"/>
        <w:rPr>
          <w:rFonts w:eastAsia="ＭＳ ゴシック"/>
          <w:sz w:val="24"/>
          <w:lang w:val="en-GB" w:eastAsia="ja-JP"/>
        </w:rPr>
      </w:pPr>
      <w:r w:rsidRPr="00666500">
        <w:rPr>
          <w:rFonts w:eastAsia="ＭＳ ゴシック"/>
          <w:sz w:val="24"/>
          <w:lang w:val="en-GB" w:eastAsia="ja-JP"/>
        </w:rPr>
        <w:t>The detailed objective is as follows:</w:t>
      </w:r>
    </w:p>
    <w:p w14:paraId="6DFC39FD" w14:textId="77777777" w:rsidR="002A4EC4" w:rsidRDefault="002A4EC4" w:rsidP="002A4EC4">
      <w:pPr>
        <w:numPr>
          <w:ilvl w:val="0"/>
          <w:numId w:val="42"/>
        </w:numPr>
        <w:spacing w:after="0" w:afterAutospacing="0"/>
        <w:jc w:val="left"/>
        <w:rPr>
          <w:rFonts w:eastAsia="Times New Roman"/>
          <w:szCs w:val="24"/>
          <w:lang w:val="en-US" w:eastAsia="en-US"/>
        </w:rPr>
      </w:pPr>
      <w:r w:rsidRPr="00666500">
        <w:rPr>
          <w:rFonts w:eastAsia="Times New Roman"/>
          <w:szCs w:val="24"/>
          <w:lang w:val="en-US" w:eastAsia="en-US"/>
        </w:rPr>
        <w:t>Specify non-coherent UL codebook to facilitate 3-antenna-port codebook-based transmiss</w:t>
      </w:r>
      <w:r w:rsidRPr="000D100E">
        <w:rPr>
          <w:rFonts w:eastAsia="Times New Roman"/>
          <w:szCs w:val="24"/>
          <w:lang w:val="en-US" w:eastAsia="en-US"/>
        </w:rPr>
        <w:t xml:space="preserve">ions, </w:t>
      </w:r>
      <w:r w:rsidRPr="001A530A">
        <w:rPr>
          <w:rFonts w:eastAsia="Times New Roman"/>
          <w:szCs w:val="24"/>
          <w:lang w:val="en-US" w:eastAsia="en-US"/>
        </w:rPr>
        <w:t xml:space="preserve">enhancement(s) to enable </w:t>
      </w:r>
      <w:r w:rsidRPr="001A530A">
        <w:rPr>
          <w:rFonts w:eastAsia="Times New Roman"/>
          <w:szCs w:val="24"/>
          <w:lang w:eastAsia="en-US"/>
        </w:rPr>
        <w:t>3T6R SRS antenna switching</w:t>
      </w:r>
      <w:r w:rsidRPr="001A530A">
        <w:rPr>
          <w:rFonts w:eastAsia="Times New Roman"/>
          <w:szCs w:val="24"/>
          <w:lang w:val="en-US" w:eastAsia="en-US"/>
        </w:rPr>
        <w:t xml:space="preserve">, as well as UE capability signaling for 3T3R </w:t>
      </w:r>
      <w:r>
        <w:rPr>
          <w:rFonts w:eastAsia="Times New Roman"/>
          <w:szCs w:val="24"/>
          <w:lang w:val="en-US" w:eastAsia="en-US"/>
        </w:rPr>
        <w:t xml:space="preserve">antenna switching </w:t>
      </w:r>
      <w:r w:rsidRPr="001A530A">
        <w:rPr>
          <w:rFonts w:eastAsia="Times New Roman"/>
          <w:szCs w:val="24"/>
          <w:lang w:val="en-US" w:eastAsia="en-US"/>
        </w:rPr>
        <w:t>and 3-antenna-port non-codebook-based transmissions,</w:t>
      </w:r>
      <w:r>
        <w:rPr>
          <w:rFonts w:eastAsia="Times New Roman"/>
          <w:szCs w:val="24"/>
          <w:lang w:val="en-US" w:eastAsia="en-US"/>
        </w:rPr>
        <w:t xml:space="preserve"> </w:t>
      </w:r>
      <w:r w:rsidRPr="000D100E">
        <w:rPr>
          <w:rFonts w:eastAsia="Times New Roman"/>
          <w:szCs w:val="24"/>
          <w:lang w:val="en-US" w:eastAsia="en-US"/>
        </w:rPr>
        <w:t>without enhancement on UL full power transmission and without enhancement on SRS resource</w:t>
      </w:r>
    </w:p>
    <w:p w14:paraId="00499F6B" w14:textId="77777777" w:rsidR="002A4EC4" w:rsidRDefault="002A4EC4" w:rsidP="002A4EC4">
      <w:pPr>
        <w:spacing w:after="0"/>
        <w:ind w:firstLine="720"/>
        <w:rPr>
          <w:rFonts w:eastAsia="Times New Roman"/>
          <w:szCs w:val="24"/>
          <w:lang w:val="en-US" w:eastAsia="en-US"/>
        </w:rPr>
      </w:pPr>
      <w:r>
        <w:rPr>
          <w:rFonts w:eastAsia="Times New Roman"/>
          <w:szCs w:val="24"/>
          <w:lang w:val="en-US" w:eastAsia="en-US"/>
        </w:rPr>
        <w:t>Note: UL full power transmission mode 1 and 2 are not supported.</w:t>
      </w:r>
    </w:p>
    <w:p w14:paraId="23756CC4" w14:textId="77777777" w:rsidR="002A4EC4" w:rsidRPr="000D100E" w:rsidRDefault="002A4EC4" w:rsidP="002A4EC4">
      <w:pPr>
        <w:spacing w:after="0"/>
        <w:ind w:left="720"/>
        <w:rPr>
          <w:rFonts w:eastAsia="Times New Roman"/>
          <w:szCs w:val="24"/>
          <w:lang w:val="en-US" w:eastAsia="en-US"/>
        </w:rPr>
      </w:pPr>
      <w:r w:rsidRPr="001A530A">
        <w:rPr>
          <w:rFonts w:eastAsia="Times New Roman"/>
          <w:szCs w:val="24"/>
          <w:lang w:val="en-US" w:eastAsia="en-US"/>
        </w:rPr>
        <w:t xml:space="preserve">Note: </w:t>
      </w:r>
      <w:r>
        <w:rPr>
          <w:rFonts w:eastAsia="Times New Roman"/>
          <w:szCs w:val="24"/>
          <w:lang w:val="en-US" w:eastAsia="en-US"/>
        </w:rPr>
        <w:t>O</w:t>
      </w:r>
      <w:r>
        <w:rPr>
          <w:rFonts w:eastAsia="Times New Roman"/>
          <w:szCs w:val="24"/>
          <w:lang w:eastAsia="en-US"/>
        </w:rPr>
        <w:t>ther than UE capability signaling, no other enhancement is specified for 3T3R SRS antenna switching.</w:t>
      </w:r>
    </w:p>
    <w:p w14:paraId="693FC75E" w14:textId="6583F83B" w:rsidR="004136BA" w:rsidRPr="002A4EC4" w:rsidRDefault="004136BA" w:rsidP="007252DD">
      <w:pPr>
        <w:spacing w:after="0" w:afterAutospacing="0"/>
        <w:jc w:val="left"/>
        <w:rPr>
          <w:rFonts w:eastAsiaTheme="minorEastAsia"/>
          <w:szCs w:val="24"/>
          <w:lang w:val="en-US"/>
        </w:rPr>
      </w:pPr>
    </w:p>
    <w:p w14:paraId="67B18D45" w14:textId="039EF51D" w:rsidR="002B2AFD" w:rsidRDefault="00166E7A" w:rsidP="002B2AFD">
      <w:pPr>
        <w:pStyle w:val="10"/>
        <w:spacing w:after="180"/>
      </w:pPr>
      <w:r>
        <w:t>Maintenance</w:t>
      </w:r>
    </w:p>
    <w:p w14:paraId="2E0E4B83" w14:textId="2550F2A5" w:rsidR="002A4EC4" w:rsidRDefault="006655ED" w:rsidP="002A4EC4">
      <w:pPr>
        <w:pStyle w:val="10"/>
        <w:numPr>
          <w:ilvl w:val="1"/>
          <w:numId w:val="1"/>
        </w:numPr>
        <w:spacing w:after="180"/>
      </w:pPr>
      <w:r>
        <w:rPr>
          <w:rFonts w:hint="eastAsia"/>
        </w:rPr>
        <w:t>Left-over issues</w:t>
      </w:r>
    </w:p>
    <w:p w14:paraId="1081C697" w14:textId="5097888E" w:rsidR="00166E7A" w:rsidRDefault="006655ED" w:rsidP="002A4EC4">
      <w:r>
        <w:rPr>
          <w:rFonts w:hint="eastAsia"/>
        </w:rPr>
        <w:t>According to</w:t>
      </w:r>
      <w:r w:rsidR="00166E7A">
        <w:t xml:space="preserve"> RAN1#1</w:t>
      </w:r>
      <w:r>
        <w:rPr>
          <w:rFonts w:hint="eastAsia"/>
        </w:rPr>
        <w:t>20bis</w:t>
      </w:r>
      <w:r w:rsidR="00166E7A">
        <w:t xml:space="preserve"> meetings, the following </w:t>
      </w:r>
      <w:r>
        <w:rPr>
          <w:rFonts w:hint="eastAsia"/>
        </w:rPr>
        <w:t>issues remain</w:t>
      </w:r>
      <w:r w:rsidR="00166E7A">
        <w:t>:</w:t>
      </w:r>
    </w:p>
    <w:tbl>
      <w:tblPr>
        <w:tblStyle w:val="af0"/>
        <w:tblW w:w="0" w:type="auto"/>
        <w:tblLook w:val="04A0" w:firstRow="1" w:lastRow="0" w:firstColumn="1" w:lastColumn="0" w:noHBand="0" w:noVBand="1"/>
      </w:tblPr>
      <w:tblGrid>
        <w:gridCol w:w="9954"/>
      </w:tblGrid>
      <w:tr w:rsidR="00166E7A" w14:paraId="4432B3FD" w14:textId="77777777" w:rsidTr="00166E7A">
        <w:tc>
          <w:tcPr>
            <w:tcW w:w="9954" w:type="dxa"/>
          </w:tcPr>
          <w:p w14:paraId="2FFF87A6" w14:textId="44B737CC" w:rsidR="00166E7A" w:rsidRDefault="006655ED" w:rsidP="00166E7A">
            <w:pPr>
              <w:snapToGrid/>
              <w:spacing w:after="0" w:afterAutospacing="0"/>
              <w:contextualSpacing/>
              <w:rPr>
                <w:rFonts w:eastAsiaTheme="minorEastAsia"/>
                <w:sz w:val="20"/>
                <w:szCs w:val="24"/>
              </w:rPr>
            </w:pPr>
            <w:r>
              <w:rPr>
                <w:rFonts w:eastAsiaTheme="minorEastAsia" w:hint="eastAsia"/>
                <w:sz w:val="20"/>
                <w:szCs w:val="24"/>
              </w:rPr>
              <w:t>Issue 1</w:t>
            </w:r>
          </w:p>
          <w:p w14:paraId="16DE78D6" w14:textId="77777777" w:rsidR="006655ED" w:rsidRPr="006655ED" w:rsidRDefault="006655ED" w:rsidP="006655ED">
            <w:pPr>
              <w:widowControl w:val="0"/>
              <w:snapToGrid/>
              <w:spacing w:before="120" w:after="0" w:afterAutospacing="0" w:line="259" w:lineRule="auto"/>
              <w:contextualSpacing/>
              <w:jc w:val="left"/>
              <w:rPr>
                <w:rFonts w:eastAsia="SimSun" w:cs="Arial"/>
                <w:b/>
                <w:bCs/>
                <w:kern w:val="2"/>
                <w:sz w:val="22"/>
                <w:szCs w:val="24"/>
                <w:lang w:val="en-US"/>
                <w14:ligatures w14:val="standardContextual"/>
              </w:rPr>
            </w:pPr>
            <w:r w:rsidRPr="006655ED">
              <w:rPr>
                <w:rFonts w:eastAsia="SimSun" w:cs="Arial"/>
                <w:b/>
                <w:bCs/>
                <w:kern w:val="2"/>
                <w:sz w:val="22"/>
                <w:szCs w:val="24"/>
                <w:lang w:val="en-US"/>
                <w14:ligatures w14:val="standardContextual"/>
              </w:rPr>
              <w:t>NTT</w:t>
            </w:r>
          </w:p>
          <w:p w14:paraId="6FCE7A70" w14:textId="77777777" w:rsidR="006655ED" w:rsidRPr="006655ED" w:rsidRDefault="006655ED" w:rsidP="006655ED">
            <w:pPr>
              <w:widowControl w:val="0"/>
              <w:numPr>
                <w:ilvl w:val="0"/>
                <w:numId w:val="48"/>
              </w:numPr>
              <w:snapToGrid/>
              <w:spacing w:before="120" w:after="0" w:afterAutospacing="0" w:line="259" w:lineRule="auto"/>
              <w:ind w:left="337"/>
              <w:contextualSpacing/>
              <w:jc w:val="left"/>
              <w:rPr>
                <w:rFonts w:eastAsia="SimSun" w:cs="Arial"/>
                <w:kern w:val="2"/>
                <w:sz w:val="22"/>
                <w:szCs w:val="24"/>
                <w:lang w:val="en-US"/>
                <w14:ligatures w14:val="standardContextual"/>
              </w:rPr>
            </w:pPr>
            <w:r w:rsidRPr="006655ED">
              <w:rPr>
                <w:rFonts w:eastAsia="SimSun" w:cs="Arial" w:hint="eastAsia"/>
                <w:kern w:val="2"/>
                <w:sz w:val="22"/>
                <w:szCs w:val="24"/>
                <w:lang w:val="en-US"/>
                <w14:ligatures w14:val="standardContextual"/>
              </w:rPr>
              <w:t xml:space="preserve">New RRC parameter is used for enabling non-codebook-based 3-antenna-port transmission. </w:t>
            </w:r>
          </w:p>
          <w:p w14:paraId="5F3C0C94" w14:textId="77777777" w:rsidR="006655ED" w:rsidRPr="006655ED" w:rsidRDefault="006655ED" w:rsidP="006655ED">
            <w:pPr>
              <w:widowControl w:val="0"/>
              <w:numPr>
                <w:ilvl w:val="1"/>
                <w:numId w:val="48"/>
              </w:numPr>
              <w:snapToGrid/>
              <w:spacing w:before="120" w:after="0" w:afterAutospacing="0" w:line="259" w:lineRule="auto"/>
              <w:ind w:left="697"/>
              <w:contextualSpacing/>
              <w:jc w:val="left"/>
              <w:rPr>
                <w:rFonts w:eastAsia="SimSun" w:cs="Arial"/>
                <w:kern w:val="2"/>
                <w:sz w:val="22"/>
                <w:szCs w:val="24"/>
                <w:lang w:val="en-US"/>
                <w14:ligatures w14:val="standardContextual"/>
              </w:rPr>
            </w:pPr>
            <w:r w:rsidRPr="006655ED">
              <w:rPr>
                <w:rFonts w:eastAsia="SimSun" w:cs="Arial" w:hint="eastAsia"/>
                <w:kern w:val="2"/>
                <w:sz w:val="22"/>
                <w:szCs w:val="24"/>
                <w:lang w:val="en-US"/>
                <w14:ligatures w14:val="standardContextual"/>
              </w:rPr>
              <w:t xml:space="preserve">The RRC parameter can be per SRS </w:t>
            </w:r>
            <w:r w:rsidRPr="006655ED">
              <w:rPr>
                <w:rFonts w:eastAsia="SimSun" w:cs="Arial"/>
                <w:kern w:val="2"/>
                <w:sz w:val="22"/>
                <w:szCs w:val="24"/>
                <w:lang w:val="en-US"/>
                <w14:ligatures w14:val="standardContextual"/>
              </w:rPr>
              <w:t>resource</w:t>
            </w:r>
            <w:r w:rsidRPr="006655ED">
              <w:rPr>
                <w:rFonts w:eastAsia="SimSun" w:cs="Arial" w:hint="eastAsia"/>
                <w:kern w:val="2"/>
                <w:sz w:val="22"/>
                <w:szCs w:val="24"/>
                <w:lang w:val="en-US"/>
                <w14:ligatures w14:val="standardContextual"/>
              </w:rPr>
              <w:t xml:space="preserve"> set. </w:t>
            </w:r>
          </w:p>
          <w:p w14:paraId="1DBB6734" w14:textId="77777777" w:rsidR="006655ED" w:rsidRPr="006655ED" w:rsidRDefault="006655ED" w:rsidP="006655ED">
            <w:pPr>
              <w:widowControl w:val="0"/>
              <w:numPr>
                <w:ilvl w:val="0"/>
                <w:numId w:val="48"/>
              </w:numPr>
              <w:snapToGrid/>
              <w:spacing w:before="120" w:after="0" w:afterAutospacing="0" w:line="259" w:lineRule="auto"/>
              <w:ind w:left="337"/>
              <w:contextualSpacing/>
              <w:jc w:val="left"/>
              <w:rPr>
                <w:rFonts w:eastAsia="SimSun" w:cs="Arial"/>
                <w:kern w:val="2"/>
                <w:sz w:val="22"/>
                <w:szCs w:val="24"/>
                <w:lang w:val="en-US"/>
                <w14:ligatures w14:val="standardContextual"/>
              </w:rPr>
            </w:pPr>
            <w:r w:rsidRPr="006655ED">
              <w:rPr>
                <w:rFonts w:eastAsia="SimSun" w:cs="Arial" w:hint="eastAsia"/>
                <w:kern w:val="2"/>
                <w:sz w:val="22"/>
                <w:szCs w:val="24"/>
                <w:lang w:val="en-US"/>
                <w14:ligatures w14:val="standardContextual"/>
              </w:rPr>
              <w:t xml:space="preserve">If the new RRC parameter is enabled, UE applies Rel-19 behavior for PTRS-DMRS association for non-codebook-based 3-antenna-port </w:t>
            </w:r>
            <w:r w:rsidRPr="006655ED">
              <w:rPr>
                <w:rFonts w:eastAsia="SimSun" w:cs="Arial"/>
                <w:kern w:val="2"/>
                <w:sz w:val="22"/>
                <w:szCs w:val="24"/>
                <w:lang w:val="en-US"/>
                <w14:ligatures w14:val="standardContextual"/>
              </w:rPr>
              <w:t>transmission</w:t>
            </w:r>
            <w:r w:rsidRPr="006655ED">
              <w:rPr>
                <w:rFonts w:eastAsia="SimSun" w:cs="Arial" w:hint="eastAsia"/>
                <w:kern w:val="2"/>
                <w:sz w:val="22"/>
                <w:szCs w:val="24"/>
                <w:lang w:val="en-US"/>
                <w14:ligatures w14:val="standardContextual"/>
              </w:rPr>
              <w:t xml:space="preserve">, otherwise if the new RRC parameter is not enabled, UE applies Rel-18 behavior for PTRS-DMRS </w:t>
            </w:r>
            <w:r w:rsidRPr="006655ED">
              <w:rPr>
                <w:rFonts w:eastAsia="SimSun" w:cs="Arial"/>
                <w:kern w:val="2"/>
                <w:sz w:val="22"/>
                <w:szCs w:val="24"/>
                <w:lang w:val="en-US"/>
                <w14:ligatures w14:val="standardContextual"/>
              </w:rPr>
              <w:t>association</w:t>
            </w:r>
            <w:r w:rsidRPr="006655ED">
              <w:rPr>
                <w:rFonts w:eastAsia="SimSun" w:cs="Arial" w:hint="eastAsia"/>
                <w:kern w:val="2"/>
                <w:sz w:val="22"/>
                <w:szCs w:val="24"/>
                <w:lang w:val="en-US"/>
                <w14:ligatures w14:val="standardContextual"/>
              </w:rPr>
              <w:t xml:space="preserve">. </w:t>
            </w:r>
          </w:p>
          <w:p w14:paraId="7ACE83E2" w14:textId="77777777" w:rsidR="006655ED" w:rsidRDefault="006655ED" w:rsidP="00166E7A">
            <w:pPr>
              <w:snapToGrid/>
              <w:spacing w:after="0" w:afterAutospacing="0"/>
              <w:contextualSpacing/>
              <w:rPr>
                <w:rFonts w:eastAsiaTheme="minorEastAsia"/>
                <w:sz w:val="20"/>
                <w:szCs w:val="24"/>
                <w:lang w:val="en-US"/>
              </w:rPr>
            </w:pPr>
          </w:p>
          <w:p w14:paraId="4E9F2272" w14:textId="32C13C5A" w:rsidR="006655ED" w:rsidRDefault="006655ED" w:rsidP="00166E7A">
            <w:pPr>
              <w:snapToGrid/>
              <w:spacing w:after="0" w:afterAutospacing="0"/>
              <w:contextualSpacing/>
              <w:rPr>
                <w:rFonts w:eastAsiaTheme="minorEastAsia"/>
                <w:sz w:val="20"/>
                <w:szCs w:val="24"/>
                <w:lang w:val="en-US"/>
              </w:rPr>
            </w:pPr>
            <w:r>
              <w:rPr>
                <w:rFonts w:eastAsiaTheme="minorEastAsia" w:hint="eastAsia"/>
                <w:sz w:val="20"/>
                <w:szCs w:val="24"/>
                <w:lang w:val="en-US"/>
              </w:rPr>
              <w:t>Issue 2</w:t>
            </w:r>
          </w:p>
          <w:p w14:paraId="3827602B" w14:textId="77777777" w:rsidR="006655ED" w:rsidRPr="006655ED" w:rsidRDefault="006655ED" w:rsidP="006655ED">
            <w:pPr>
              <w:widowControl w:val="0"/>
              <w:snapToGrid/>
              <w:spacing w:after="0" w:afterAutospacing="0"/>
              <w:contextualSpacing/>
              <w:jc w:val="left"/>
              <w:rPr>
                <w:rFonts w:eastAsia="Malgun Gothic"/>
                <w:b/>
                <w:bCs/>
                <w:kern w:val="2"/>
                <w:sz w:val="22"/>
                <w:szCs w:val="24"/>
                <w:lang w:val="en-US"/>
                <w14:ligatures w14:val="standardContextual"/>
              </w:rPr>
            </w:pPr>
            <w:r w:rsidRPr="006655ED">
              <w:rPr>
                <w:rFonts w:eastAsia="Malgun Gothic"/>
                <w:b/>
                <w:bCs/>
                <w:kern w:val="2"/>
                <w:sz w:val="22"/>
                <w:szCs w:val="24"/>
                <w:lang w:val="en-US"/>
                <w14:ligatures w14:val="standardContextual"/>
              </w:rPr>
              <w:t>CATT</w:t>
            </w:r>
          </w:p>
          <w:p w14:paraId="59A131E7" w14:textId="77777777" w:rsidR="006655ED" w:rsidRPr="006655ED" w:rsidRDefault="006655ED" w:rsidP="006655ED">
            <w:pPr>
              <w:widowControl w:val="0"/>
              <w:numPr>
                <w:ilvl w:val="0"/>
                <w:numId w:val="48"/>
              </w:numPr>
              <w:snapToGrid/>
              <w:spacing w:before="120" w:after="0" w:afterAutospacing="0" w:line="259" w:lineRule="auto"/>
              <w:ind w:left="337"/>
              <w:contextualSpacing/>
              <w:jc w:val="left"/>
              <w:rPr>
                <w:rFonts w:eastAsia="SimSun"/>
                <w:kern w:val="2"/>
                <w:sz w:val="22"/>
                <w:szCs w:val="24"/>
                <w:lang w:val="en-US"/>
                <w14:ligatures w14:val="standardContextual"/>
              </w:rPr>
            </w:pPr>
            <w:r w:rsidRPr="006655ED">
              <w:rPr>
                <w:rFonts w:eastAsia="SimSun"/>
                <w:kern w:val="2"/>
                <w:sz w:val="22"/>
                <w:szCs w:val="24"/>
                <w:lang w:val="en-US"/>
                <w14:ligatures w14:val="standardContextual"/>
              </w:rPr>
              <w:lastRenderedPageBreak/>
              <w:t>Do not change the linear SRS power split scheme for 3-port SRS transmission.</w:t>
            </w:r>
          </w:p>
          <w:p w14:paraId="1804546B" w14:textId="77777777" w:rsidR="006655ED" w:rsidRPr="006655ED" w:rsidRDefault="006655ED" w:rsidP="006655ED">
            <w:pPr>
              <w:widowControl w:val="0"/>
              <w:snapToGrid/>
              <w:spacing w:after="0" w:afterAutospacing="0"/>
              <w:contextualSpacing/>
              <w:jc w:val="left"/>
              <w:rPr>
                <w:rFonts w:eastAsia="Malgun Gothic"/>
                <w:kern w:val="2"/>
                <w:sz w:val="22"/>
                <w:szCs w:val="24"/>
                <w:lang w:val="en-US"/>
                <w14:ligatures w14:val="standardContextual"/>
              </w:rPr>
            </w:pPr>
          </w:p>
          <w:p w14:paraId="79275D1E" w14:textId="77777777" w:rsidR="006655ED" w:rsidRPr="006655ED" w:rsidRDefault="006655ED" w:rsidP="006655ED">
            <w:pPr>
              <w:widowControl w:val="0"/>
              <w:snapToGrid/>
              <w:spacing w:after="0" w:afterAutospacing="0"/>
              <w:contextualSpacing/>
              <w:jc w:val="left"/>
              <w:rPr>
                <w:rFonts w:eastAsia="Malgun Gothic"/>
                <w:kern w:val="2"/>
                <w:sz w:val="22"/>
                <w:szCs w:val="24"/>
                <w:lang w:val="en-US"/>
                <w14:ligatures w14:val="standardContextual"/>
              </w:rPr>
            </w:pPr>
            <w:r w:rsidRPr="006655ED">
              <w:rPr>
                <w:rFonts w:eastAsia="Malgun Gothic"/>
                <w:kern w:val="2"/>
                <w:sz w:val="22"/>
                <w:szCs w:val="24"/>
                <w:lang w:val="en-US"/>
                <w14:ligatures w14:val="standardContextual"/>
              </w:rPr>
              <w:t>Justification: When the 3 ports are transmitted by different comb offsets, ports 1000 and 1002 are transmitted with one comb offset while port 1001 is transmitted with another comb offset, equal power split among SRS antenna ports could result in different energy in REs corresponding to different comb offsets. This may cause a non-uniform interference level on REs of other UEs, if they transmit in the same symbol.</w:t>
            </w:r>
          </w:p>
          <w:p w14:paraId="1FA22D7F" w14:textId="77777777" w:rsidR="006655ED" w:rsidRDefault="006655ED" w:rsidP="00166E7A">
            <w:pPr>
              <w:snapToGrid/>
              <w:spacing w:after="0" w:afterAutospacing="0"/>
              <w:contextualSpacing/>
              <w:rPr>
                <w:rFonts w:eastAsiaTheme="minorEastAsia"/>
                <w:sz w:val="20"/>
                <w:szCs w:val="24"/>
              </w:rPr>
            </w:pPr>
          </w:p>
          <w:p w14:paraId="679B199E" w14:textId="526D97CF" w:rsidR="006655ED" w:rsidRPr="006655ED" w:rsidRDefault="006655ED" w:rsidP="00166E7A">
            <w:pPr>
              <w:snapToGrid/>
              <w:spacing w:after="0" w:afterAutospacing="0"/>
              <w:contextualSpacing/>
              <w:rPr>
                <w:rFonts w:eastAsiaTheme="minorEastAsia"/>
                <w:sz w:val="20"/>
                <w:szCs w:val="24"/>
              </w:rPr>
            </w:pPr>
          </w:p>
        </w:tc>
      </w:tr>
    </w:tbl>
    <w:p w14:paraId="33BBD116" w14:textId="77777777" w:rsidR="00166E7A" w:rsidRDefault="00166E7A" w:rsidP="002A4EC4"/>
    <w:p w14:paraId="18AA6203" w14:textId="3553F032" w:rsidR="007542C2" w:rsidRPr="00CC4F9F" w:rsidRDefault="006655ED" w:rsidP="002A4EC4">
      <w:pPr>
        <w:rPr>
          <w:u w:val="single"/>
        </w:rPr>
      </w:pPr>
      <w:r w:rsidRPr="00CC4F9F">
        <w:rPr>
          <w:rFonts w:hint="eastAsia"/>
          <w:u w:val="single"/>
        </w:rPr>
        <w:t>Issue 1: New RRC parameter for enabling non-codebook-based 3Tx transmission.</w:t>
      </w:r>
    </w:p>
    <w:p w14:paraId="19854051" w14:textId="398916BF" w:rsidR="00AC30A3" w:rsidRDefault="006655ED" w:rsidP="002A4EC4">
      <w:r>
        <w:rPr>
          <w:rFonts w:hint="eastAsia"/>
        </w:rPr>
        <w:t xml:space="preserve">For Rel-19 3Tx, </w:t>
      </w:r>
      <w:r w:rsidR="00AC30A3">
        <w:rPr>
          <w:rFonts w:hint="eastAsia"/>
        </w:rPr>
        <w:t xml:space="preserve">introducing the RRC parameter, 4portSRS_3TX, was agreed to enable 3Tx transmission per SRS resource set. Here, an issue is that whether to distinguish usages of </w:t>
      </w:r>
      <w:r w:rsidR="00AC30A3">
        <w:t>“</w:t>
      </w:r>
      <w:r w:rsidR="00AC30A3">
        <w:rPr>
          <w:rFonts w:hint="eastAsia"/>
        </w:rPr>
        <w:t>codebook</w:t>
      </w:r>
      <w:r w:rsidR="00AC30A3">
        <w:t>”</w:t>
      </w:r>
      <w:r w:rsidR="00AC30A3">
        <w:rPr>
          <w:rFonts w:hint="eastAsia"/>
        </w:rPr>
        <w:t xml:space="preserve">, </w:t>
      </w:r>
      <w:r w:rsidR="00AC30A3">
        <w:t>“</w:t>
      </w:r>
      <w:r w:rsidR="00AC30A3">
        <w:rPr>
          <w:rFonts w:hint="eastAsia"/>
        </w:rPr>
        <w:t>antenna switching</w:t>
      </w:r>
      <w:r w:rsidR="00AC30A3">
        <w:t>”</w:t>
      </w:r>
      <w:r w:rsidR="00AC30A3">
        <w:rPr>
          <w:rFonts w:hint="eastAsia"/>
        </w:rPr>
        <w:t xml:space="preserve">, and </w:t>
      </w:r>
      <w:r w:rsidR="00AC30A3">
        <w:t>“</w:t>
      </w:r>
      <w:r w:rsidR="00AC30A3">
        <w:rPr>
          <w:rFonts w:hint="eastAsia"/>
        </w:rPr>
        <w:t>non-codebook</w:t>
      </w:r>
      <w:r w:rsidR="00AC30A3">
        <w:t>”</w:t>
      </w:r>
      <w:r w:rsidR="00AC30A3">
        <w:rPr>
          <w:rFonts w:hint="eastAsia"/>
        </w:rPr>
        <w:t xml:space="preserve">. Although 3Tx transmission for usages of </w:t>
      </w:r>
      <w:r w:rsidR="00AC30A3">
        <w:t>“</w:t>
      </w:r>
      <w:r w:rsidR="00AC30A3">
        <w:rPr>
          <w:rFonts w:hint="eastAsia"/>
        </w:rPr>
        <w:t>codebook</w:t>
      </w:r>
      <w:r w:rsidR="00AC30A3">
        <w:t>”</w:t>
      </w:r>
      <w:r w:rsidR="00AC30A3">
        <w:rPr>
          <w:rFonts w:hint="eastAsia"/>
        </w:rPr>
        <w:t xml:space="preserve"> and </w:t>
      </w:r>
      <w:r w:rsidR="00AC30A3">
        <w:t>“</w:t>
      </w:r>
      <w:r w:rsidR="00AC30A3">
        <w:rPr>
          <w:rFonts w:hint="eastAsia"/>
        </w:rPr>
        <w:t>antenna switching</w:t>
      </w:r>
      <w:r w:rsidR="00AC30A3">
        <w:t>”</w:t>
      </w:r>
      <w:r w:rsidR="00AC30A3">
        <w:rPr>
          <w:rFonts w:hint="eastAsia"/>
        </w:rPr>
        <w:t xml:space="preserve"> is enabled by muting port 1003, the one for usage of </w:t>
      </w:r>
      <w:r w:rsidR="00AC30A3">
        <w:t>“</w:t>
      </w:r>
      <w:r w:rsidR="00AC30A3">
        <w:rPr>
          <w:rFonts w:hint="eastAsia"/>
        </w:rPr>
        <w:t>non-codebook</w:t>
      </w:r>
      <w:r w:rsidR="00AC30A3">
        <w:t>”</w:t>
      </w:r>
      <w:r w:rsidR="00AC30A3">
        <w:rPr>
          <w:rFonts w:hint="eastAsia"/>
        </w:rPr>
        <w:t xml:space="preserve"> is enabled by configuring 3 SRS resources within a SRS resource set. </w:t>
      </w:r>
      <w:r w:rsidR="00CC4F9F">
        <w:rPr>
          <w:rFonts w:hint="eastAsia"/>
        </w:rPr>
        <w:t xml:space="preserve">Therefore, to distinguish UE behavior for SRS transmission for these usages, new RRC parameter or separate description is needed to differentiate </w:t>
      </w:r>
      <w:r w:rsidR="00CC4F9F">
        <w:t>“</w:t>
      </w:r>
      <w:r w:rsidR="00CC4F9F">
        <w:rPr>
          <w:rFonts w:hint="eastAsia"/>
        </w:rPr>
        <w:t>codebook</w:t>
      </w:r>
      <w:r w:rsidR="00CC4F9F">
        <w:t>”</w:t>
      </w:r>
      <w:r w:rsidR="00CC4F9F">
        <w:rPr>
          <w:rFonts w:hint="eastAsia"/>
        </w:rPr>
        <w:t xml:space="preserve"> and </w:t>
      </w:r>
      <w:r w:rsidR="00CC4F9F">
        <w:t>“</w:t>
      </w:r>
      <w:r w:rsidR="00CC4F9F">
        <w:rPr>
          <w:rFonts w:hint="eastAsia"/>
        </w:rPr>
        <w:t>non-codebook</w:t>
      </w:r>
      <w:r w:rsidR="00CC4F9F">
        <w:t>”</w:t>
      </w:r>
      <w:r w:rsidR="00CC4F9F">
        <w:rPr>
          <w:rFonts w:hint="eastAsia"/>
        </w:rPr>
        <w:t>.</w:t>
      </w:r>
    </w:p>
    <w:p w14:paraId="6D197C72" w14:textId="16DE1221" w:rsidR="00CC4F9F" w:rsidRPr="00871569" w:rsidRDefault="00CC4F9F" w:rsidP="002A4EC4">
      <w:pPr>
        <w:rPr>
          <w:b/>
          <w:bCs/>
        </w:rPr>
      </w:pPr>
      <w:r w:rsidRPr="00871569">
        <w:rPr>
          <w:rFonts w:hint="eastAsia"/>
          <w:b/>
          <w:bCs/>
        </w:rPr>
        <w:t>Proposal 1: We support the following way to enable non-codebook-based 3Tx transmission:</w:t>
      </w:r>
    </w:p>
    <w:p w14:paraId="66ED7FE8" w14:textId="6AD74715" w:rsidR="00CC4F9F" w:rsidRPr="00871569" w:rsidRDefault="00CC4F9F" w:rsidP="00CC4F9F">
      <w:pPr>
        <w:pStyle w:val="aff5"/>
        <w:numPr>
          <w:ilvl w:val="0"/>
          <w:numId w:val="48"/>
        </w:numPr>
        <w:ind w:leftChars="0"/>
        <w:rPr>
          <w:b/>
          <w:bCs/>
        </w:rPr>
      </w:pPr>
      <w:r w:rsidRPr="00871569">
        <w:rPr>
          <w:rFonts w:hint="eastAsia"/>
          <w:b/>
          <w:bCs/>
        </w:rPr>
        <w:t>New RRC parameter is introduced; or</w:t>
      </w:r>
    </w:p>
    <w:p w14:paraId="1ECF262A" w14:textId="402E0551" w:rsidR="00CC4F9F" w:rsidRPr="00871569" w:rsidRDefault="00CC4F9F" w:rsidP="00CC4F9F">
      <w:pPr>
        <w:pStyle w:val="aff5"/>
        <w:numPr>
          <w:ilvl w:val="0"/>
          <w:numId w:val="48"/>
        </w:numPr>
        <w:ind w:leftChars="0"/>
        <w:rPr>
          <w:b/>
          <w:bCs/>
        </w:rPr>
      </w:pPr>
      <w:r w:rsidRPr="00871569">
        <w:rPr>
          <w:rFonts w:hint="eastAsia"/>
          <w:b/>
          <w:bCs/>
        </w:rPr>
        <w:t>A</w:t>
      </w:r>
      <w:r w:rsidR="003A4AC6">
        <w:rPr>
          <w:rFonts w:hint="eastAsia"/>
          <w:b/>
          <w:bCs/>
        </w:rPr>
        <w:t>nother</w:t>
      </w:r>
      <w:r w:rsidRPr="00871569">
        <w:rPr>
          <w:rFonts w:hint="eastAsia"/>
          <w:b/>
          <w:bCs/>
        </w:rPr>
        <w:t xml:space="preserve"> description for non-codebook is </w:t>
      </w:r>
      <w:r w:rsidR="003A4AC6">
        <w:rPr>
          <w:rFonts w:hint="eastAsia"/>
          <w:b/>
          <w:bCs/>
        </w:rPr>
        <w:t>added to</w:t>
      </w:r>
      <w:r w:rsidRPr="00871569">
        <w:rPr>
          <w:rFonts w:hint="eastAsia"/>
          <w:b/>
          <w:bCs/>
        </w:rPr>
        <w:t xml:space="preserve"> 4portSRS_3TX.</w:t>
      </w:r>
    </w:p>
    <w:p w14:paraId="0A171D42" w14:textId="77777777" w:rsidR="00871569" w:rsidRDefault="00871569" w:rsidP="002A4EC4"/>
    <w:p w14:paraId="5E6196FB" w14:textId="714D4523" w:rsidR="006655ED" w:rsidRPr="003A4AC6" w:rsidRDefault="00871569" w:rsidP="002A4EC4">
      <w:pPr>
        <w:rPr>
          <w:u w:val="single"/>
        </w:rPr>
      </w:pPr>
      <w:r w:rsidRPr="003A4AC6">
        <w:rPr>
          <w:rFonts w:hint="eastAsia"/>
          <w:u w:val="single"/>
        </w:rPr>
        <w:t>Issue 2: Linear SRS power split scheme for 3Tx SRS transmission</w:t>
      </w:r>
    </w:p>
    <w:p w14:paraId="237B324B" w14:textId="2932E1B6" w:rsidR="00871569" w:rsidRDefault="003A4AC6" w:rsidP="002A4EC4">
      <w:r>
        <w:rPr>
          <w:rFonts w:hint="eastAsia"/>
        </w:rPr>
        <w:t>According to the following agreement, w</w:t>
      </w:r>
      <w:r w:rsidR="00871569">
        <w:rPr>
          <w:rFonts w:hint="eastAsia"/>
        </w:rPr>
        <w:t xml:space="preserve">hen 3 ports are multiplexed by different comb offsets, there is an issue that different EPRE </w:t>
      </w:r>
      <w:r>
        <w:rPr>
          <w:rFonts w:hint="eastAsia"/>
        </w:rPr>
        <w:t>causes a non-uniform interference level on REs of other UEs</w:t>
      </w:r>
      <w:r w:rsidR="00871569">
        <w:rPr>
          <w:rFonts w:hint="eastAsia"/>
        </w:rPr>
        <w:t>.</w:t>
      </w:r>
    </w:p>
    <w:tbl>
      <w:tblPr>
        <w:tblStyle w:val="af0"/>
        <w:tblW w:w="0" w:type="auto"/>
        <w:tblLook w:val="04A0" w:firstRow="1" w:lastRow="0" w:firstColumn="1" w:lastColumn="0" w:noHBand="0" w:noVBand="1"/>
      </w:tblPr>
      <w:tblGrid>
        <w:gridCol w:w="9954"/>
      </w:tblGrid>
      <w:tr w:rsidR="003A4AC6" w14:paraId="559EB249" w14:textId="77777777" w:rsidTr="003A4AC6">
        <w:tc>
          <w:tcPr>
            <w:tcW w:w="9954" w:type="dxa"/>
          </w:tcPr>
          <w:p w14:paraId="47B716D4" w14:textId="77777777" w:rsidR="003A4AC6" w:rsidRPr="003A4AC6" w:rsidRDefault="003A4AC6" w:rsidP="003A4AC6">
            <w:pPr>
              <w:widowControl w:val="0"/>
              <w:snapToGrid/>
              <w:spacing w:after="160" w:afterAutospacing="0" w:line="259" w:lineRule="auto"/>
              <w:contextualSpacing/>
              <w:jc w:val="left"/>
              <w:rPr>
                <w:rFonts w:eastAsia="SimSun"/>
                <w:b/>
                <w:bCs/>
                <w:kern w:val="2"/>
                <w:sz w:val="22"/>
                <w:szCs w:val="24"/>
                <w:highlight w:val="green"/>
                <w:lang w:val="en-US"/>
                <w14:ligatures w14:val="standardContextual"/>
              </w:rPr>
            </w:pPr>
            <w:r w:rsidRPr="003A4AC6">
              <w:rPr>
                <w:rFonts w:eastAsia="SimSun"/>
                <w:b/>
                <w:bCs/>
                <w:kern w:val="2"/>
                <w:sz w:val="22"/>
                <w:szCs w:val="24"/>
                <w:highlight w:val="green"/>
                <w:lang w:val="en-US"/>
                <w14:ligatures w14:val="standardContextual"/>
              </w:rPr>
              <w:t>Agreement</w:t>
            </w:r>
          </w:p>
          <w:p w14:paraId="55F3ACAA" w14:textId="77777777" w:rsidR="003A4AC6" w:rsidRPr="003A4AC6" w:rsidRDefault="003A4AC6" w:rsidP="003A4AC6">
            <w:pPr>
              <w:widowControl w:val="0"/>
              <w:snapToGrid/>
              <w:spacing w:after="160" w:afterAutospacing="0" w:line="259" w:lineRule="auto"/>
              <w:contextualSpacing/>
              <w:jc w:val="left"/>
              <w:rPr>
                <w:rFonts w:eastAsia="Malgun Gothic"/>
                <w:kern w:val="2"/>
                <w:sz w:val="22"/>
                <w:szCs w:val="24"/>
                <w:lang w:val="en-US"/>
                <w14:ligatures w14:val="standardContextual"/>
              </w:rPr>
            </w:pPr>
            <w:r w:rsidRPr="003A4AC6">
              <w:rPr>
                <w:rFonts w:eastAsia="Malgun Gothic"/>
                <w:kern w:val="2"/>
                <w:sz w:val="22"/>
                <w:szCs w:val="24"/>
                <w:lang w:val="en-US"/>
                <w14:ligatures w14:val="standardContextual"/>
              </w:rPr>
              <w:t>For a 3TX UE, to support 3-port SRS transmission with reusing a 4-port SRS resource, UE splits a linear SRS power equally across the 3 unmuted antenna ports of the 4-port SRS resource.</w:t>
            </w:r>
          </w:p>
          <w:p w14:paraId="2F93D6A8" w14:textId="77777777" w:rsidR="003A4AC6" w:rsidRPr="003A4AC6" w:rsidRDefault="003A4AC6" w:rsidP="002A4EC4">
            <w:pPr>
              <w:rPr>
                <w:lang w:val="en-US"/>
              </w:rPr>
            </w:pPr>
          </w:p>
        </w:tc>
      </w:tr>
    </w:tbl>
    <w:p w14:paraId="6633022B" w14:textId="6A9F486C" w:rsidR="003A4AC6" w:rsidRDefault="003A4AC6" w:rsidP="002A4EC4">
      <w:r>
        <w:rPr>
          <w:rFonts w:hint="eastAsia"/>
        </w:rPr>
        <w:t>However, we are not sure if there is a solution that the UE simultaneously splits a linear SRS power equally across 3 unmuted ports and equally across multiple combs.</w:t>
      </w:r>
      <w:r w:rsidR="00350217">
        <w:rPr>
          <w:rFonts w:hint="eastAsia"/>
        </w:rPr>
        <w:t xml:space="preserve"> </w:t>
      </w:r>
    </w:p>
    <w:p w14:paraId="4E6E08F1" w14:textId="5B54B696" w:rsidR="00350217" w:rsidRPr="00350217" w:rsidRDefault="00350217" w:rsidP="002A4EC4">
      <w:pPr>
        <w:rPr>
          <w:b/>
          <w:bCs/>
        </w:rPr>
      </w:pPr>
      <w:r w:rsidRPr="00350217">
        <w:rPr>
          <w:rFonts w:hint="eastAsia"/>
          <w:b/>
          <w:bCs/>
        </w:rPr>
        <w:t xml:space="preserve">Proposal 2: We do NOT support that UE splits a linear SRS power equally across multiple combs. </w:t>
      </w:r>
    </w:p>
    <w:p w14:paraId="76757B72" w14:textId="77777777" w:rsidR="006655ED" w:rsidRDefault="006655ED" w:rsidP="002A4EC4"/>
    <w:p w14:paraId="6442A5DE" w14:textId="77777777" w:rsidR="003A4AC6" w:rsidRDefault="003A4AC6" w:rsidP="002A4EC4"/>
    <w:p w14:paraId="754467CA" w14:textId="0E7AD906" w:rsidR="00FB30CC" w:rsidRDefault="00FB30CC">
      <w:pPr>
        <w:pStyle w:val="10"/>
        <w:spacing w:after="180"/>
        <w:rPr>
          <w:lang w:val="en-US"/>
        </w:rPr>
      </w:pPr>
      <w:r>
        <w:rPr>
          <w:lang w:val="en-US"/>
        </w:rPr>
        <w:lastRenderedPageBreak/>
        <w:t>Conclusion</w:t>
      </w:r>
    </w:p>
    <w:p w14:paraId="6D28012C" w14:textId="1F69507D"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345C740A" w14:textId="77777777" w:rsidR="00852F2B" w:rsidRPr="00871569" w:rsidRDefault="00852F2B" w:rsidP="00852F2B">
      <w:pPr>
        <w:rPr>
          <w:b/>
          <w:bCs/>
        </w:rPr>
      </w:pPr>
      <w:r w:rsidRPr="00871569">
        <w:rPr>
          <w:rFonts w:hint="eastAsia"/>
          <w:b/>
          <w:bCs/>
        </w:rPr>
        <w:t>Proposal 1: We support the following way to enable non-codebook-based 3Tx transmission:</w:t>
      </w:r>
    </w:p>
    <w:p w14:paraId="59DC8603" w14:textId="77777777" w:rsidR="00852F2B" w:rsidRPr="00871569" w:rsidRDefault="00852F2B" w:rsidP="00852F2B">
      <w:pPr>
        <w:pStyle w:val="aff5"/>
        <w:numPr>
          <w:ilvl w:val="0"/>
          <w:numId w:val="48"/>
        </w:numPr>
        <w:ind w:leftChars="0"/>
        <w:rPr>
          <w:b/>
          <w:bCs/>
        </w:rPr>
      </w:pPr>
      <w:r w:rsidRPr="00871569">
        <w:rPr>
          <w:rFonts w:hint="eastAsia"/>
          <w:b/>
          <w:bCs/>
        </w:rPr>
        <w:t>New RRC parameter is introduced; or</w:t>
      </w:r>
    </w:p>
    <w:p w14:paraId="7C0E0DE2" w14:textId="77777777" w:rsidR="00852F2B" w:rsidRPr="00871569" w:rsidRDefault="00852F2B" w:rsidP="00852F2B">
      <w:pPr>
        <w:pStyle w:val="aff5"/>
        <w:numPr>
          <w:ilvl w:val="0"/>
          <w:numId w:val="48"/>
        </w:numPr>
        <w:ind w:leftChars="0"/>
        <w:rPr>
          <w:b/>
          <w:bCs/>
        </w:rPr>
      </w:pPr>
      <w:r w:rsidRPr="00871569">
        <w:rPr>
          <w:rFonts w:hint="eastAsia"/>
          <w:b/>
          <w:bCs/>
        </w:rPr>
        <w:t>A</w:t>
      </w:r>
      <w:r>
        <w:rPr>
          <w:rFonts w:hint="eastAsia"/>
          <w:b/>
          <w:bCs/>
        </w:rPr>
        <w:t>nother</w:t>
      </w:r>
      <w:r w:rsidRPr="00871569">
        <w:rPr>
          <w:rFonts w:hint="eastAsia"/>
          <w:b/>
          <w:bCs/>
        </w:rPr>
        <w:t xml:space="preserve"> description for non-codebook is </w:t>
      </w:r>
      <w:r>
        <w:rPr>
          <w:rFonts w:hint="eastAsia"/>
          <w:b/>
          <w:bCs/>
        </w:rPr>
        <w:t>added to</w:t>
      </w:r>
      <w:r w:rsidRPr="00871569">
        <w:rPr>
          <w:rFonts w:hint="eastAsia"/>
          <w:b/>
          <w:bCs/>
        </w:rPr>
        <w:t xml:space="preserve"> 4portSRS_3TX.</w:t>
      </w:r>
    </w:p>
    <w:p w14:paraId="6B15356B" w14:textId="51AFC745" w:rsidR="00852F2B" w:rsidRPr="00852F2B" w:rsidRDefault="00852F2B" w:rsidP="00A70876">
      <w:pPr>
        <w:spacing w:line="276" w:lineRule="auto"/>
        <w:rPr>
          <w:rFonts w:hint="eastAsia"/>
        </w:rPr>
      </w:pPr>
      <w:r w:rsidRPr="00350217">
        <w:rPr>
          <w:rFonts w:hint="eastAsia"/>
          <w:b/>
          <w:bCs/>
        </w:rPr>
        <w:t>Proposal 2: We do NOT support that UE splits a linear SRS power equally across multiple combs.</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BD09FD5" w14:textId="77777777" w:rsidR="002A4EC4"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RP-234007, New WID: NR MIMO Phase 5, Dec., 2023.</w:t>
      </w:r>
    </w:p>
    <w:p w14:paraId="6D909AF3" w14:textId="77777777" w:rsidR="002A4EC4" w:rsidRPr="00555770"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RP-242394, WID revision: NR MIMO Phase 5, Sep., 2024.</w:t>
      </w:r>
    </w:p>
    <w:p w14:paraId="7296211F" w14:textId="2B57A138" w:rsidR="00EB005B" w:rsidRPr="002A4EC4" w:rsidRDefault="00EB005B" w:rsidP="002A4EC4">
      <w:pPr>
        <w:pStyle w:val="textintend2"/>
        <w:widowControl w:val="0"/>
        <w:numPr>
          <w:ilvl w:val="0"/>
          <w:numId w:val="0"/>
        </w:numPr>
        <w:spacing w:after="0"/>
        <w:ind w:left="420" w:hanging="420"/>
        <w:rPr>
          <w:szCs w:val="24"/>
          <w:lang w:eastAsia="ja-JP"/>
        </w:rPr>
      </w:pPr>
    </w:p>
    <w:sectPr w:rsidR="00EB005B" w:rsidRPr="002A4EC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27A59" w14:textId="77777777" w:rsidR="00296F45" w:rsidRDefault="00296F45">
      <w:r>
        <w:separator/>
      </w:r>
    </w:p>
  </w:endnote>
  <w:endnote w:type="continuationSeparator" w:id="0">
    <w:p w14:paraId="0B93AAD8" w14:textId="77777777" w:rsidR="00296F45" w:rsidRDefault="00296F45">
      <w:r>
        <w:continuationSeparator/>
      </w:r>
    </w:p>
  </w:endnote>
  <w:endnote w:type="continuationNotice" w:id="1">
    <w:p w14:paraId="1F9F3906" w14:textId="77777777" w:rsidR="00296F45" w:rsidRDefault="00296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3FDB7" w14:textId="77777777" w:rsidR="00296F45" w:rsidRDefault="00296F45">
      <w:r>
        <w:separator/>
      </w:r>
    </w:p>
  </w:footnote>
  <w:footnote w:type="continuationSeparator" w:id="0">
    <w:p w14:paraId="581C1D0F" w14:textId="77777777" w:rsidR="00296F45" w:rsidRDefault="00296F45">
      <w:r>
        <w:continuationSeparator/>
      </w:r>
    </w:p>
  </w:footnote>
  <w:footnote w:type="continuationNotice" w:id="1">
    <w:p w14:paraId="429D01D6" w14:textId="77777777" w:rsidR="00296F45" w:rsidRDefault="00296F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45A2A"/>
    <w:multiLevelType w:val="multilevel"/>
    <w:tmpl w:val="01845A2A"/>
    <w:lvl w:ilvl="0">
      <w:start w:val="1"/>
      <w:numFmt w:val="bullet"/>
      <w:lvlText w:val=""/>
      <w:lvlJc w:val="left"/>
      <w:pPr>
        <w:ind w:left="4264" w:hanging="360"/>
      </w:pPr>
      <w:rPr>
        <w:rFonts w:ascii="Symbol" w:hAnsi="Symbol" w:hint="default"/>
      </w:rPr>
    </w:lvl>
    <w:lvl w:ilvl="1">
      <w:start w:val="1"/>
      <w:numFmt w:val="bullet"/>
      <w:lvlText w:val="o"/>
      <w:lvlJc w:val="left"/>
      <w:pPr>
        <w:ind w:left="4984" w:hanging="360"/>
      </w:pPr>
      <w:rPr>
        <w:rFonts w:ascii="Courier New" w:hAnsi="Courier New" w:cs="Courier New" w:hint="default"/>
      </w:rPr>
    </w:lvl>
    <w:lvl w:ilvl="2">
      <w:start w:val="1"/>
      <w:numFmt w:val="bullet"/>
      <w:lvlText w:val=""/>
      <w:lvlJc w:val="left"/>
      <w:pPr>
        <w:ind w:left="5704" w:hanging="360"/>
      </w:pPr>
      <w:rPr>
        <w:rFonts w:ascii="Wingdings" w:hAnsi="Wingdings" w:hint="default"/>
      </w:rPr>
    </w:lvl>
    <w:lvl w:ilvl="3">
      <w:start w:val="1"/>
      <w:numFmt w:val="bullet"/>
      <w:lvlText w:val=""/>
      <w:lvlJc w:val="left"/>
      <w:pPr>
        <w:ind w:left="6424" w:hanging="360"/>
      </w:pPr>
      <w:rPr>
        <w:rFonts w:ascii="Symbol" w:hAnsi="Symbol" w:hint="default"/>
      </w:rPr>
    </w:lvl>
    <w:lvl w:ilvl="4">
      <w:start w:val="1"/>
      <w:numFmt w:val="bullet"/>
      <w:lvlText w:val="o"/>
      <w:lvlJc w:val="left"/>
      <w:pPr>
        <w:ind w:left="7144" w:hanging="360"/>
      </w:pPr>
      <w:rPr>
        <w:rFonts w:ascii="Courier New" w:hAnsi="Courier New" w:cs="Courier New" w:hint="default"/>
      </w:rPr>
    </w:lvl>
    <w:lvl w:ilvl="5">
      <w:start w:val="1"/>
      <w:numFmt w:val="bullet"/>
      <w:lvlText w:val=""/>
      <w:lvlJc w:val="left"/>
      <w:pPr>
        <w:ind w:left="7864" w:hanging="360"/>
      </w:pPr>
      <w:rPr>
        <w:rFonts w:ascii="Wingdings" w:hAnsi="Wingdings" w:hint="default"/>
      </w:rPr>
    </w:lvl>
    <w:lvl w:ilvl="6">
      <w:start w:val="1"/>
      <w:numFmt w:val="bullet"/>
      <w:lvlText w:val=""/>
      <w:lvlJc w:val="left"/>
      <w:pPr>
        <w:ind w:left="8584" w:hanging="360"/>
      </w:pPr>
      <w:rPr>
        <w:rFonts w:ascii="Symbol" w:hAnsi="Symbol" w:hint="default"/>
      </w:rPr>
    </w:lvl>
    <w:lvl w:ilvl="7">
      <w:start w:val="1"/>
      <w:numFmt w:val="bullet"/>
      <w:lvlText w:val="o"/>
      <w:lvlJc w:val="left"/>
      <w:pPr>
        <w:ind w:left="9304" w:hanging="360"/>
      </w:pPr>
      <w:rPr>
        <w:rFonts w:ascii="Courier New" w:hAnsi="Courier New" w:cs="Courier New" w:hint="default"/>
      </w:rPr>
    </w:lvl>
    <w:lvl w:ilvl="8">
      <w:start w:val="1"/>
      <w:numFmt w:val="bullet"/>
      <w:lvlText w:val=""/>
      <w:lvlJc w:val="left"/>
      <w:pPr>
        <w:ind w:left="1002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ED5976"/>
    <w:multiLevelType w:val="hybridMultilevel"/>
    <w:tmpl w:val="01D49B1C"/>
    <w:lvl w:ilvl="0" w:tplc="DF70746E">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A64B95"/>
    <w:multiLevelType w:val="hybridMultilevel"/>
    <w:tmpl w:val="9044E348"/>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hint="default"/>
      </w:rPr>
    </w:lvl>
    <w:lvl w:ilvl="2" w:tplc="BF26C8F8" w:tentative="1">
      <w:start w:val="1"/>
      <w:numFmt w:val="bullet"/>
      <w:lvlText w:val=""/>
      <w:lvlJc w:val="left"/>
      <w:pPr>
        <w:tabs>
          <w:tab w:val="num" w:pos="2160"/>
        </w:tabs>
        <w:ind w:left="2160" w:hanging="360"/>
      </w:pPr>
      <w:rPr>
        <w:rFonts w:ascii="Symbol" w:hAnsi="Symbol" w:hint="default"/>
      </w:rPr>
    </w:lvl>
    <w:lvl w:ilvl="3" w:tplc="65B08830" w:tentative="1">
      <w:start w:val="1"/>
      <w:numFmt w:val="bullet"/>
      <w:lvlText w:val=""/>
      <w:lvlJc w:val="left"/>
      <w:pPr>
        <w:tabs>
          <w:tab w:val="num" w:pos="2880"/>
        </w:tabs>
        <w:ind w:left="2880" w:hanging="360"/>
      </w:pPr>
      <w:rPr>
        <w:rFonts w:ascii="Symbol" w:hAnsi="Symbol" w:hint="default"/>
      </w:rPr>
    </w:lvl>
    <w:lvl w:ilvl="4" w:tplc="0BDC7470" w:tentative="1">
      <w:start w:val="1"/>
      <w:numFmt w:val="bullet"/>
      <w:lvlText w:val=""/>
      <w:lvlJc w:val="left"/>
      <w:pPr>
        <w:tabs>
          <w:tab w:val="num" w:pos="3600"/>
        </w:tabs>
        <w:ind w:left="3600" w:hanging="360"/>
      </w:pPr>
      <w:rPr>
        <w:rFonts w:ascii="Symbol" w:hAnsi="Symbol" w:hint="default"/>
      </w:rPr>
    </w:lvl>
    <w:lvl w:ilvl="5" w:tplc="6D502190" w:tentative="1">
      <w:start w:val="1"/>
      <w:numFmt w:val="bullet"/>
      <w:lvlText w:val=""/>
      <w:lvlJc w:val="left"/>
      <w:pPr>
        <w:tabs>
          <w:tab w:val="num" w:pos="4320"/>
        </w:tabs>
        <w:ind w:left="4320" w:hanging="360"/>
      </w:pPr>
      <w:rPr>
        <w:rFonts w:ascii="Symbol" w:hAnsi="Symbol" w:hint="default"/>
      </w:rPr>
    </w:lvl>
    <w:lvl w:ilvl="6" w:tplc="F168AA74" w:tentative="1">
      <w:start w:val="1"/>
      <w:numFmt w:val="bullet"/>
      <w:lvlText w:val=""/>
      <w:lvlJc w:val="left"/>
      <w:pPr>
        <w:tabs>
          <w:tab w:val="num" w:pos="5040"/>
        </w:tabs>
        <w:ind w:left="5040" w:hanging="360"/>
      </w:pPr>
      <w:rPr>
        <w:rFonts w:ascii="Symbol" w:hAnsi="Symbol" w:hint="default"/>
      </w:rPr>
    </w:lvl>
    <w:lvl w:ilvl="7" w:tplc="C7CA15A2" w:tentative="1">
      <w:start w:val="1"/>
      <w:numFmt w:val="bullet"/>
      <w:lvlText w:val=""/>
      <w:lvlJc w:val="left"/>
      <w:pPr>
        <w:tabs>
          <w:tab w:val="num" w:pos="5760"/>
        </w:tabs>
        <w:ind w:left="5760" w:hanging="360"/>
      </w:pPr>
      <w:rPr>
        <w:rFonts w:ascii="Symbol" w:hAnsi="Symbol" w:hint="default"/>
      </w:rPr>
    </w:lvl>
    <w:lvl w:ilvl="8" w:tplc="3EA24B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43CF5"/>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1CA5586"/>
    <w:multiLevelType w:val="hybridMultilevel"/>
    <w:tmpl w:val="FB6855E0"/>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F171E9"/>
    <w:multiLevelType w:val="hybridMultilevel"/>
    <w:tmpl w:val="93CEDD26"/>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8055ED0"/>
    <w:multiLevelType w:val="hybridMultilevel"/>
    <w:tmpl w:val="C6DA2422"/>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multilevel"/>
    <w:tmpl w:val="468519EC"/>
    <w:lvl w:ilvl="0">
      <w:numFmt w:val="bullet"/>
      <w:lvlText w:val="-"/>
      <w:lvlJc w:val="left"/>
      <w:pPr>
        <w:ind w:left="2344"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F693677"/>
    <w:multiLevelType w:val="hybridMultilevel"/>
    <w:tmpl w:val="F40AA55C"/>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1"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2"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AF3F75"/>
    <w:multiLevelType w:val="hybridMultilevel"/>
    <w:tmpl w:val="F81CCF3E"/>
    <w:lvl w:ilvl="0" w:tplc="970C20D6">
      <w:start w:val="2"/>
      <w:numFmt w:val="bullet"/>
      <w:lvlText w:val="-"/>
      <w:lvlJc w:val="left"/>
      <w:pPr>
        <w:ind w:left="360" w:hanging="360"/>
      </w:pPr>
      <w:rPr>
        <w:rFonts w:ascii="Times New Roman" w:eastAsia="ＭＳ ゴシック" w:hAnsi="Times New Roman" w:cs="Times New Roman" w:hint="default"/>
      </w:rPr>
    </w:lvl>
    <w:lvl w:ilvl="1" w:tplc="11CE490C">
      <w:numFmt w:val="bullet"/>
      <w:lvlText w:val="-"/>
      <w:lvlJc w:val="left"/>
      <w:pPr>
        <w:ind w:left="840" w:hanging="4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9452DCA"/>
    <w:multiLevelType w:val="hybridMultilevel"/>
    <w:tmpl w:val="8F58C9CE"/>
    <w:lvl w:ilvl="0" w:tplc="B5D43CD2">
      <w:start w:val="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1041702">
    <w:abstractNumId w:val="37"/>
  </w:num>
  <w:num w:numId="2" w16cid:durableId="875967151">
    <w:abstractNumId w:val="7"/>
  </w:num>
  <w:num w:numId="3" w16cid:durableId="2017920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632100">
    <w:abstractNumId w:val="39"/>
  </w:num>
  <w:num w:numId="5" w16cid:durableId="1412576990">
    <w:abstractNumId w:val="24"/>
  </w:num>
  <w:num w:numId="6" w16cid:durableId="2008051329">
    <w:abstractNumId w:val="25"/>
  </w:num>
  <w:num w:numId="7" w16cid:durableId="448858778">
    <w:abstractNumId w:val="22"/>
  </w:num>
  <w:num w:numId="8" w16cid:durableId="2086026849">
    <w:abstractNumId w:val="5"/>
  </w:num>
  <w:num w:numId="9" w16cid:durableId="2042898334">
    <w:abstractNumId w:val="43"/>
  </w:num>
  <w:num w:numId="10" w16cid:durableId="395012961">
    <w:abstractNumId w:val="20"/>
  </w:num>
  <w:num w:numId="11" w16cid:durableId="37094377">
    <w:abstractNumId w:val="2"/>
  </w:num>
  <w:num w:numId="12" w16cid:durableId="5935607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7865918">
    <w:abstractNumId w:val="38"/>
  </w:num>
  <w:num w:numId="14" w16cid:durableId="627858674">
    <w:abstractNumId w:val="11"/>
  </w:num>
  <w:num w:numId="15" w16cid:durableId="1799716853">
    <w:abstractNumId w:val="4"/>
  </w:num>
  <w:num w:numId="16" w16cid:durableId="641160289">
    <w:abstractNumId w:val="8"/>
  </w:num>
  <w:num w:numId="17" w16cid:durableId="742802627">
    <w:abstractNumId w:val="42"/>
  </w:num>
  <w:num w:numId="18" w16cid:durableId="251815206">
    <w:abstractNumId w:val="32"/>
  </w:num>
  <w:num w:numId="19" w16cid:durableId="1867911798">
    <w:abstractNumId w:val="28"/>
  </w:num>
  <w:num w:numId="20" w16cid:durableId="923419212">
    <w:abstractNumId w:val="30"/>
  </w:num>
  <w:num w:numId="21" w16cid:durableId="1952129020">
    <w:abstractNumId w:val="10"/>
  </w:num>
  <w:num w:numId="22" w16cid:durableId="20672932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4017209">
    <w:abstractNumId w:val="12"/>
  </w:num>
  <w:num w:numId="24" w16cid:durableId="1065372729">
    <w:abstractNumId w:val="35"/>
  </w:num>
  <w:num w:numId="25" w16cid:durableId="680280131">
    <w:abstractNumId w:val="34"/>
  </w:num>
  <w:num w:numId="26" w16cid:durableId="29956608">
    <w:abstractNumId w:val="6"/>
  </w:num>
  <w:num w:numId="27" w16cid:durableId="490365108">
    <w:abstractNumId w:val="16"/>
  </w:num>
  <w:num w:numId="28" w16cid:durableId="1705205316">
    <w:abstractNumId w:val="36"/>
  </w:num>
  <w:num w:numId="29" w16cid:durableId="1874876852">
    <w:abstractNumId w:val="31"/>
  </w:num>
  <w:num w:numId="30" w16cid:durableId="1526864558">
    <w:abstractNumId w:val="1"/>
  </w:num>
  <w:num w:numId="31" w16cid:durableId="2072999212">
    <w:abstractNumId w:val="29"/>
  </w:num>
  <w:num w:numId="32" w16cid:durableId="1731076836">
    <w:abstractNumId w:val="27"/>
  </w:num>
  <w:num w:numId="33" w16cid:durableId="461192707">
    <w:abstractNumId w:val="17"/>
  </w:num>
  <w:num w:numId="34" w16cid:durableId="2021856400">
    <w:abstractNumId w:val="26"/>
  </w:num>
  <w:num w:numId="35" w16cid:durableId="196242156">
    <w:abstractNumId w:val="23"/>
  </w:num>
  <w:num w:numId="36" w16cid:durableId="1479611994">
    <w:abstractNumId w:val="18"/>
  </w:num>
  <w:num w:numId="37" w16cid:durableId="1827816924">
    <w:abstractNumId w:val="19"/>
  </w:num>
  <w:num w:numId="38" w16cid:durableId="642858453">
    <w:abstractNumId w:val="9"/>
  </w:num>
  <w:num w:numId="39" w16cid:durableId="2037343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2121994810">
    <w:abstractNumId w:val="45"/>
  </w:num>
  <w:num w:numId="41" w16cid:durableId="1024212934">
    <w:abstractNumId w:val="3"/>
  </w:num>
  <w:num w:numId="42" w16cid:durableId="1614708402">
    <w:abstractNumId w:val="40"/>
  </w:num>
  <w:num w:numId="43" w16cid:durableId="1798527709">
    <w:abstractNumId w:val="41"/>
  </w:num>
  <w:num w:numId="44" w16cid:durableId="431516299">
    <w:abstractNumId w:val="21"/>
  </w:num>
  <w:num w:numId="45" w16cid:durableId="2049526403">
    <w:abstractNumId w:val="15"/>
  </w:num>
  <w:num w:numId="46" w16cid:durableId="2114863749">
    <w:abstractNumId w:val="14"/>
  </w:num>
  <w:num w:numId="47" w16cid:durableId="516772891">
    <w:abstractNumId w:val="44"/>
  </w:num>
  <w:num w:numId="48" w16cid:durableId="1654598132">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21A"/>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40"/>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41"/>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190B5-7312-4C0F-A962-4CBD256D3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591</Words>
  <Characters>3374</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12</cp:revision>
  <cp:lastPrinted>2019-03-18T06:48:00Z</cp:lastPrinted>
  <dcterms:created xsi:type="dcterms:W3CDTF">2025-03-28T00:59:00Z</dcterms:created>
  <dcterms:modified xsi:type="dcterms:W3CDTF">2025-05-09T00:40:00Z</dcterms:modified>
</cp:coreProperties>
</file>