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0D7B4">
      <w:pPr>
        <w:spacing w:after="120"/>
        <w:rPr>
          <w:rFonts w:hint="default" w:ascii="Arial" w:hAnsi="Arial" w:cs="Arial"/>
          <w:b/>
          <w:bCs/>
          <w:sz w:val="22"/>
          <w:szCs w:val="22"/>
          <w:lang w:val="en-US" w:eastAsia="ja-JP"/>
        </w:rPr>
      </w:pPr>
      <w:bookmarkStart w:id="0" w:name="_Hlk145670493"/>
      <w:r>
        <w:rPr>
          <w:rFonts w:ascii="Arial" w:hAnsi="Arial" w:cs="Arial"/>
          <w:b/>
          <w:bCs/>
          <w:sz w:val="22"/>
          <w:szCs w:val="22"/>
          <w:lang w:val="en-US" w:eastAsia="ja-JP"/>
        </w:rPr>
        <w:t>3GPP TSG RAN WG1 #12</w:t>
      </w:r>
      <w:r>
        <w:rPr>
          <w:rFonts w:hint="default" w:ascii="Arial" w:hAnsi="Arial" w:cs="Arial"/>
          <w:b/>
          <w:bCs/>
          <w:sz w:val="22"/>
          <w:szCs w:val="22"/>
          <w:lang w:val="en-US" w:eastAsia="ja-JP"/>
        </w:rPr>
        <w:t>1</w:t>
      </w:r>
      <w:r>
        <w:rPr>
          <w:rFonts w:ascii="Arial" w:hAnsi="Arial" w:cs="Arial"/>
          <w:b/>
          <w:bCs/>
          <w:sz w:val="22"/>
          <w:szCs w:val="22"/>
          <w:lang w:val="en-US" w:eastAsia="ja-JP"/>
        </w:rPr>
        <w:tab/>
      </w:r>
      <w:r>
        <w:rPr>
          <w:rFonts w:ascii="Arial" w:hAnsi="Arial" w:cs="Arial"/>
          <w:b/>
          <w:bCs/>
          <w:sz w:val="22"/>
          <w:szCs w:val="22"/>
          <w:lang w:val="en-US" w:eastAsia="ja-JP"/>
        </w:rPr>
        <w:tab/>
      </w:r>
      <w:r>
        <w:rPr>
          <w:rFonts w:ascii="Arial" w:hAnsi="Arial" w:cs="Arial"/>
          <w:b/>
          <w:bCs/>
          <w:sz w:val="22"/>
          <w:szCs w:val="22"/>
          <w:lang w:val="en-US" w:eastAsia="ja-JP"/>
        </w:rPr>
        <w:tab/>
      </w:r>
      <w:r>
        <w:rPr>
          <w:rFonts w:ascii="Arial" w:hAnsi="Arial" w:cs="Arial"/>
          <w:b/>
          <w:bCs/>
          <w:sz w:val="22"/>
          <w:szCs w:val="22"/>
          <w:lang w:val="en-US" w:eastAsia="ja-JP"/>
        </w:rPr>
        <w:tab/>
      </w:r>
      <w:r>
        <w:rPr>
          <w:rFonts w:ascii="Arial" w:hAnsi="Arial" w:cs="Arial"/>
          <w:b/>
          <w:bCs/>
          <w:sz w:val="22"/>
          <w:szCs w:val="22"/>
          <w:lang w:val="en-US" w:eastAsia="ja-JP"/>
        </w:rPr>
        <w:tab/>
      </w:r>
      <w:r>
        <w:rPr>
          <w:rFonts w:ascii="Arial" w:hAnsi="Arial" w:cs="Arial"/>
          <w:b/>
          <w:bCs/>
          <w:sz w:val="22"/>
          <w:szCs w:val="22"/>
          <w:lang w:val="en-US" w:eastAsia="ja-JP"/>
        </w:rPr>
        <w:tab/>
      </w:r>
      <w:r>
        <w:rPr>
          <w:rFonts w:ascii="Arial" w:hAnsi="Arial" w:cs="Arial"/>
          <w:b/>
          <w:bCs/>
          <w:sz w:val="22"/>
          <w:szCs w:val="22"/>
          <w:lang w:val="en-US" w:eastAsia="ja-JP"/>
        </w:rPr>
        <w:tab/>
      </w:r>
      <w:r>
        <w:rPr>
          <w:rFonts w:ascii="Arial" w:hAnsi="Arial" w:cs="Arial"/>
          <w:b/>
          <w:bCs/>
          <w:sz w:val="22"/>
          <w:szCs w:val="22"/>
          <w:lang w:val="en-US" w:eastAsia="ja-JP"/>
        </w:rPr>
        <w:t xml:space="preserve"> R1-</w:t>
      </w:r>
      <w:r>
        <w:rPr>
          <w:rFonts w:hint="default" w:ascii="Arial" w:hAnsi="Arial" w:cs="Arial"/>
          <w:b/>
          <w:bCs/>
          <w:sz w:val="22"/>
          <w:szCs w:val="22"/>
          <w:lang w:val="en-US" w:eastAsia="ja-JP"/>
        </w:rPr>
        <w:t>2504327</w:t>
      </w:r>
    </w:p>
    <w:bookmarkEnd w:id="0"/>
    <w:p w14:paraId="612175CA">
      <w:pPr>
        <w:spacing w:after="120"/>
        <w:rPr>
          <w:rFonts w:hint="default" w:ascii="Arial" w:hAnsi="Arial" w:eastAsia="MS Mincho" w:cs="Arial"/>
          <w:b/>
          <w:bCs/>
          <w:sz w:val="22"/>
          <w:szCs w:val="22"/>
          <w:lang w:val="en-US" w:eastAsia="ja-JP"/>
        </w:rPr>
      </w:pPr>
      <w:r>
        <w:rPr>
          <w:rFonts w:hint="default" w:ascii="Arial" w:hAnsi="Arial" w:eastAsia="MS Mincho" w:cs="Arial"/>
          <w:b/>
          <w:bCs/>
          <w:sz w:val="22"/>
          <w:szCs w:val="22"/>
          <w:lang w:val="en-US" w:eastAsia="ja-JP"/>
        </w:rPr>
        <w:t>St Julian’s, Malta, May 19th – 23th, 2025</w:t>
      </w:r>
    </w:p>
    <w:p w14:paraId="627E7099">
      <w:pPr>
        <w:tabs>
          <w:tab w:val="left" w:pos="1985"/>
          <w:tab w:val="left" w:pos="2835"/>
          <w:tab w:val="right" w:pos="9072"/>
          <w:tab w:val="right" w:pos="10206"/>
        </w:tabs>
        <w:spacing w:after="120"/>
        <w:rPr>
          <w:rFonts w:ascii="Arial" w:hAnsi="Arial"/>
          <w:b/>
          <w:sz w:val="22"/>
          <w:szCs w:val="22"/>
          <w:lang w:val="en-US"/>
        </w:rPr>
      </w:pPr>
    </w:p>
    <w:p w14:paraId="7469AE13">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9.5.3</w:t>
      </w:r>
    </w:p>
    <w:p w14:paraId="1548170D">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09A919C7">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1" w:name="Title"/>
      <w:bookmarkEnd w:id="1"/>
      <w:r>
        <w:rPr>
          <w:rFonts w:ascii="Arial" w:hAnsi="Arial"/>
          <w:b/>
          <w:sz w:val="22"/>
          <w:szCs w:val="22"/>
        </w:rPr>
        <w:tab/>
      </w:r>
      <w:r>
        <w:rPr>
          <w:rFonts w:ascii="Arial" w:hAnsi="Arial"/>
          <w:b/>
          <w:sz w:val="22"/>
          <w:szCs w:val="22"/>
          <w:lang w:val="en-US"/>
        </w:rPr>
        <w:t>On adaptation of common signal/channel for NES enhancements</w:t>
      </w:r>
    </w:p>
    <w:p w14:paraId="374EA8C8">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w:t>
      </w:r>
      <w:r>
        <w:rPr>
          <w:rFonts w:ascii="Arial" w:hAnsi="Arial"/>
          <w:b/>
          <w:sz w:val="22"/>
          <w:szCs w:val="22"/>
          <w:lang w:val="en-US"/>
        </w:rPr>
        <w:t>iscussion/Decision</w:t>
      </w:r>
    </w:p>
    <w:p w14:paraId="5FADD10D">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2A39DC1B">
      <w:pPr>
        <w:spacing w:after="120"/>
        <w:rPr>
          <w:rFonts w:eastAsia="Times New Roman"/>
          <w:lang w:val="en-US" w:eastAsia="zh-CN"/>
        </w:rPr>
      </w:pPr>
      <w:r>
        <w:rPr>
          <w:rFonts w:eastAsia="Times New Roman"/>
          <w:lang w:val="en-US" w:eastAsia="zh-CN"/>
        </w:rPr>
        <w:t xml:space="preserve">In RP-242354 [1], the Release 19 work item on Enhancements of network energy savings for NR has been updated, while the description on the adaptation of common signal/channel objective remains: </w:t>
      </w:r>
    </w:p>
    <w:p w14:paraId="08BDBF5E">
      <w:pPr>
        <w:numPr>
          <w:ilvl w:val="0"/>
          <w:numId w:val="4"/>
        </w:numPr>
        <w:snapToGrid w:val="0"/>
        <w:spacing w:after="0" w:afterLines="0"/>
        <w:rPr>
          <w:lang w:eastAsia="zh-CN"/>
        </w:rPr>
      </w:pPr>
      <w:r>
        <w:rPr>
          <w:lang w:eastAsia="zh-CN"/>
        </w:rPr>
        <w:t>Specify a</w:t>
      </w:r>
      <w:r>
        <w:t xml:space="preserve">daptation of common signal/channel transmissions. </w:t>
      </w:r>
      <w:r>
        <w:rPr>
          <w:lang w:eastAsia="zh-CN"/>
        </w:rPr>
        <w:t>[RAN1/2/3/4]</w:t>
      </w:r>
    </w:p>
    <w:p w14:paraId="72633E87">
      <w:pPr>
        <w:numPr>
          <w:ilvl w:val="1"/>
          <w:numId w:val="5"/>
        </w:numPr>
        <w:snapToGrid w:val="0"/>
        <w:spacing w:after="0" w:afterLines="0"/>
        <w:ind w:left="1049" w:hanging="329"/>
        <w:rPr>
          <w:bCs/>
          <w:lang w:val="en-US" w:eastAsia="zh-CN"/>
        </w:rPr>
      </w:pPr>
      <w:r>
        <w:rPr>
          <w:bCs/>
          <w:lang w:val="en-US" w:eastAsia="zh-CN"/>
        </w:rPr>
        <w:t xml:space="preserve">Adaptation of SSB in time domain, e.g. adapting periodicity </w:t>
      </w:r>
    </w:p>
    <w:p w14:paraId="6462C8E3">
      <w:pPr>
        <w:numPr>
          <w:ilvl w:val="1"/>
          <w:numId w:val="5"/>
        </w:numPr>
        <w:snapToGrid w:val="0"/>
        <w:spacing w:after="0" w:afterLines="0"/>
        <w:ind w:left="1049" w:hanging="329"/>
        <w:rPr>
          <w:lang w:eastAsia="zh-CN"/>
        </w:rPr>
      </w:pPr>
      <w:r>
        <w:t>Adaptation of PRACH in time domain</w:t>
      </w:r>
    </w:p>
    <w:p w14:paraId="3CC19271">
      <w:pPr>
        <w:numPr>
          <w:ilvl w:val="1"/>
          <w:numId w:val="5"/>
        </w:numPr>
        <w:snapToGrid w:val="0"/>
        <w:spacing w:after="0" w:afterLines="0"/>
        <w:ind w:left="1049" w:hanging="329"/>
        <w:rPr>
          <w:lang w:eastAsia="zh-CN"/>
        </w:rPr>
      </w:pPr>
      <w:r>
        <w:rPr>
          <w:lang w:eastAsia="zh-CN"/>
        </w:rPr>
        <w:t>Adaptation of paging occasions including confining the paging occasions in the time domain</w:t>
      </w:r>
    </w:p>
    <w:p w14:paraId="691BDB0E">
      <w:pPr>
        <w:numPr>
          <w:ilvl w:val="2"/>
          <w:numId w:val="5"/>
        </w:numPr>
        <w:snapToGrid w:val="0"/>
        <w:spacing w:after="0" w:afterLines="0"/>
        <w:rPr>
          <w:lang w:eastAsia="zh-CN"/>
        </w:rPr>
      </w:pPr>
      <w:r>
        <w:rPr>
          <w:lang w:eastAsia="zh-CN"/>
        </w:rPr>
        <w:t>Note: there shall be no paging latency increase</w:t>
      </w:r>
    </w:p>
    <w:p w14:paraId="6CAF9867">
      <w:pPr>
        <w:numPr>
          <w:ilvl w:val="1"/>
          <w:numId w:val="5"/>
        </w:numPr>
        <w:spacing w:after="120"/>
        <w:ind w:left="1051" w:hanging="331"/>
        <w:rPr>
          <w:lang w:eastAsia="zh-CN"/>
        </w:rPr>
      </w:pPr>
      <w:r>
        <w:rPr>
          <w:lang w:eastAsia="zh-CN"/>
        </w:rPr>
        <w:t xml:space="preserve">Note: there shall be no negative impact to legacy UEs, unless significant benefits are shown </w:t>
      </w:r>
    </w:p>
    <w:p w14:paraId="27768BF9">
      <w:pPr>
        <w:spacing w:after="120"/>
        <w:rPr>
          <w:rFonts w:eastAsia="Times New Roman"/>
          <w:lang w:val="en-US" w:eastAsia="zh-CN"/>
        </w:rPr>
      </w:pPr>
      <w:r>
        <w:rPr>
          <w:rFonts w:eastAsia="Times New Roman"/>
          <w:lang w:val="en-US" w:eastAsia="zh-CN"/>
        </w:rPr>
        <w:t xml:space="preserve">In this contribution, we provide further details on how these common signals/channels should be adapted and the corresponding impacts to UE. </w:t>
      </w:r>
    </w:p>
    <w:p w14:paraId="09E4A029">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SSB adaptation</w:t>
      </w:r>
      <w:r>
        <w:rPr>
          <w:rFonts w:eastAsia="Malgun Gothic"/>
          <w:sz w:val="36"/>
          <w:szCs w:val="36"/>
          <w:lang w:val="en-US" w:eastAsia="zh-CN"/>
        </w:rPr>
        <w:tab/>
      </w:r>
    </w:p>
    <w:p w14:paraId="2ACC249A">
      <w:pPr>
        <w:rPr>
          <w:rFonts w:hint="default"/>
          <w:lang w:val="en-US" w:eastAsia="zh-CN"/>
        </w:rPr>
      </w:pPr>
      <w:r>
        <w:rPr>
          <w:rFonts w:hint="default"/>
          <w:iCs w:val="0"/>
          <w:lang w:val="en-US" w:eastAsia="sv-SE"/>
        </w:rPr>
        <w:t>In last RAN1 meeting, the following agreements was made to determine the time where UE assumes SSB transmission after adaptation.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21BD9FB1">
        <w:tc>
          <w:tcPr>
            <w:tcW w:w="9657" w:type="dxa"/>
          </w:tcPr>
          <w:p w14:paraId="57E11E1F">
            <w:pPr>
              <w:keepNext w:val="0"/>
              <w:keepLines w:val="0"/>
              <w:pageBreakBefore w:val="0"/>
              <w:widowControl/>
              <w:tabs>
                <w:tab w:val="left" w:pos="1440"/>
              </w:tabs>
              <w:kinsoku/>
              <w:wordWrap/>
              <w:overflowPunct/>
              <w:topLinePunct w:val="0"/>
              <w:autoSpaceDE w:val="0"/>
              <w:autoSpaceDN w:val="0"/>
              <w:bidi w:val="0"/>
              <w:adjustRightInd/>
              <w:snapToGrid/>
              <w:spacing w:before="137" w:beforeLines="50" w:after="0" w:afterLines="0"/>
              <w:ind w:left="0" w:firstLine="0"/>
              <w:textAlignment w:val="auto"/>
              <w:rPr>
                <w:rFonts w:hint="default" w:cs="Times New Roman"/>
                <w:b/>
                <w:bCs/>
                <w:highlight w:val="darkYellow"/>
                <w:lang w:val="en-US" w:eastAsia="zh-CN"/>
              </w:rPr>
            </w:pPr>
            <w:r>
              <w:rPr>
                <w:rFonts w:cs="Times New Roman"/>
                <w:b/>
                <w:bCs/>
                <w:highlight w:val="darkYellow"/>
                <w:lang w:eastAsia="zh-CN"/>
              </w:rPr>
              <w:t>Working Assumption</w:t>
            </w:r>
            <w:r>
              <w:rPr>
                <w:rFonts w:hint="default" w:cs="Times New Roman"/>
                <w:b/>
                <w:bCs/>
                <w:highlight w:val="darkYellow"/>
                <w:lang w:val="en-US" w:eastAsia="zh-CN"/>
              </w:rPr>
              <w:t xml:space="preserve"> (RAN1 #120bis)</w:t>
            </w:r>
          </w:p>
          <w:p w14:paraId="6EA222FC">
            <w:pPr>
              <w:keepNext w:val="0"/>
              <w:keepLines w:val="0"/>
              <w:pageBreakBefore w:val="0"/>
              <w:widowControl/>
              <w:tabs>
                <w:tab w:val="left" w:pos="0"/>
              </w:tabs>
              <w:kinsoku/>
              <w:wordWrap/>
              <w:overflowPunct/>
              <w:topLinePunct w:val="0"/>
              <w:autoSpaceDE w:val="0"/>
              <w:autoSpaceDN w:val="0"/>
              <w:bidi w:val="0"/>
              <w:adjustRightInd/>
              <w:snapToGrid/>
              <w:spacing w:after="0" w:afterLines="0"/>
              <w:ind w:left="0" w:leftChars="0" w:firstLine="0" w:firstLineChars="0"/>
              <w:jc w:val="both"/>
              <w:textAlignment w:val="auto"/>
              <w:rPr>
                <w:rFonts w:ascii="Times New Roman" w:hAnsi="Times New Roman" w:cs="Times New Roman"/>
              </w:rPr>
            </w:pPr>
            <w:r>
              <w:rPr>
                <w:rFonts w:ascii="Times New Roman" w:hAnsi="Times New Roman" w:cs="Times New Roman"/>
              </w:rPr>
              <w:t xml:space="preserve">When a UE receives in slot </w:t>
            </w:r>
            <m:oMath>
              <m:r>
                <m:rPr>
                  <m:sty m:val="p"/>
                </m:rPr>
                <w:rPr>
                  <w:rFonts w:ascii="Cambria Math" w:hAnsi="Cambria Math"/>
                </w:rPr>
                <m:t>m</m:t>
              </m:r>
            </m:oMath>
            <w:r>
              <w:rPr>
                <w:rFonts w:ascii="Times New Roman" w:hAnsi="Times New Roman" w:cs="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w:t>
            </w:r>
            <w:r>
              <w:rPr>
                <w:rFonts w:ascii="Times New Roman" w:hAnsi="Times New Roman" w:eastAsia="Batang" w:cs="Times New Roman"/>
                <w:szCs w:val="24"/>
                <w:lang w:val="en-GB" w:eastAsia="zh-CN" w:bidi="ar-SA"/>
              </w:rPr>
              <w:t xml:space="preserve">containing </w:t>
            </w:r>
            <w:r>
              <w:rPr>
                <w:rFonts w:ascii="Times New Roman" w:hAnsi="Times New Roman" w:cs="Times New Roman"/>
              </w:rPr>
              <w:t xml:space="preserve">the </w:t>
            </w:r>
            <w:r>
              <w:rPr>
                <w:rFonts w:ascii="Times New Roman" w:hAnsi="Times New Roman" w:cs="Times New Roman"/>
                <w:lang w:eastAsia="ko-KR"/>
              </w:rPr>
              <w:t xml:space="preserve">first [actually] transmitted SSB within the first [possible] SSB burst </w:t>
            </w:r>
            <w:r>
              <w:rPr>
                <w:rFonts w:ascii="Times New Roman" w:hAnsi="Times New Roman" w:cs="Times New Roman"/>
              </w:rPr>
              <w:t xml:space="preserve">according to the indicated SSB burst periodicity that is no earlier than the slot </w:t>
            </w:r>
            <m:oMath>
              <m:r>
                <m:rPr>
                  <m:sty m:val="p"/>
                </m:rPr>
                <w:rPr>
                  <w:rFonts w:ascii="Cambria Math" w:hAnsi="Cambria Math"/>
                </w:rPr>
                <m:t>m+d</m:t>
              </m:r>
            </m:oMath>
            <w:r>
              <w:rPr>
                <w:rFonts w:ascii="Times New Roman" w:hAnsi="Times New Roman" w:cs="Times New Roman"/>
              </w:rPr>
              <w:t xml:space="preserve"> of the first serving cell where </w:t>
            </w:r>
            <m:oMath>
              <m:r>
                <m:rPr>
                  <m:sty m:val="p"/>
                </m:rPr>
                <w:rPr>
                  <w:rFonts w:ascii="Cambria Math" w:hAnsi="Cambria Math"/>
                </w:rPr>
                <m:t>d</m:t>
              </m:r>
            </m:oMath>
            <w:r>
              <w:rPr>
                <w:rFonts w:ascii="Times New Roman" w:hAnsi="Times New Roman" w:cs="Times New Roman"/>
              </w:rPr>
              <w:t xml:space="preserve"> is a number of slots for the SCS of the active DL BWP of the first serving cell [in Table 11.5-1 of TS 38.213].</w:t>
            </w:r>
          </w:p>
          <w:p w14:paraId="0E293D73">
            <w:pPr>
              <w:numPr>
                <w:ilvl w:val="0"/>
                <w:numId w:val="6"/>
              </w:numPr>
              <w:tabs>
                <w:tab w:val="left" w:pos="800"/>
              </w:tabs>
              <w:ind w:left="800" w:leftChars="0" w:hanging="440" w:firstLineChars="0"/>
              <w:contextualSpacing/>
              <w:rPr>
                <w:vertAlign w:val="baseline"/>
                <w:lang w:val="en-US"/>
              </w:rPr>
            </w:pPr>
            <w:r>
              <w:rPr>
                <w:rFonts w:ascii="Times New Roman" w:hAnsi="Times New Roman" w:eastAsia="Batang" w:cs="Times New Roman"/>
                <w:szCs w:val="24"/>
                <w:lang w:val="en-US" w:eastAsia="zh-CN" w:bidi="ar-SA"/>
              </w:rPr>
              <w:t>FFS: how to determine the first [possible] SSB burst</w:t>
            </w:r>
          </w:p>
        </w:tc>
      </w:tr>
    </w:tbl>
    <w:p w14:paraId="3F8B9B76">
      <w:pPr>
        <w:spacing w:after="120"/>
        <w:rPr>
          <w:rFonts w:hint="default"/>
          <w:lang w:val="en-US"/>
        </w:rPr>
      </w:pPr>
    </w:p>
    <w:p w14:paraId="0D0469AF">
      <w:pPr>
        <w:spacing w:after="120"/>
        <w:rPr>
          <w:lang w:val="en-US"/>
        </w:rPr>
      </w:pPr>
      <w:r>
        <w:rPr>
          <w:rFonts w:hint="default"/>
          <w:lang w:val="en-US"/>
        </w:rPr>
        <w:t>It was discussed during the meeting on how to determine the first [possible] SSB burst after receiving the DCI. Although the time gap is considered in the above working assumption, r</w:t>
      </w:r>
      <w:r>
        <w:rPr>
          <w:lang w:val="en-US"/>
        </w:rPr>
        <w:t>egarding time domain location before and after SSB adaptation, there are still multiple patterns for the larger periodicity value</w:t>
      </w:r>
      <w:r>
        <w:rPr>
          <w:rFonts w:hint="default"/>
          <w:lang w:val="en-US"/>
        </w:rPr>
        <w:t xml:space="preserve"> that can be a subset of the smaller periodicity</w:t>
      </w:r>
      <w:r>
        <w:rPr>
          <w:lang w:val="en-US"/>
        </w:rPr>
        <w:t xml:space="preserve">. </w:t>
      </w:r>
    </w:p>
    <w:p w14:paraId="349C81B6">
      <w:pPr>
        <w:spacing w:after="120"/>
        <w:rPr>
          <w:rFonts w:hint="default"/>
          <w:lang w:val="en-US"/>
        </w:rPr>
      </w:pPr>
      <w:r>
        <w:rPr>
          <w:lang w:val="en-US"/>
        </w:rPr>
        <w:t xml:space="preserve">As illustrated in the following Fig.1, when NW indicates switching from 20ms to </w:t>
      </w:r>
      <w:r>
        <w:rPr>
          <w:rFonts w:hint="default"/>
          <w:lang w:val="en-US"/>
        </w:rPr>
        <w:t>80</w:t>
      </w:r>
      <w:r>
        <w:rPr>
          <w:lang w:val="en-US"/>
        </w:rPr>
        <w:t>ms,</w:t>
      </w:r>
      <w:r>
        <w:rPr>
          <w:rFonts w:hint="default"/>
          <w:lang w:val="en-US"/>
        </w:rPr>
        <w:t xml:space="preserve"> there are four patterns that can satisfy the timeline requirement. It needs to be discussed how UE can identify the actually adapted SSB pattern.</w:t>
      </w:r>
    </w:p>
    <w:p w14:paraId="3D231C9E">
      <w:pPr>
        <w:spacing w:after="120"/>
        <w:jc w:val="center"/>
      </w:pPr>
      <w:r>
        <w:drawing>
          <wp:inline distT="0" distB="0" distL="114300" distR="114300">
            <wp:extent cx="5988685" cy="2510155"/>
            <wp:effectExtent l="0" t="0" r="571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5"/>
                    <a:stretch>
                      <a:fillRect/>
                    </a:stretch>
                  </pic:blipFill>
                  <pic:spPr>
                    <a:xfrm>
                      <a:off x="0" y="0"/>
                      <a:ext cx="5988685" cy="2510155"/>
                    </a:xfrm>
                    <a:prstGeom prst="rect">
                      <a:avLst/>
                    </a:prstGeom>
                    <a:noFill/>
                    <a:ln>
                      <a:noFill/>
                    </a:ln>
                  </pic:spPr>
                </pic:pic>
              </a:graphicData>
            </a:graphic>
          </wp:inline>
        </w:drawing>
      </w:r>
    </w:p>
    <w:p w14:paraId="2CD8FB5F">
      <w:pPr>
        <w:spacing w:after="120"/>
        <w:jc w:val="center"/>
        <w:rPr>
          <w:lang w:val="en-US"/>
        </w:rPr>
      </w:pPr>
      <w:r>
        <w:rPr>
          <w:lang w:val="en-US"/>
        </w:rPr>
        <w:t>Fig. 1 Switching of SSB periodicity results in multiple SSB patterns</w:t>
      </w:r>
    </w:p>
    <w:p w14:paraId="26210429">
      <w:pPr>
        <w:spacing w:after="120"/>
        <w:rPr>
          <w:rFonts w:hint="default"/>
          <w:lang w:val="en-US"/>
        </w:rPr>
      </w:pPr>
    </w:p>
    <w:p w14:paraId="2C4536C0">
      <w:pPr>
        <w:spacing w:after="120"/>
        <w:rPr>
          <w:rFonts w:hint="default"/>
          <w:lang w:val="en-US"/>
        </w:rPr>
      </w:pPr>
      <w:r>
        <w:rPr>
          <w:rFonts w:hint="default"/>
          <w:lang w:val="en-US"/>
        </w:rPr>
        <w:t xml:space="preserve">UE may assume that the SSB can be on any possible half frames such that SSB occasions with larger periodicity are subset of the SSB occasions with shorter periodicity, however, this will lead to UE blind detection of the multiple positions. </w:t>
      </w:r>
    </w:p>
    <w:p w14:paraId="31A97E0E">
      <w:pPr>
        <w:spacing w:after="120"/>
        <w:rPr>
          <w:rFonts w:hint="default"/>
          <w:lang w:val="en-US"/>
        </w:rPr>
      </w:pPr>
      <w:r>
        <w:rPr>
          <w:rFonts w:hint="default"/>
          <w:lang w:val="en-US"/>
        </w:rPr>
        <w:t>On the other hand, UE can assume that the SSB is transmitted on the first possible half frame that is after the time gap after the DCI indication, however, this will lead to restriction for network signaling.</w:t>
      </w:r>
    </w:p>
    <w:p w14:paraId="54167358">
      <w:pPr>
        <w:spacing w:after="120"/>
        <w:rPr>
          <w:rFonts w:hint="default"/>
          <w:lang w:val="en-US"/>
        </w:rPr>
      </w:pPr>
      <w:r>
        <w:rPr>
          <w:rFonts w:hint="default"/>
          <w:lang w:val="en-US"/>
        </w:rPr>
        <w:t xml:space="preserve">To resolve the above issues, we proposed to consider configuration of the offset together with the SSB periodicity so that UE does not need to do blind detection of SSB burst positions and NW can have more signaling flexibility. </w:t>
      </w:r>
    </w:p>
    <w:p w14:paraId="26783DCE">
      <w:pPr>
        <w:spacing w:after="120"/>
        <w:rPr>
          <w:rFonts w:hint="default"/>
          <w:lang w:val="en-US"/>
        </w:rPr>
      </w:pPr>
      <w:r>
        <w:rPr>
          <w:rFonts w:hint="default"/>
          <w:lang w:val="en-US"/>
        </w:rPr>
        <w:t xml:space="preserve">On the other hand, it is also noted that in last RAN 2 meeting, it was agreed that additional SMTC configuration will be configured mapped to each SSB burst periodicity. The intention is to allow UE perform serving cell measurement based on the SMTC associated with the adapted SSB burst periodicity. Therefore, we think the SMTC configuration can also be used to determine the actual SSB burst position.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633C24B7">
        <w:tc>
          <w:tcPr>
            <w:tcW w:w="9657" w:type="dxa"/>
          </w:tcPr>
          <w:p w14:paraId="7B091E6F">
            <w:pPr>
              <w:spacing w:after="120"/>
              <w:rPr>
                <w:rFonts w:hint="default"/>
                <w:vertAlign w:val="baseline"/>
                <w:lang w:val="en-US"/>
              </w:rPr>
            </w:pPr>
            <w:r>
              <w:rPr>
                <w:rFonts w:hint="default"/>
                <w:vertAlign w:val="baseline"/>
                <w:lang w:val="en-US"/>
              </w:rPr>
              <w:t>RAN2 #129bis</w:t>
            </w:r>
          </w:p>
          <w:p w14:paraId="0F9183E0">
            <w:pPr>
              <w:pStyle w:val="44"/>
              <w:numPr>
                <w:ilvl w:val="0"/>
                <w:numId w:val="7"/>
              </w:numPr>
              <w:pBdr>
                <w:top w:val="single" w:color="auto" w:sz="4" w:space="1"/>
                <w:left w:val="single" w:color="auto" w:sz="4" w:space="4"/>
                <w:bottom w:val="single" w:color="auto" w:sz="4" w:space="1"/>
                <w:right w:val="single" w:color="auto" w:sz="4" w:space="0"/>
              </w:pBdr>
              <w:rPr>
                <w:rFonts w:eastAsia="Malgun Gothic"/>
                <w:lang w:val="en-US" w:eastAsia="ko-KR"/>
              </w:rPr>
            </w:pPr>
            <w:r>
              <w:rPr>
                <w:rFonts w:eastAsia="Malgun Gothic"/>
                <w:lang w:eastAsia="ko-KR"/>
              </w:rPr>
              <w:t>For SSB adaptation, multiple additional SMTC configurations are configured to UE via RRC, together with the mapping between SSB burst periodicity and SMTC configuration.</w:t>
            </w:r>
          </w:p>
          <w:p w14:paraId="0DA539D5">
            <w:pPr>
              <w:pStyle w:val="44"/>
              <w:numPr>
                <w:ilvl w:val="0"/>
                <w:numId w:val="7"/>
              </w:numPr>
              <w:pBdr>
                <w:top w:val="single" w:color="auto" w:sz="4" w:space="1"/>
                <w:left w:val="single" w:color="auto" w:sz="4" w:space="4"/>
                <w:bottom w:val="single" w:color="auto" w:sz="4" w:space="1"/>
                <w:right w:val="single" w:color="auto" w:sz="4" w:space="0"/>
              </w:pBdr>
              <w:rPr>
                <w:vertAlign w:val="baseline"/>
                <w:lang w:val="en-US"/>
              </w:rPr>
            </w:pPr>
            <w:r>
              <w:rPr>
                <w:rFonts w:eastAsia="Malgun Gothic"/>
                <w:lang w:eastAsia="ko-KR"/>
              </w:rPr>
              <w:t>Upon reception of DCI format 2_9 for SSB burst periodicity switching, UE selects one SMTC configuration accordingly.</w:t>
            </w:r>
          </w:p>
        </w:tc>
      </w:tr>
    </w:tbl>
    <w:p w14:paraId="70BFAFE6">
      <w:pPr>
        <w:spacing w:after="120"/>
        <w:rPr>
          <w:lang w:val="en-US"/>
        </w:rPr>
      </w:pPr>
    </w:p>
    <w:p w14:paraId="3BA89C09">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Proposal 1:</w:t>
      </w:r>
      <w:r>
        <w:rPr>
          <w:rFonts w:hint="default"/>
          <w:lang w:val="en-US"/>
        </w:rPr>
        <w:t xml:space="preserve"> </w:t>
      </w:r>
      <w:r>
        <w:rPr>
          <w:rFonts w:ascii="Times New Roman Bold" w:hAnsi="Times New Roman Bold" w:cs="Times New Roman Bold"/>
          <w:b/>
          <w:bCs/>
          <w:lang w:val="en-US" w:eastAsia="zh-CN"/>
        </w:rPr>
        <w:t xml:space="preserve">UE </w:t>
      </w:r>
      <w:r>
        <w:rPr>
          <w:rFonts w:hint="default" w:ascii="Times New Roman Bold" w:hAnsi="Times New Roman Bold" w:cs="Times New Roman Bold"/>
          <w:b/>
          <w:bCs/>
          <w:lang w:val="en-US" w:eastAsia="zh-CN"/>
        </w:rPr>
        <w:t xml:space="preserve">expects </w:t>
      </w:r>
      <w:r>
        <w:rPr>
          <w:rFonts w:ascii="Times New Roman Bold" w:hAnsi="Times New Roman Bold" w:cs="Times New Roman Bold"/>
          <w:b/>
          <w:bCs/>
          <w:lang w:val="en-US" w:eastAsia="zh-CN"/>
        </w:rPr>
        <w:t xml:space="preserve">SSB is transmitted </w:t>
      </w:r>
      <w:r>
        <w:rPr>
          <w:rFonts w:hint="default" w:ascii="Times New Roman Bold" w:hAnsi="Times New Roman Bold" w:cs="Times New Roman Bold"/>
          <w:b/>
          <w:bCs/>
          <w:lang w:val="en-US" w:eastAsia="zh-CN"/>
        </w:rPr>
        <w:t>according to the indicated periodicity and an offset starting from a slot</w:t>
      </w:r>
      <w:r>
        <w:rPr>
          <w:rFonts w:ascii="Times New Roman Bold" w:hAnsi="Times New Roman Bold" w:cs="Times New Roman Bold"/>
          <w:b/>
          <w:bCs/>
          <w:lang w:val="en-US" w:eastAsia="zh-CN"/>
        </w:rPr>
        <w:t xml:space="preserve"> after a sufficient time gap after the indication signaling</w:t>
      </w:r>
      <w:r>
        <w:rPr>
          <w:rFonts w:hint="default" w:ascii="Times New Roman Bold" w:hAnsi="Times New Roman Bold" w:cs="Times New Roman Bold"/>
          <w:b/>
          <w:bCs/>
          <w:lang w:val="en-US" w:eastAsia="zh-CN"/>
        </w:rPr>
        <w:t>, where</w:t>
      </w:r>
    </w:p>
    <w:p w14:paraId="1871C389">
      <w:pPr>
        <w:numPr>
          <w:ilvl w:val="0"/>
          <w:numId w:val="8"/>
        </w:numPr>
        <w:spacing w:after="120"/>
        <w:ind w:left="420" w:leftChars="0" w:hanging="420" w:firstLineChars="0"/>
        <w:rPr>
          <w:rFonts w:ascii="Times New Roman" w:hAnsi="Times New Roman" w:cs="Times New Roman"/>
        </w:rPr>
      </w:pPr>
      <w:r>
        <w:rPr>
          <w:rFonts w:hint="default" w:ascii="Times New Roman Bold" w:hAnsi="Times New Roman Bold" w:cs="Times New Roman Bold"/>
          <w:b/>
          <w:bCs/>
          <w:lang w:val="en-US" w:eastAsia="zh-CN"/>
        </w:rPr>
        <w:t xml:space="preserve">Alt 1: The offset </w:t>
      </w:r>
      <w:r>
        <w:rPr>
          <w:rFonts w:hint="default" w:ascii="Times New Roman Bold" w:hAnsi="Times New Roman Bold" w:cs="Times New Roman Bold"/>
          <w:b/>
          <w:bCs/>
          <w:lang w:val="en-US"/>
        </w:rPr>
        <w:t xml:space="preserve">can be explicitly configured, and ensures that the adapted SSB pattern falls into the smtc configuration selected for the indicated periodicity </w:t>
      </w:r>
    </w:p>
    <w:p w14:paraId="595E1222">
      <w:pPr>
        <w:numPr>
          <w:ilvl w:val="0"/>
          <w:numId w:val="8"/>
        </w:numPr>
        <w:spacing w:after="120"/>
        <w:ind w:left="420" w:leftChars="0" w:hanging="420" w:firstLineChars="0"/>
        <w:rPr>
          <w:rFonts w:ascii="Times New Roman Bold" w:hAnsi="Times New Roman Bold" w:cs="Times New Roman Bold"/>
          <w:b/>
          <w:bCs/>
          <w:lang w:val="en-US" w:eastAsia="zh-CN"/>
        </w:rPr>
      </w:pPr>
      <w:r>
        <w:rPr>
          <w:rFonts w:hint="default" w:ascii="Times New Roman Bold" w:hAnsi="Times New Roman Bold" w:cs="Times New Roman Bold"/>
          <w:b/>
          <w:bCs/>
          <w:lang w:val="en-US"/>
        </w:rPr>
        <w:t>Alt 2: The offset is determined according to the smtc configuration, such that the adapted SSB pattern falls into the smtc configuration selected for the indicated periodicity</w:t>
      </w:r>
    </w:p>
    <w:p w14:paraId="08EA784C">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PRACH adaptation </w:t>
      </w:r>
    </w:p>
    <w:p w14:paraId="2615BC33">
      <w:pPr>
        <w:spacing w:after="120"/>
        <w:rPr>
          <w:lang w:val="en-US" w:eastAsia="sv-SE"/>
        </w:rPr>
      </w:pPr>
      <w:r>
        <w:rPr>
          <w:lang w:val="en-US" w:eastAsia="sv-SE"/>
        </w:rPr>
        <w:t>In RAN1 #120 meeting, there were further discussion on the relationship between legacy ROs and additional PRACH resources. In this section, we provide further considerations on these aspects.</w:t>
      </w:r>
    </w:p>
    <w:p w14:paraId="4F1A6680">
      <w:pPr>
        <w:pStyle w:val="3"/>
        <w:spacing w:after="120"/>
        <w:rPr>
          <w:lang w:val="en-US" w:eastAsia="sv-SE"/>
        </w:rPr>
      </w:pPr>
      <w:r>
        <w:rPr>
          <w:lang w:val="en-US" w:eastAsia="sv-SE"/>
        </w:rPr>
        <w:t xml:space="preserve"> PRACH adaptation signaling </w:t>
      </w:r>
    </w:p>
    <w:p w14:paraId="58E904F4">
      <w:pPr>
        <w:spacing w:after="120"/>
        <w:rPr>
          <w:rFonts w:hint="default"/>
          <w:lang w:val="en-US"/>
        </w:rPr>
      </w:pPr>
      <w:r>
        <w:rPr>
          <w:rFonts w:hint="default"/>
          <w:lang w:val="en-US"/>
        </w:rPr>
        <w:t>Regarding which field to be used for DCI signaling for PRACH adaptation signaling, the following agreement was made in last RAN1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513D1BFA">
        <w:trPr>
          <w:trHeight w:val="776" w:hRule="atLeast"/>
        </w:trPr>
        <w:tc>
          <w:tcPr>
            <w:tcW w:w="9657" w:type="dxa"/>
          </w:tcPr>
          <w:p w14:paraId="72E43646">
            <w:pPr>
              <w:tabs>
                <w:tab w:val="left" w:pos="1440"/>
              </w:tabs>
              <w:autoSpaceDE/>
              <w:autoSpaceDN/>
              <w:spacing w:after="0" w:afterLines="-2147483648"/>
              <w:ind w:left="0" w:firstLine="0"/>
              <w:jc w:val="left"/>
              <w:rPr>
                <w:rFonts w:ascii="Times" w:hAnsi="Times" w:cs="Times New Roman"/>
                <w:b/>
                <w:bCs/>
                <w:szCs w:val="24"/>
                <w:lang w:eastAsia="zh-CN"/>
              </w:rPr>
            </w:pPr>
            <w:r>
              <w:rPr>
                <w:rFonts w:ascii="Times" w:hAnsi="Times" w:cs="Times New Roman"/>
                <w:b/>
                <w:bCs/>
                <w:szCs w:val="24"/>
                <w:highlight w:val="green"/>
                <w:lang w:eastAsia="zh-CN"/>
              </w:rPr>
              <w:t>Agreement</w:t>
            </w:r>
          </w:p>
          <w:p w14:paraId="5F8A2548">
            <w:pPr>
              <w:tabs>
                <w:tab w:val="left" w:pos="0"/>
              </w:tabs>
              <w:autoSpaceDE/>
              <w:autoSpaceDN/>
              <w:spacing w:after="0" w:afterLines="-2147483648"/>
              <w:ind w:left="0" w:leftChars="0" w:firstLine="0" w:firstLineChars="0"/>
              <w:jc w:val="both"/>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 xml:space="preserve">For DCI-based adaptation for additional PRACH resources, the following 1-bit field is used for adaptation indication in DCI format 1_0 with P-RNTI </w:t>
            </w:r>
          </w:p>
          <w:p w14:paraId="25422DD7">
            <w:pPr>
              <w:numPr>
                <w:ilvl w:val="0"/>
                <w:numId w:val="9"/>
              </w:numPr>
              <w:tabs>
                <w:tab w:val="left" w:pos="800"/>
              </w:tabs>
              <w:autoSpaceDE/>
              <w:autoSpaceDN/>
              <w:spacing w:after="0" w:afterLines="-2147483648"/>
              <w:ind w:left="800" w:leftChars="0" w:hanging="440" w:firstLineChars="0"/>
              <w:jc w:val="left"/>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Use one bit from the Bits 5-8 within the Short Message field (from upper layers)</w:t>
            </w:r>
          </w:p>
          <w:p w14:paraId="731580B3">
            <w:pPr>
              <w:numPr>
                <w:ilvl w:val="0"/>
                <w:numId w:val="9"/>
              </w:numPr>
              <w:tabs>
                <w:tab w:val="left" w:pos="800"/>
              </w:tabs>
              <w:autoSpaceDE/>
              <w:autoSpaceDN/>
              <w:spacing w:after="0" w:afterLines="-2147483648"/>
              <w:ind w:left="800" w:leftChars="0" w:hanging="440" w:firstLineChars="0"/>
              <w:jc w:val="left"/>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Send LS to RAN2 to confirm the use of this bit.</w:t>
            </w:r>
          </w:p>
          <w:p w14:paraId="54BAD353">
            <w:pPr>
              <w:tabs>
                <w:tab w:val="left" w:pos="1440"/>
              </w:tabs>
              <w:overflowPunct w:val="0"/>
              <w:autoSpaceDE w:val="0"/>
              <w:autoSpaceDN w:val="0"/>
              <w:adjustRightInd w:val="0"/>
              <w:spacing w:after="0" w:afterLines="-2147483648"/>
              <w:ind w:left="1440" w:hanging="1440"/>
              <w:jc w:val="both"/>
              <w:textAlignment w:val="baseline"/>
              <w:rPr>
                <w:vertAlign w:val="baseline"/>
                <w:lang w:val="en-US"/>
              </w:rPr>
            </w:pPr>
            <w:r>
              <w:rPr>
                <w:rFonts w:ascii="Times New Roman" w:hAnsi="Times New Roman" w:eastAsia="Batang" w:cs="Times New Roman"/>
                <w:szCs w:val="24"/>
                <w:lang w:val="en-GB" w:eastAsia="zh-CN" w:bidi="ar-SA"/>
              </w:rPr>
              <w:t>Above applies for cell that transmits the DCI for connected UEs and IDLE/INACTIVE mode UEs</w:t>
            </w:r>
          </w:p>
        </w:tc>
      </w:tr>
    </w:tbl>
    <w:p w14:paraId="448E25B2">
      <w:pPr>
        <w:spacing w:after="120"/>
        <w:rPr>
          <w:lang w:val="en-US"/>
        </w:rPr>
      </w:pPr>
    </w:p>
    <w:p w14:paraId="2E43C811">
      <w:pPr>
        <w:spacing w:after="120"/>
        <w:rPr>
          <w:rFonts w:hint="default"/>
          <w:lang w:val="en-US"/>
        </w:rPr>
      </w:pPr>
      <w:r>
        <w:rPr>
          <w:rFonts w:hint="default"/>
          <w:lang w:val="en-US"/>
        </w:rPr>
        <w:t xml:space="preserve">During the CR discussion phase, whether the above agreement should be reflected in TS38.212 or in TS 38.331 was controversial. </w:t>
      </w:r>
    </w:p>
    <w:p w14:paraId="5EBFBBC7">
      <w:pPr>
        <w:spacing w:after="120"/>
        <w:rPr>
          <w:lang w:eastAsia="zh-CN"/>
        </w:rPr>
      </w:pPr>
      <w:r>
        <w:rPr>
          <w:rFonts w:hint="default"/>
          <w:lang w:val="en-US"/>
        </w:rPr>
        <w:t>O</w:t>
      </w:r>
      <w:r>
        <w:rPr>
          <w:kern w:val="2"/>
          <w:lang w:eastAsia="zh-CN"/>
        </w:rPr>
        <w:t xml:space="preserve">ur understanding is that if the NW indicates PRACH adaptation with DCI 1_0 with P-RNTI, the UE behavior for the Short Messgage field does not need to be changed, i.e. NW indicates ‘10’ or ‘11’ in the </w:t>
      </w:r>
      <w:r>
        <w:rPr>
          <w:lang w:eastAsia="zh-CN"/>
        </w:rPr>
        <w:t>Short Messages Indicator</w:t>
      </w:r>
      <w:r>
        <w:rPr>
          <w:rFonts w:hint="default"/>
          <w:lang w:val="en-US" w:eastAsia="zh-CN"/>
        </w:rPr>
        <w:t xml:space="preserve"> (which is in TS 38.212 Table 7.3.1.2.1-1)</w:t>
      </w:r>
      <w:r>
        <w:rPr>
          <w:lang w:eastAsia="zh-CN"/>
        </w:rPr>
        <w:t>, UE identifies that the Short Message field is not reserved, then reads the corresponding field in Short Message</w:t>
      </w:r>
      <w:r>
        <w:rPr>
          <w:rFonts w:hint="default"/>
          <w:lang w:val="en-US" w:eastAsia="zh-CN"/>
        </w:rPr>
        <w:t xml:space="preserve"> (which is in TS 38.331 Table 6.5-1)</w:t>
      </w:r>
      <w:r>
        <w:rPr>
          <w:lang w:eastAsia="zh-CN"/>
        </w:rPr>
        <w:t xml:space="preserve">. Otherwise, if NW indicates ‘01’ in the Short Message Indicator, UE should consider the Short Message field as reserved. </w:t>
      </w:r>
    </w:p>
    <w:p w14:paraId="2BC95217">
      <w:pPr>
        <w:spacing w:after="120"/>
        <w:jc w:val="center"/>
        <w:rPr>
          <w:lang w:val="en-US"/>
        </w:rPr>
      </w:pPr>
      <w:r>
        <w:drawing>
          <wp:inline distT="0" distB="0" distL="114300" distR="114300">
            <wp:extent cx="5105400" cy="1466850"/>
            <wp:effectExtent l="0" t="0" r="0" b="635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6"/>
                    <a:stretch>
                      <a:fillRect/>
                    </a:stretch>
                  </pic:blipFill>
                  <pic:spPr>
                    <a:xfrm>
                      <a:off x="0" y="0"/>
                      <a:ext cx="5105400" cy="1466850"/>
                    </a:xfrm>
                    <a:prstGeom prst="rect">
                      <a:avLst/>
                    </a:prstGeom>
                    <a:noFill/>
                    <a:ln>
                      <a:noFill/>
                    </a:ln>
                  </pic:spPr>
                </pic:pic>
              </a:graphicData>
            </a:graphic>
          </wp:inline>
        </w:drawing>
      </w:r>
    </w:p>
    <w:p w14:paraId="33B53CD4">
      <w:pPr>
        <w:spacing w:after="120"/>
        <w:jc w:val="center"/>
        <w:rPr>
          <w:lang w:val="en-US"/>
        </w:rPr>
      </w:pPr>
      <w:r>
        <w:drawing>
          <wp:inline distT="0" distB="0" distL="114300" distR="114300">
            <wp:extent cx="5993130" cy="1568450"/>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5993130" cy="1568450"/>
                    </a:xfrm>
                    <a:prstGeom prst="rect">
                      <a:avLst/>
                    </a:prstGeom>
                    <a:noFill/>
                    <a:ln>
                      <a:noFill/>
                    </a:ln>
                  </pic:spPr>
                </pic:pic>
              </a:graphicData>
            </a:graphic>
          </wp:inline>
        </w:drawing>
      </w:r>
    </w:p>
    <w:p w14:paraId="36EF7E64">
      <w:pPr>
        <w:spacing w:after="120"/>
        <w:rPr>
          <w:rFonts w:hint="default"/>
          <w:lang w:val="en-US" w:eastAsia="zh-CN"/>
        </w:rPr>
      </w:pPr>
      <w:r>
        <w:rPr>
          <w:rFonts w:hint="default"/>
          <w:lang w:val="en-US" w:eastAsia="zh-CN"/>
        </w:rPr>
        <w:t xml:space="preserve">Therefore, the only change needed is to use one of the reserved bits in the Short Message field to be captured in TS 38.331 which is aligned with our agreement. </w:t>
      </w:r>
    </w:p>
    <w:p w14:paraId="79E54F90">
      <w:pPr>
        <w:spacing w:after="120"/>
        <w:rPr>
          <w:rFonts w:ascii="Times New Roman Bold" w:hAnsi="Times New Roman Bold" w:cs="Times New Roman Bold"/>
          <w:b/>
          <w:bCs/>
          <w:lang w:val="en-US"/>
        </w:rPr>
      </w:pPr>
    </w:p>
    <w:p w14:paraId="06341FDB">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Adopt the TP#1 in section 4.1 to delete the change in the Short Message field introduced in TS 38.212.</w:t>
      </w:r>
    </w:p>
    <w:p w14:paraId="4CB90B40">
      <w:pPr>
        <w:tabs>
          <w:tab w:val="left" w:pos="420"/>
        </w:tabs>
        <w:spacing w:after="120"/>
        <w:rPr>
          <w:lang w:val="en-US"/>
        </w:rPr>
      </w:pPr>
    </w:p>
    <w:p w14:paraId="3D361976">
      <w:pPr>
        <w:tabs>
          <w:tab w:val="left" w:pos="420"/>
        </w:tabs>
        <w:spacing w:after="120"/>
        <w:rPr>
          <w:rFonts w:hint="default"/>
          <w:lang w:val="en-US"/>
        </w:rPr>
      </w:pPr>
      <w:r>
        <w:rPr>
          <w:rFonts w:hint="default"/>
          <w:lang w:val="en-US"/>
        </w:rPr>
        <w:t>Another issue discussed in last meeting and also in the CR discussion, is that when UE receives the a DCI with C-RNTI to trigger PDCCH-ordered PRACH with 1-bit indicating the additional PRACH resources is available for the triggered PRACH, what is the UE behaviour in selecting the additional resources?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7221CAEC">
        <w:tc>
          <w:tcPr>
            <w:tcW w:w="9657" w:type="dxa"/>
          </w:tcPr>
          <w:p w14:paraId="473D9BB3">
            <w:pPr>
              <w:tabs>
                <w:tab w:val="left" w:pos="1440"/>
              </w:tabs>
              <w:autoSpaceDE/>
              <w:autoSpaceDN/>
              <w:spacing w:after="0" w:afterLines="-2147483648"/>
              <w:ind w:left="1440" w:hanging="1440"/>
              <w:jc w:val="left"/>
              <w:rPr>
                <w:rFonts w:ascii="Times" w:hAnsi="Times" w:cs="Times"/>
                <w:b/>
                <w:bCs/>
                <w:szCs w:val="24"/>
                <w:lang w:eastAsia="zh-CN"/>
              </w:rPr>
            </w:pPr>
            <w:r>
              <w:rPr>
                <w:rFonts w:ascii="Times" w:hAnsi="Times" w:cs="Times"/>
                <w:b/>
                <w:bCs/>
                <w:szCs w:val="24"/>
                <w:highlight w:val="green"/>
                <w:lang w:eastAsia="zh-CN"/>
              </w:rPr>
              <w:t>Agreement</w:t>
            </w:r>
          </w:p>
          <w:p w14:paraId="30EF13B1">
            <w:pPr>
              <w:tabs>
                <w:tab w:val="left" w:pos="0"/>
              </w:tabs>
              <w:overflowPunct w:val="0"/>
              <w:autoSpaceDE w:val="0"/>
              <w:autoSpaceDN w:val="0"/>
              <w:adjustRightInd w:val="0"/>
              <w:spacing w:after="0" w:afterLines="-2147483648"/>
              <w:ind w:left="0" w:leftChars="0" w:firstLine="0" w:firstLineChars="0"/>
              <w:contextualSpacing/>
              <w:jc w:val="both"/>
              <w:textAlignment w:val="baseline"/>
              <w:rPr>
                <w:rFonts w:ascii="Times New Roman" w:hAnsi="Times New Roman"/>
                <w:szCs w:val="24"/>
              </w:rPr>
            </w:pPr>
            <w:r>
              <w:rPr>
                <w:rFonts w:ascii="Times New Roman"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291C29FB">
            <w:pPr>
              <w:numPr>
                <w:ilvl w:val="0"/>
                <w:numId w:val="9"/>
              </w:numPr>
              <w:tabs>
                <w:tab w:val="left" w:pos="800"/>
              </w:tabs>
              <w:overflowPunct w:val="0"/>
              <w:autoSpaceDE w:val="0"/>
              <w:autoSpaceDN w:val="0"/>
              <w:adjustRightInd w:val="0"/>
              <w:ind w:left="800" w:leftChars="0" w:hanging="440" w:firstLineChars="0"/>
              <w:contextualSpacing/>
              <w:jc w:val="both"/>
              <w:textAlignment w:val="baseline"/>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FFS: UE behaviour (e.g. applicable resources for PRACH mask index) when it is indicated of additional PRACH resource(s)</w:t>
            </w:r>
          </w:p>
          <w:p w14:paraId="2896E6F6">
            <w:pPr>
              <w:numPr>
                <w:ilvl w:val="0"/>
                <w:numId w:val="9"/>
              </w:numPr>
              <w:tabs>
                <w:tab w:val="left" w:pos="800"/>
              </w:tabs>
              <w:overflowPunct w:val="0"/>
              <w:autoSpaceDE w:val="0"/>
              <w:autoSpaceDN w:val="0"/>
              <w:adjustRightInd w:val="0"/>
              <w:ind w:left="800" w:leftChars="0" w:hanging="440" w:firstLineChars="0"/>
              <w:contextualSpacing/>
              <w:jc w:val="both"/>
              <w:textAlignment w:val="baseline"/>
              <w:rPr>
                <w:rFonts w:hint="default"/>
                <w:vertAlign w:val="baseline"/>
                <w:lang w:val="en-US"/>
              </w:rPr>
            </w:pPr>
            <w:r>
              <w:rPr>
                <w:rFonts w:ascii="Times New Roman" w:hAnsi="Times New Roman" w:eastAsia="Batang" w:cs="Times New Roman"/>
                <w:szCs w:val="24"/>
                <w:lang w:val="en-GB" w:eastAsia="zh-CN" w:bidi="ar-SA"/>
              </w:rPr>
              <w:t>FFS: Details on how to reuse existing bit for the 1-bit indication</w:t>
            </w:r>
          </w:p>
        </w:tc>
      </w:tr>
    </w:tbl>
    <w:p w14:paraId="15396DFC">
      <w:pPr>
        <w:tabs>
          <w:tab w:val="left" w:pos="420"/>
        </w:tabs>
        <w:spacing w:after="120"/>
        <w:rPr>
          <w:rFonts w:hint="default"/>
          <w:lang w:val="en-US"/>
        </w:rPr>
      </w:pPr>
    </w:p>
    <w:p w14:paraId="7EBB75B6">
      <w:pPr>
        <w:tabs>
          <w:tab w:val="left" w:pos="420"/>
        </w:tabs>
        <w:spacing w:after="120"/>
        <w:rPr>
          <w:lang w:val="en-US"/>
        </w:rPr>
      </w:pPr>
      <w:r>
        <w:rPr>
          <w:rFonts w:hint="default"/>
          <w:lang w:val="en-US"/>
        </w:rPr>
        <w:t>The f</w:t>
      </w:r>
      <w:r>
        <w:rPr>
          <w:lang w:val="en-US"/>
        </w:rPr>
        <w:t>ollowing options</w:t>
      </w:r>
      <w:r>
        <w:rPr>
          <w:rFonts w:hint="default"/>
          <w:lang w:val="en-US"/>
        </w:rPr>
        <w:t xml:space="preserve"> can be considered</w:t>
      </w:r>
      <w:r>
        <w:rPr>
          <w:lang w:val="en-US"/>
        </w:rPr>
        <w:t xml:space="preserve">: </w:t>
      </w:r>
    </w:p>
    <w:p w14:paraId="3E23E11C">
      <w:pPr>
        <w:tabs>
          <w:tab w:val="left" w:pos="420"/>
        </w:tabs>
        <w:spacing w:after="120"/>
        <w:rPr>
          <w:lang w:val="en-US"/>
        </w:rPr>
      </w:pPr>
      <w:r>
        <w:rPr>
          <w:lang w:val="en-US"/>
        </w:rPr>
        <w:t>Option 1: UE always selects the additional PRACH resources for transmission</w:t>
      </w:r>
    </w:p>
    <w:p w14:paraId="7E657742">
      <w:pPr>
        <w:tabs>
          <w:tab w:val="left" w:pos="420"/>
        </w:tabs>
        <w:spacing w:after="120"/>
        <w:rPr>
          <w:lang w:val="en-US"/>
        </w:rPr>
      </w:pPr>
      <w:r>
        <w:rPr>
          <w:lang w:val="en-US"/>
        </w:rPr>
        <w:t xml:space="preserve">Option 2: Up to UE implementation, to select between legacy or additional PRACH resources whichever comes first </w:t>
      </w:r>
    </w:p>
    <w:p w14:paraId="15DA0B17">
      <w:pPr>
        <w:tabs>
          <w:tab w:val="left" w:pos="420"/>
        </w:tabs>
        <w:spacing w:after="120"/>
        <w:rPr>
          <w:lang w:val="en-US"/>
        </w:rPr>
      </w:pPr>
      <w:r>
        <w:rPr>
          <w:lang w:val="en-US"/>
        </w:rPr>
        <w:t xml:space="preserve">Option 3: 1 bit indication is introduced to indicate between Option 1 and Option 2. </w:t>
      </w:r>
    </w:p>
    <w:p w14:paraId="0F25112C">
      <w:pPr>
        <w:tabs>
          <w:tab w:val="left" w:pos="420"/>
        </w:tabs>
        <w:spacing w:after="120"/>
        <w:rPr>
          <w:rFonts w:hint="default"/>
          <w:lang w:val="en-US"/>
        </w:rPr>
      </w:pPr>
      <w:r>
        <w:rPr>
          <w:rFonts w:hint="default"/>
          <w:lang w:val="en-US"/>
        </w:rPr>
        <w:t>RAN2 has made a general agreement regarding how to select RACH resources in RAN2 #129 meeting.</w:t>
      </w:r>
    </w:p>
    <w:p w14:paraId="0045CA9C">
      <w:pPr>
        <w:pStyle w:val="44"/>
        <w:numPr>
          <w:ilvl w:val="-1"/>
          <w:numId w:val="0"/>
        </w:numPr>
        <w:pBdr>
          <w:top w:val="single" w:color="auto" w:sz="4" w:space="1"/>
          <w:left w:val="single" w:color="auto" w:sz="4" w:space="4"/>
          <w:bottom w:val="single" w:color="auto" w:sz="4" w:space="1"/>
          <w:right w:val="single" w:color="auto" w:sz="4" w:space="0"/>
        </w:pBdr>
        <w:ind w:left="1259" w:firstLine="0"/>
        <w:rPr>
          <w:lang w:val="en-US"/>
        </w:rPr>
      </w:pPr>
      <w:r>
        <w:t>Will follow legacy mechanism regarding how to select RACH resource.</w:t>
      </w:r>
    </w:p>
    <w:p w14:paraId="21360D33">
      <w:pPr>
        <w:tabs>
          <w:tab w:val="left" w:pos="420"/>
        </w:tabs>
        <w:spacing w:after="120"/>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Considering the current status and RAN2 general agreement. We propose:  </w:t>
      </w:r>
    </w:p>
    <w:p w14:paraId="326FB71B">
      <w:pPr>
        <w:numPr>
          <w:ilvl w:val="-1"/>
          <w:numId w:val="0"/>
        </w:numPr>
        <w:tabs>
          <w:tab w:val="left" w:pos="420"/>
        </w:tabs>
        <w:spacing w:after="120"/>
        <w:ind w:left="0" w:firstLine="0"/>
        <w:rPr>
          <w:rFonts w:ascii="Times New Roman Bold" w:hAnsi="Times New Roman Bold" w:cs="Times New Roman Bold"/>
          <w:b/>
          <w:bCs/>
          <w:lang w:val="en-US"/>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3</w:t>
      </w:r>
      <w:r>
        <w:rPr>
          <w:rFonts w:ascii="Times New Roman Bold" w:hAnsi="Times New Roman Bold" w:cs="Times New Roman Bold"/>
          <w:b/>
          <w:bCs/>
          <w:lang w:val="en-US"/>
        </w:rPr>
        <w:t xml:space="preserve">: </w:t>
      </w:r>
      <w:r>
        <w:rPr>
          <w:rFonts w:hint="default" w:ascii="Times New Roman Bold" w:hAnsi="Times New Roman Bold" w:cs="Times New Roman Bold"/>
          <w:b/>
          <w:bCs/>
          <w:lang w:val="en-US"/>
        </w:rPr>
        <w:t>W</w:t>
      </w:r>
      <w:r>
        <w:rPr>
          <w:rFonts w:hint="default"/>
          <w:b/>
          <w:bCs/>
          <w:lang w:val="en-US"/>
        </w:rPr>
        <w:t xml:space="preserve">hen UE receives a DCI with C-RNTI to trigger PDCCH-ordered PRACH with 1-bit indicating the additional PRACH resources is available for the triggered PRACH, is is up to UE </w:t>
      </w:r>
      <w:r>
        <w:rPr>
          <w:rFonts w:ascii="Times New Roman Bold" w:hAnsi="Times New Roman Bold" w:cs="Times New Roman Bold"/>
          <w:b/>
          <w:bCs/>
          <w:lang w:val="en-US"/>
        </w:rPr>
        <w:t>implementation</w:t>
      </w:r>
      <w:r>
        <w:rPr>
          <w:rFonts w:hint="default" w:ascii="Times New Roman Bold" w:hAnsi="Times New Roman Bold" w:cs="Times New Roman Bold"/>
          <w:b/>
          <w:bCs/>
          <w:lang w:val="en-US"/>
        </w:rPr>
        <w:t xml:space="preserve"> </w:t>
      </w:r>
      <w:r>
        <w:rPr>
          <w:rFonts w:ascii="Times New Roman Bold" w:hAnsi="Times New Roman Bold" w:cs="Times New Roman Bold"/>
          <w:b/>
          <w:bCs/>
          <w:lang w:val="en-US"/>
        </w:rPr>
        <w:t>to select between legacy or additional PRACH resources whichever comes first</w:t>
      </w:r>
      <w:r>
        <w:rPr>
          <w:rFonts w:hint="default" w:ascii="Times New Roman Bold" w:hAnsi="Times New Roman Bold" w:cs="Times New Roman Bold"/>
          <w:b/>
          <w:bCs/>
          <w:lang w:val="en-US"/>
        </w:rPr>
        <w:t>.</w:t>
      </w:r>
      <w:r>
        <w:rPr>
          <w:rFonts w:ascii="Times New Roman Bold" w:hAnsi="Times New Roman Bold" w:cs="Times New Roman Bold"/>
          <w:b/>
          <w:bCs/>
          <w:lang w:val="en-US"/>
        </w:rPr>
        <w:t xml:space="preserve"> </w:t>
      </w:r>
    </w:p>
    <w:p w14:paraId="6B669FCD">
      <w:pPr>
        <w:tabs>
          <w:tab w:val="left" w:pos="420"/>
        </w:tabs>
        <w:spacing w:after="120"/>
        <w:rPr>
          <w:rFonts w:ascii="Times New Roman Bold" w:hAnsi="Times New Roman Bold" w:cs="Times New Roman Bold"/>
          <w:b/>
          <w:bCs/>
          <w:lang w:val="en-US"/>
        </w:rPr>
      </w:pPr>
    </w:p>
    <w:p w14:paraId="2AE1BA09">
      <w:pPr>
        <w:pStyle w:val="3"/>
        <w:spacing w:after="120"/>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 Indication of PRACH resource availability in SIB  </w:t>
      </w:r>
    </w:p>
    <w:p w14:paraId="30AAA604">
      <w:pPr>
        <w:spacing w:after="120"/>
        <w:rPr>
          <w:rFonts w:hint="default"/>
          <w:lang w:val="en-US"/>
        </w:rPr>
      </w:pPr>
      <w:r>
        <w:rPr>
          <w:lang w:val="en-US"/>
        </w:rPr>
        <w:t xml:space="preserve">In last RAN1 meeting, </w:t>
      </w:r>
      <w:r>
        <w:rPr>
          <w:rFonts w:hint="default"/>
          <w:lang w:val="en-US"/>
        </w:rPr>
        <w:t xml:space="preserve">the reference point for the availability of additional PRACH resource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4BD5F1C5">
        <w:tc>
          <w:tcPr>
            <w:tcW w:w="9657" w:type="dxa"/>
          </w:tcPr>
          <w:p w14:paraId="57E2C87A">
            <w:pPr>
              <w:tabs>
                <w:tab w:val="left" w:pos="1440"/>
              </w:tabs>
              <w:autoSpaceDE/>
              <w:autoSpaceDN/>
              <w:spacing w:after="0" w:afterLines="-2147483648"/>
              <w:ind w:left="0" w:firstLine="0"/>
              <w:jc w:val="left"/>
              <w:rPr>
                <w:rFonts w:ascii="Times" w:hAnsi="Times" w:cs="Times New Roman"/>
                <w:b/>
                <w:bCs/>
                <w:szCs w:val="24"/>
                <w:lang w:eastAsia="zh-CN"/>
              </w:rPr>
            </w:pPr>
            <w:r>
              <w:rPr>
                <w:rFonts w:ascii="Times" w:hAnsi="Times" w:cs="Times New Roman"/>
                <w:b/>
                <w:bCs/>
                <w:szCs w:val="24"/>
                <w:highlight w:val="green"/>
                <w:lang w:eastAsia="zh-CN"/>
              </w:rPr>
              <w:t>Agreement</w:t>
            </w:r>
          </w:p>
          <w:p w14:paraId="23B4B018">
            <w:pPr>
              <w:numPr>
                <w:ilvl w:val="0"/>
                <w:numId w:val="9"/>
              </w:numPr>
              <w:tabs>
                <w:tab w:val="left" w:pos="800"/>
              </w:tabs>
              <w:autoSpaceDE/>
              <w:autoSpaceDN/>
              <w:spacing w:after="0" w:afterLines="-2147483648"/>
              <w:ind w:left="800" w:leftChars="0" w:hanging="440" w:firstLineChars="0"/>
              <w:jc w:val="left"/>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zh-CN" w:bidi="ar-SA"/>
              </w:rPr>
              <w:t>For DCI-based adaptation for additional PRACH resources, the reference point for the availability of additional PRACH resources indicated by DCI 1_0 with P-RNTI is the start of first frame of the current SI modification period where UE receives the DCI</w:t>
            </w:r>
          </w:p>
          <w:p w14:paraId="73C582A9">
            <w:pPr>
              <w:numPr>
                <w:ilvl w:val="0"/>
                <w:numId w:val="9"/>
              </w:numPr>
              <w:tabs>
                <w:tab w:val="left" w:pos="800"/>
              </w:tabs>
              <w:autoSpaceDE/>
              <w:autoSpaceDN/>
              <w:spacing w:after="0" w:afterLines="-2147483648"/>
              <w:ind w:left="800" w:leftChars="0" w:hanging="440" w:firstLineChars="0"/>
              <w:jc w:val="left"/>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zh-CN" w:bidi="ar-SA"/>
              </w:rPr>
              <w:t xml:space="preserve">The validity duration configured by higher layer signalling for the availability information of additional PRACH resources indicated by DCI 1_0 with P-RNTI is </w:t>
            </w:r>
          </w:p>
          <w:p w14:paraId="2DE6C8FE">
            <w:pPr>
              <w:numPr>
                <w:ilvl w:val="1"/>
                <w:numId w:val="9"/>
              </w:numPr>
              <w:tabs>
                <w:tab w:val="left" w:pos="1440"/>
              </w:tabs>
              <w:autoSpaceDE/>
              <w:autoSpaceDN/>
              <w:spacing w:after="0" w:afterLines="-2147483648"/>
              <w:ind w:left="1440" w:leftChars="0" w:hanging="360"/>
              <w:jc w:val="left"/>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zh-CN" w:bidi="ar-SA"/>
              </w:rPr>
              <w:t>(Option 4) Multiple of SI modification period ({[1],2,[3],4,8,[],[],..})</w:t>
            </w:r>
          </w:p>
          <w:p w14:paraId="28F602B6">
            <w:pPr>
              <w:numPr>
                <w:ilvl w:val="0"/>
                <w:numId w:val="0"/>
              </w:numPr>
              <w:spacing w:after="120"/>
              <w:ind w:left="-600" w:leftChars="0" w:right="150" w:rightChars="0"/>
              <w:rPr>
                <w:lang w:val="en-US"/>
              </w:rPr>
            </w:pPr>
          </w:p>
        </w:tc>
      </w:tr>
    </w:tbl>
    <w:p w14:paraId="69A8F9D1">
      <w:pPr>
        <w:spacing w:after="120"/>
        <w:rPr>
          <w:lang w:val="en-US"/>
        </w:rPr>
      </w:pPr>
    </w:p>
    <w:p w14:paraId="6BF0B4FC">
      <w:pPr>
        <w:spacing w:after="120"/>
        <w:rPr>
          <w:rFonts w:hint="default"/>
          <w:lang w:val="en-US"/>
        </w:rPr>
      </w:pPr>
      <w:r>
        <w:rPr>
          <w:rFonts w:hint="default"/>
          <w:lang w:val="en-US"/>
        </w:rPr>
        <w:t>For the value range of the validity duration, we support the values from 2 to 8.</w:t>
      </w:r>
    </w:p>
    <w:p w14:paraId="1546966B">
      <w:pPr>
        <w:spacing w:after="120"/>
        <w:rPr>
          <w:rFonts w:hint="default"/>
          <w:b/>
          <w:bCs/>
          <w:lang w:val="en-US"/>
        </w:rPr>
      </w:pPr>
      <w:r>
        <w:rPr>
          <w:rFonts w:hint="default" w:ascii="Times New Roman Bold" w:hAnsi="Times New Roman Bold" w:cs="Times New Roman Bold"/>
          <w:b/>
          <w:bCs/>
          <w:lang w:val="en-US"/>
        </w:rPr>
        <w:t xml:space="preserve">Proposal 4: </w:t>
      </w:r>
      <w:r>
        <w:rPr>
          <w:rFonts w:hint="default"/>
          <w:b/>
          <w:bCs/>
          <w:lang w:val="en-US"/>
        </w:rPr>
        <w:t xml:space="preserve">For the value range of the validity duration, integer values from 2 to 8 can be supported. </w:t>
      </w:r>
    </w:p>
    <w:p w14:paraId="686D7DE1">
      <w:pPr>
        <w:spacing w:after="120"/>
        <w:rPr>
          <w:rFonts w:hint="default" w:ascii="Times New Roman Bold" w:hAnsi="Times New Roman Bold" w:cs="Times New Roman Bold"/>
          <w:b/>
          <w:bCs/>
          <w:lang w:val="en-US"/>
        </w:rPr>
      </w:pPr>
    </w:p>
    <w:p w14:paraId="0B9FB20E">
      <w:pPr>
        <w:spacing w:after="120"/>
        <w:rPr>
          <w:rFonts w:hint="default"/>
          <w:lang w:val="en-US"/>
        </w:rPr>
      </w:pPr>
      <w:r>
        <w:rPr>
          <w:rFonts w:hint="default"/>
          <w:lang w:val="en-US"/>
        </w:rPr>
        <w:t xml:space="preserve">For the UEs that have received Paging DCI, the availability of the additional PRACH resources are already known. However, for UEs that have just accessed the network, they may not receive the Paging DCI yet in the current SI modification period, and the NW may not transmit Paging DCI for PRACH adaptation in the next SI modification period. This results in that these UEs will not be able to utilize the additional PRACH resources. Therefore, we propose to consider a one-bit indication in SIB, to indicate that the additional PRACH resources are available in the current SI modification period. </w:t>
      </w:r>
    </w:p>
    <w:p w14:paraId="59322E93">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5: Support introducing an additional 1-bit indication in SIB1 to indicate whether the additional PRACH resources are available in the current Sl modification period, for UEs accessing the network to utilize the additional PRACH resources before receiving Paging DCI.</w:t>
      </w:r>
    </w:p>
    <w:p w14:paraId="6A606EFF">
      <w:pPr>
        <w:spacing w:after="120"/>
        <w:rPr>
          <w:lang w:val="en-US"/>
        </w:rPr>
      </w:pPr>
    </w:p>
    <w:p w14:paraId="4907F434">
      <w:pPr>
        <w:pStyle w:val="3"/>
        <w:spacing w:after="120"/>
        <w:rPr>
          <w:lang w:val="en-US" w:eastAsia="sv-SE"/>
        </w:rPr>
      </w:pPr>
      <w:r>
        <w:rPr>
          <w:lang w:val="en-US" w:eastAsia="sv-SE"/>
        </w:rPr>
        <w:t xml:space="preserve"> </w:t>
      </w:r>
      <w:r>
        <w:rPr>
          <w:rFonts w:hint="default"/>
          <w:lang w:val="en-US" w:eastAsia="sv-SE"/>
        </w:rPr>
        <w:t>Remaining issues for PRACH mask</w:t>
      </w:r>
    </w:p>
    <w:p w14:paraId="06AB34EB">
      <w:pPr>
        <w:spacing w:after="120"/>
        <w:rPr>
          <w:rFonts w:hint="default"/>
          <w:lang w:val="en-US"/>
        </w:rPr>
      </w:pPr>
      <w:r>
        <w:rPr>
          <w:rFonts w:hint="default"/>
          <w:lang w:val="en-US"/>
        </w:rPr>
        <w:t>It was agreed in last RAN1 meeting that PRACH mask can be chosen from the 1</w:t>
      </w:r>
      <w:r>
        <w:rPr>
          <w:rFonts w:hint="default"/>
          <w:vertAlign w:val="superscript"/>
          <w:lang w:val="en-US"/>
        </w:rPr>
        <w:t>st</w:t>
      </w:r>
      <w:r>
        <w:rPr>
          <w:rFonts w:hint="default"/>
          <w:lang w:val="en-US"/>
        </w:rPr>
        <w:t xml:space="preserve"> half, quarter, eighth or sixteenth of the APs in</w:t>
      </w:r>
      <w:r>
        <w:rPr>
          <w:rFonts w:hint="default"/>
          <w:b w:val="0"/>
          <w:bCs w:val="0"/>
          <w:lang w:val="en-US"/>
        </w:rPr>
        <w:t xml:space="preserve"> </w:t>
      </w:r>
      <m:oMath>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oMath>
      <w:r>
        <w:t xml:space="preserve"> </w:t>
      </w:r>
      <w:r>
        <w:rPr>
          <w:rFonts w:hint="default"/>
          <w:lang w:val="en-US"/>
        </w:rPr>
        <w:t xml:space="preserve">APPs. The remaining issue to be discussed is that how to handle the case when the total number of APs in the </w:t>
      </w:r>
      <m:oMath>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oMath>
      <w:r>
        <w:t xml:space="preserve"> </w:t>
      </w:r>
      <w:r>
        <w:rPr>
          <w:rFonts w:hint="default"/>
          <w:lang w:val="en-US"/>
        </w:rPr>
        <w:t>APPs cannot be divided by 2/4/8/16.</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40984CE3">
        <w:tc>
          <w:tcPr>
            <w:tcW w:w="9657" w:type="dxa"/>
          </w:tcPr>
          <w:p w14:paraId="569D1B4D">
            <w:pPr>
              <w:tabs>
                <w:tab w:val="left" w:pos="1440"/>
              </w:tabs>
              <w:autoSpaceDE/>
              <w:autoSpaceDN/>
              <w:spacing w:after="0" w:afterLines="-2147483648"/>
              <w:ind w:left="0" w:firstLine="0"/>
              <w:jc w:val="left"/>
              <w:rPr>
                <w:rFonts w:ascii="Times" w:hAnsi="Times" w:cs="Times New Roman"/>
                <w:b/>
                <w:bCs/>
                <w:szCs w:val="24"/>
                <w:highlight w:val="green"/>
                <w:lang w:eastAsia="zh-CN"/>
              </w:rPr>
            </w:pPr>
            <w:r>
              <w:rPr>
                <w:rFonts w:ascii="Times" w:hAnsi="Times" w:cs="Times New Roman"/>
                <w:b/>
                <w:bCs/>
                <w:szCs w:val="24"/>
                <w:highlight w:val="green"/>
                <w:lang w:eastAsia="zh-CN"/>
              </w:rPr>
              <w:t>Agreement</w:t>
            </w:r>
          </w:p>
          <w:p w14:paraId="5831D59D">
            <w:pPr>
              <w:tabs>
                <w:tab w:val="left" w:pos="0"/>
              </w:tabs>
              <w:autoSpaceDE/>
              <w:autoSpaceDN/>
              <w:spacing w:after="0" w:afterLines="-2147483648"/>
              <w:ind w:left="0" w:leftChars="0" w:firstLine="0" w:firstLineChars="0"/>
              <w:jc w:val="both"/>
              <w:rPr>
                <w:rFonts w:ascii="Times" w:hAnsi="Times" w:cs="Times"/>
                <w:szCs w:val="24"/>
              </w:rPr>
            </w:pPr>
            <w:r>
              <w:rPr>
                <w:rFonts w:ascii="Times New Roman" w:hAnsi="Times New Roman" w:eastAsia="Malgun Gothic" w:cs="Times New Roman"/>
                <w:szCs w:val="24"/>
              </w:rPr>
              <w:t>For DCI-based adaptation for additional PRACH resources, the PRACH mask to identify the subset of the additional PRACH resources is given by:</w:t>
            </w:r>
          </w:p>
          <w:p w14:paraId="662E5F47">
            <w:pPr>
              <w:numPr>
                <w:ilvl w:val="0"/>
                <w:numId w:val="9"/>
              </w:numPr>
              <w:tabs>
                <w:tab w:val="left" w:pos="800"/>
              </w:tabs>
              <w:autoSpaceDE/>
              <w:autoSpaceDN/>
              <w:spacing w:after="0" w:afterLines="-2147483648"/>
              <w:ind w:left="800" w:leftChars="0" w:hanging="440" w:firstLineChars="0"/>
              <w:jc w:val="left"/>
              <w:rPr>
                <w:rFonts w:ascii="Times New Roman" w:hAnsi="Times New Roman" w:eastAsia="Malgun Gothic" w:cs="Times New Roman"/>
                <w:szCs w:val="24"/>
                <w:lang w:val="en-GB" w:eastAsia="zh-CN" w:bidi="ar-SA"/>
              </w:rPr>
            </w:pPr>
            <w:r>
              <w:rPr>
                <w:rFonts w:ascii="Times New Roman" w:hAnsi="Times New Roman" w:eastAsia="Malgun Gothic" w:cs="Times New Roman"/>
                <w:szCs w:val="24"/>
                <w:lang w:val="en-GB" w:eastAsia="zh-CN" w:bidi="ar-SA"/>
              </w:rPr>
              <w:t xml:space="preserve">Option 1-2:  </w:t>
            </w:r>
            <w:r>
              <w:rPr>
                <w:rFonts w:ascii="Times" w:hAnsi="Times" w:eastAsia="Batang" w:cs="Times"/>
                <w:szCs w:val="24"/>
                <w:lang w:val="en-GB" w:eastAsia="zh-CN" w:bidi="ar-SA"/>
              </w:rPr>
              <w:t xml:space="preserve">Semi-static signalling of a PRACH mask index and a value of K </w:t>
            </w:r>
            <w:r>
              <w:rPr>
                <w:rFonts w:ascii="Times" w:hAnsi="Times" w:eastAsia="Batang" w:cs="Times"/>
                <w:color w:val="FF0000"/>
                <w:szCs w:val="24"/>
                <w:lang w:val="en-GB" w:eastAsia="zh-CN" w:bidi="ar-SA"/>
              </w:rPr>
              <w:t>(number of association pattern periods)</w:t>
            </w:r>
          </w:p>
          <w:p w14:paraId="555F9B6D">
            <w:pPr>
              <w:numPr>
                <w:ilvl w:val="1"/>
                <w:numId w:val="9"/>
              </w:numPr>
              <w:tabs>
                <w:tab w:val="left" w:pos="1440"/>
              </w:tabs>
              <w:autoSpaceDE/>
              <w:autoSpaceDN/>
              <w:spacing w:after="0" w:afterLines="-2147483648"/>
              <w:ind w:left="1440" w:leftChars="0" w:hanging="360"/>
              <w:contextualSpacing/>
              <w:jc w:val="left"/>
              <w:rPr>
                <w:rFonts w:ascii="Times New Roman" w:hAnsi="Times New Roman" w:eastAsia="Malgun Gothic" w:cs="Times New Roman"/>
                <w:szCs w:val="24"/>
                <w:lang w:val="en-GB" w:eastAsia="zh-CN" w:bidi="ar-SA"/>
              </w:rPr>
            </w:pPr>
            <w:r>
              <w:rPr>
                <w:rFonts w:ascii="Times" w:hAnsi="Times" w:eastAsia="Batang" w:cs="Times"/>
                <w:szCs w:val="24"/>
                <w:lang w:val="en-GB" w:eastAsia="zh-CN" w:bidi="ar-SA"/>
              </w:rPr>
              <w:t>For K: one from up to four candidate values {2,4,8, [1 or 16]}</w:t>
            </w:r>
          </w:p>
          <w:tbl>
            <w:tblPr>
              <w:tblStyle w:val="27"/>
              <w:tblW w:w="0" w:type="auto"/>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016"/>
              <w:gridCol w:w="6912"/>
            </w:tblGrid>
            <w:tr w14:paraId="2AC167B6">
              <w:trPr>
                <w:jc w:val="center"/>
              </w:trPr>
              <w:tc>
                <w:tcPr>
                  <w:tcW w:w="2016" w:type="dxa"/>
                </w:tcPr>
                <w:p w14:paraId="2A26F404">
                  <w:pPr>
                    <w:tabs>
                      <w:tab w:val="left" w:pos="1440"/>
                    </w:tabs>
                    <w:autoSpaceDE/>
                    <w:autoSpaceDN/>
                    <w:spacing w:after="0" w:afterLines="-2147483648"/>
                    <w:ind w:left="0" w:firstLine="0"/>
                    <w:contextualSpacing/>
                    <w:jc w:val="left"/>
                    <w:rPr>
                      <w:rFonts w:ascii="Times New Roman" w:hAnsi="Times New Roman" w:eastAsia="Malgun Gothic" w:cs="Times New Roman"/>
                      <w:b/>
                      <w:bCs/>
                      <w:szCs w:val="24"/>
                    </w:rPr>
                  </w:pPr>
                  <w:r>
                    <w:rPr>
                      <w:rFonts w:ascii="Times New Roman" w:hAnsi="Times New Roman" w:cs="Times New Roman"/>
                      <w:b/>
                      <w:bCs/>
                      <w:szCs w:val="24"/>
                    </w:rPr>
                    <w:t>Mask index</w:t>
                  </w:r>
                </w:p>
              </w:tc>
              <w:tc>
                <w:tcPr>
                  <w:tcW w:w="6912" w:type="dxa"/>
                </w:tcPr>
                <w:p w14:paraId="597CA868">
                  <w:pPr>
                    <w:tabs>
                      <w:tab w:val="left" w:pos="1440"/>
                    </w:tabs>
                    <w:autoSpaceDE/>
                    <w:autoSpaceDN/>
                    <w:spacing w:after="0" w:afterLines="-2147483648"/>
                    <w:ind w:left="0" w:firstLine="0"/>
                    <w:contextualSpacing/>
                    <w:jc w:val="left"/>
                    <w:rPr>
                      <w:rFonts w:ascii="Times New Roman" w:hAnsi="Times New Roman" w:eastAsia="Malgun Gothic" w:cs="Times New Roman"/>
                      <w:b/>
                      <w:bCs/>
                      <w:szCs w:val="24"/>
                    </w:rPr>
                  </w:pPr>
                  <w:r>
                    <w:rPr>
                      <w:rFonts w:ascii="Times New Roman" w:hAnsi="Times New Roman" w:cs="Times New Roman"/>
                      <w:b/>
                      <w:bCs/>
                      <w:szCs w:val="24"/>
                    </w:rPr>
                    <w:t>Indication of association periods (AP) for subset of additional PRACH resources within every K association pattern periods (APP)</w:t>
                  </w:r>
                </w:p>
              </w:tc>
            </w:tr>
            <w:tr w14:paraId="2366D94A">
              <w:trPr>
                <w:jc w:val="center"/>
              </w:trPr>
              <w:tc>
                <w:tcPr>
                  <w:tcW w:w="2016" w:type="dxa"/>
                </w:tcPr>
                <w:p w14:paraId="0E5C0A79">
                  <w:pPr>
                    <w:tabs>
                      <w:tab w:val="left" w:pos="1440"/>
                    </w:tabs>
                    <w:autoSpaceDE/>
                    <w:autoSpaceDN/>
                    <w:spacing w:after="0" w:afterLines="-2147483648"/>
                    <w:ind w:left="0" w:firstLine="0"/>
                    <w:contextualSpacing/>
                    <w:jc w:val="left"/>
                    <w:rPr>
                      <w:rFonts w:ascii="Times New Roman" w:hAnsi="Times New Roman" w:eastAsia="Malgun Gothic" w:cs="Times New Roman"/>
                      <w:szCs w:val="24"/>
                    </w:rPr>
                  </w:pPr>
                  <w:r>
                    <w:rPr>
                      <w:rFonts w:ascii="Times New Roman" w:hAnsi="Times New Roman" w:cs="Times New Roman"/>
                      <w:szCs w:val="24"/>
                    </w:rPr>
                    <w:t>0</w:t>
                  </w:r>
                </w:p>
              </w:tc>
              <w:tc>
                <w:tcPr>
                  <w:tcW w:w="6912" w:type="dxa"/>
                </w:tcPr>
                <w:p w14:paraId="49B61AF0">
                  <w:pPr>
                    <w:tabs>
                      <w:tab w:val="left" w:pos="1440"/>
                    </w:tabs>
                    <w:autoSpaceDE/>
                    <w:autoSpaceDN/>
                    <w:spacing w:after="0" w:afterLines="-2147483648"/>
                    <w:ind w:left="0" w:firstLine="0"/>
                    <w:contextualSpacing/>
                    <w:jc w:val="left"/>
                    <w:rPr>
                      <w:rFonts w:ascii="Times New Roman" w:hAnsi="Times New Roman" w:eastAsia="Malgun Gothic" w:cs="Times New Roman"/>
                      <w:szCs w:val="24"/>
                    </w:rPr>
                  </w:pPr>
                  <w:r>
                    <w:rPr>
                      <w:rFonts w:ascii="Times New Roman" w:hAnsi="Times New Roman" w:cs="Times New Roman"/>
                      <w:szCs w:val="24"/>
                    </w:rPr>
                    <w:t>1</w:t>
                  </w:r>
                  <w:r>
                    <w:rPr>
                      <w:rFonts w:ascii="Times New Roman" w:hAnsi="Times New Roman" w:cs="Times New Roman"/>
                      <w:szCs w:val="24"/>
                      <w:vertAlign w:val="superscript"/>
                    </w:rPr>
                    <w:t>st</w:t>
                  </w:r>
                  <w:r>
                    <w:rPr>
                      <w:rFonts w:ascii="Times New Roman" w:hAnsi="Times New Roman" w:cs="Times New Roman"/>
                      <w:szCs w:val="24"/>
                    </w:rPr>
                    <w:t xml:space="preserve"> half of the APs in K APPs</w:t>
                  </w:r>
                </w:p>
              </w:tc>
            </w:tr>
            <w:tr w14:paraId="5DAE6731">
              <w:trPr>
                <w:jc w:val="center"/>
              </w:trPr>
              <w:tc>
                <w:tcPr>
                  <w:tcW w:w="2016" w:type="dxa"/>
                </w:tcPr>
                <w:p w14:paraId="57787C8A">
                  <w:pPr>
                    <w:tabs>
                      <w:tab w:val="left" w:pos="1440"/>
                    </w:tabs>
                    <w:autoSpaceDE/>
                    <w:autoSpaceDN/>
                    <w:spacing w:after="0" w:afterLines="-2147483648"/>
                    <w:ind w:left="0" w:firstLine="0"/>
                    <w:contextualSpacing/>
                    <w:jc w:val="left"/>
                    <w:rPr>
                      <w:rFonts w:ascii="Times New Roman" w:hAnsi="Times New Roman" w:eastAsia="Malgun Gothic" w:cs="Times New Roman"/>
                      <w:szCs w:val="24"/>
                    </w:rPr>
                  </w:pPr>
                  <w:r>
                    <w:rPr>
                      <w:rFonts w:ascii="Times New Roman" w:hAnsi="Times New Roman" w:cs="Times New Roman"/>
                      <w:szCs w:val="24"/>
                    </w:rPr>
                    <w:t>1</w:t>
                  </w:r>
                </w:p>
              </w:tc>
              <w:tc>
                <w:tcPr>
                  <w:tcW w:w="6912" w:type="dxa"/>
                </w:tcPr>
                <w:p w14:paraId="648F806F">
                  <w:pPr>
                    <w:tabs>
                      <w:tab w:val="left" w:pos="1440"/>
                    </w:tabs>
                    <w:autoSpaceDE/>
                    <w:autoSpaceDN/>
                    <w:spacing w:after="0" w:afterLines="-2147483648"/>
                    <w:ind w:left="0" w:firstLine="0"/>
                    <w:contextualSpacing/>
                    <w:jc w:val="left"/>
                    <w:rPr>
                      <w:rFonts w:ascii="Times New Roman" w:hAnsi="Times New Roman" w:eastAsia="Malgun Gothic" w:cs="Times New Roman"/>
                      <w:szCs w:val="24"/>
                    </w:rPr>
                  </w:pPr>
                  <w:r>
                    <w:rPr>
                      <w:rFonts w:ascii="Times New Roman" w:hAnsi="Times New Roman" w:cs="Times New Roman"/>
                      <w:szCs w:val="24"/>
                    </w:rPr>
                    <w:t>1</w:t>
                  </w:r>
                  <w:r>
                    <w:rPr>
                      <w:rFonts w:ascii="Times New Roman" w:hAnsi="Times New Roman" w:cs="Times New Roman"/>
                      <w:szCs w:val="24"/>
                      <w:vertAlign w:val="superscript"/>
                    </w:rPr>
                    <w:t>st</w:t>
                  </w:r>
                  <w:r>
                    <w:rPr>
                      <w:rFonts w:ascii="Times New Roman" w:hAnsi="Times New Roman" w:cs="Times New Roman"/>
                      <w:szCs w:val="24"/>
                    </w:rPr>
                    <w:t xml:space="preserve"> quarter of the APs in K APPs</w:t>
                  </w:r>
                </w:p>
              </w:tc>
            </w:tr>
            <w:tr w14:paraId="5D5638EF">
              <w:trPr>
                <w:jc w:val="center"/>
              </w:trPr>
              <w:tc>
                <w:tcPr>
                  <w:tcW w:w="2016" w:type="dxa"/>
                </w:tcPr>
                <w:p w14:paraId="7EC8E325">
                  <w:pPr>
                    <w:tabs>
                      <w:tab w:val="left" w:pos="1440"/>
                    </w:tabs>
                    <w:autoSpaceDE/>
                    <w:autoSpaceDN/>
                    <w:spacing w:after="0" w:afterLines="-2147483648"/>
                    <w:ind w:left="0" w:firstLine="0"/>
                    <w:contextualSpacing/>
                    <w:jc w:val="left"/>
                    <w:rPr>
                      <w:rFonts w:ascii="Times New Roman" w:hAnsi="Times New Roman" w:eastAsia="Malgun Gothic" w:cs="Times New Roman"/>
                      <w:szCs w:val="24"/>
                    </w:rPr>
                  </w:pPr>
                  <w:r>
                    <w:rPr>
                      <w:rFonts w:ascii="Times New Roman" w:hAnsi="Times New Roman" w:cs="Times New Roman"/>
                      <w:szCs w:val="24"/>
                    </w:rPr>
                    <w:t>2</w:t>
                  </w:r>
                </w:p>
              </w:tc>
              <w:tc>
                <w:tcPr>
                  <w:tcW w:w="6912" w:type="dxa"/>
                </w:tcPr>
                <w:p w14:paraId="2DF0C44E">
                  <w:pPr>
                    <w:tabs>
                      <w:tab w:val="left" w:pos="1440"/>
                    </w:tabs>
                    <w:autoSpaceDE/>
                    <w:autoSpaceDN/>
                    <w:spacing w:after="0" w:afterLines="-2147483648"/>
                    <w:ind w:left="0" w:firstLine="0"/>
                    <w:contextualSpacing/>
                    <w:jc w:val="left"/>
                    <w:rPr>
                      <w:rFonts w:ascii="Times New Roman" w:hAnsi="Times New Roman" w:eastAsia="Malgun Gothic" w:cs="Times New Roman"/>
                      <w:szCs w:val="24"/>
                    </w:rPr>
                  </w:pPr>
                  <w:r>
                    <w:rPr>
                      <w:rFonts w:ascii="Times New Roman" w:hAnsi="Times New Roman" w:cs="Times New Roman"/>
                      <w:color w:val="FF0000"/>
                      <w:szCs w:val="24"/>
                    </w:rPr>
                    <w:t>1</w:t>
                  </w:r>
                  <w:r>
                    <w:rPr>
                      <w:rFonts w:ascii="Times New Roman" w:hAnsi="Times New Roman" w:cs="Times New Roman"/>
                      <w:color w:val="FF0000"/>
                      <w:szCs w:val="24"/>
                      <w:vertAlign w:val="superscript"/>
                    </w:rPr>
                    <w:t>st</w:t>
                  </w:r>
                  <w:r>
                    <w:rPr>
                      <w:rFonts w:ascii="Times New Roman" w:hAnsi="Times New Roman" w:cs="Times New Roman"/>
                      <w:color w:val="FF0000"/>
                      <w:szCs w:val="24"/>
                      <w:vertAlign w:val="superscript"/>
                      <w:lang w:val="en-US"/>
                    </w:rPr>
                    <w:t xml:space="preserve"> </w:t>
                  </w:r>
                  <w:r>
                    <w:rPr>
                      <w:rFonts w:ascii="Times New Roman" w:hAnsi="Times New Roman" w:cs="Times New Roman"/>
                      <w:color w:val="FF0000"/>
                      <w:szCs w:val="24"/>
                      <w:lang w:val="en-US"/>
                    </w:rPr>
                    <w:t xml:space="preserve">eighth of </w:t>
                  </w:r>
                  <w:r>
                    <w:rPr>
                      <w:rFonts w:ascii="Times New Roman" w:hAnsi="Times New Roman" w:cs="Times New Roman"/>
                      <w:color w:val="FF0000"/>
                      <w:szCs w:val="24"/>
                    </w:rPr>
                    <w:t>the APs in K APPs</w:t>
                  </w:r>
                </w:p>
              </w:tc>
            </w:tr>
            <w:tr w14:paraId="6B146C8A">
              <w:trPr>
                <w:jc w:val="center"/>
              </w:trPr>
              <w:tc>
                <w:tcPr>
                  <w:tcW w:w="2016" w:type="dxa"/>
                </w:tcPr>
                <w:p w14:paraId="28B7FACF">
                  <w:pPr>
                    <w:tabs>
                      <w:tab w:val="left" w:pos="1440"/>
                    </w:tabs>
                    <w:autoSpaceDE/>
                    <w:autoSpaceDN/>
                    <w:spacing w:after="0" w:afterLines="-2147483648"/>
                    <w:ind w:left="0" w:firstLine="0"/>
                    <w:contextualSpacing/>
                    <w:jc w:val="left"/>
                    <w:rPr>
                      <w:rFonts w:ascii="Times New Roman" w:hAnsi="Times New Roman" w:eastAsia="Malgun Gothic" w:cs="Times New Roman"/>
                      <w:szCs w:val="24"/>
                    </w:rPr>
                  </w:pPr>
                  <w:r>
                    <w:rPr>
                      <w:rFonts w:ascii="Times New Roman" w:hAnsi="Times New Roman" w:cs="Times New Roman"/>
                      <w:szCs w:val="24"/>
                    </w:rPr>
                    <w:t>3</w:t>
                  </w:r>
                </w:p>
              </w:tc>
              <w:tc>
                <w:tcPr>
                  <w:tcW w:w="6912" w:type="dxa"/>
                </w:tcPr>
                <w:p w14:paraId="4802A629">
                  <w:pPr>
                    <w:tabs>
                      <w:tab w:val="left" w:pos="1440"/>
                    </w:tabs>
                    <w:autoSpaceDE/>
                    <w:autoSpaceDN/>
                    <w:spacing w:after="0" w:afterLines="-2147483648"/>
                    <w:ind w:left="0" w:firstLine="0"/>
                    <w:contextualSpacing/>
                    <w:jc w:val="left"/>
                    <w:rPr>
                      <w:rFonts w:ascii="Times New Roman" w:hAnsi="Times New Roman" w:eastAsia="Malgun Gothic" w:cs="Times New Roman"/>
                      <w:szCs w:val="24"/>
                    </w:rPr>
                  </w:pPr>
                  <w:r>
                    <w:rPr>
                      <w:rFonts w:ascii="Times New Roman" w:hAnsi="Times New Roman" w:cs="Times New Roman"/>
                      <w:color w:val="FF0000"/>
                      <w:szCs w:val="24"/>
                      <w:lang w:val="en-US"/>
                    </w:rPr>
                    <w:t>1</w:t>
                  </w:r>
                  <w:r>
                    <w:rPr>
                      <w:rFonts w:ascii="Times New Roman" w:hAnsi="Times New Roman" w:cs="Times New Roman"/>
                      <w:color w:val="FF0000"/>
                      <w:szCs w:val="24"/>
                      <w:vertAlign w:val="superscript"/>
                      <w:lang w:val="en-US"/>
                    </w:rPr>
                    <w:t>st</w:t>
                  </w:r>
                  <w:r>
                    <w:rPr>
                      <w:rFonts w:ascii="Times New Roman" w:hAnsi="Times New Roman" w:cs="Times New Roman"/>
                      <w:color w:val="FF0000"/>
                      <w:szCs w:val="24"/>
                      <w:lang w:val="en-US"/>
                    </w:rPr>
                    <w:t xml:space="preserve"> sixteenth of the APs in K APPs</w:t>
                  </w:r>
                </w:p>
              </w:tc>
            </w:tr>
          </w:tbl>
          <w:p w14:paraId="27BC1CB8">
            <w:pPr>
              <w:spacing w:after="120"/>
              <w:rPr>
                <w:rFonts w:hint="default"/>
                <w:vertAlign w:val="baseline"/>
                <w:lang w:val="en-US"/>
              </w:rPr>
            </w:pPr>
          </w:p>
        </w:tc>
      </w:tr>
    </w:tbl>
    <w:p w14:paraId="544E1694">
      <w:pPr>
        <w:spacing w:after="120"/>
        <w:rPr>
          <w:rFonts w:hint="default"/>
          <w:lang w:val="en-US"/>
        </w:rPr>
      </w:pPr>
    </w:p>
    <w:p w14:paraId="7E7DC617">
      <w:pPr>
        <w:spacing w:after="120"/>
        <w:rPr>
          <w:rFonts w:hint="default"/>
          <w:lang w:val="en-US"/>
        </w:rPr>
      </w:pPr>
      <w:r>
        <w:rPr>
          <w:rFonts w:hint="default"/>
          <w:lang w:val="en-US"/>
        </w:rPr>
        <w:t xml:space="preserve">The following options can be considered: </w:t>
      </w:r>
    </w:p>
    <w:p w14:paraId="236DB26F">
      <w:pPr>
        <w:spacing w:after="120"/>
        <w:rPr>
          <w:rFonts w:hint="default"/>
          <w:lang w:val="en-US"/>
        </w:rPr>
      </w:pPr>
      <w:r>
        <w:rPr>
          <w:rFonts w:hint="default"/>
          <w:lang w:val="en-US"/>
        </w:rPr>
        <w:t xml:space="preserve">Option 1: NW ensures that within the </w:t>
      </w:r>
      <m:oMath>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oMath>
      <w:r>
        <w:rPr>
          <w:rFonts w:hint="default"/>
          <w:lang w:val="en-US"/>
        </w:rPr>
        <w:t xml:space="preserve"> APPs, the number of APs can be divided by 2/4/8/16, according to the selected mask</w:t>
      </w:r>
    </w:p>
    <w:p w14:paraId="3C42EE99">
      <w:pPr>
        <w:spacing w:after="120"/>
        <w:rPr>
          <w:rFonts w:hint="default"/>
          <w:lang w:val="en-US"/>
        </w:rPr>
      </w:pPr>
      <w:r>
        <w:rPr>
          <w:rFonts w:hint="default"/>
          <w:lang w:val="en-US"/>
        </w:rPr>
        <w:t xml:space="preserve">In this case, one simple solution could be setting the </w:t>
      </w:r>
      <m:oMath>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oMath>
      <w:r>
        <w:t xml:space="preserve"> </w:t>
      </w:r>
      <w:r>
        <w:rPr>
          <w:rFonts w:hint="default"/>
          <w:lang w:val="en-US"/>
        </w:rPr>
        <w:t xml:space="preserve">to be multiples of 2/4/8/16, however, this effectively results in only APP level adaptation, limiting the flexibility of the mask. </w:t>
      </w:r>
    </w:p>
    <w:p w14:paraId="5E2202AE">
      <w:pPr>
        <w:spacing w:after="120"/>
        <w:rPr>
          <w:rFonts w:hint="default"/>
          <w:lang w:val="en-US"/>
        </w:rPr>
      </w:pPr>
      <w:r>
        <w:rPr>
          <w:rFonts w:hint="default"/>
          <w:lang w:val="en-US"/>
        </w:rPr>
        <w:t xml:space="preserve">Option 2: The actual usable APs are ceiled/floored accordingly </w:t>
      </w:r>
    </w:p>
    <w:p w14:paraId="3B00F4F4">
      <w:pPr>
        <w:spacing w:after="120"/>
        <w:rPr>
          <w:rFonts w:hint="default"/>
          <w:lang w:val="en-US"/>
        </w:rPr>
      </w:pPr>
      <w:r>
        <w:rPr>
          <w:rFonts w:hint="default"/>
          <w:lang w:val="en-US"/>
        </w:rPr>
        <w:t xml:space="preserve">In this case, the actual usable APs are ceiled/floored according to the equation: </w:t>
      </w:r>
      <m:oMath>
        <m:d>
          <m:dPr>
            <m:begChr m:val="⌊"/>
            <m:endChr m:val="⌋"/>
            <m:ctrlPr>
              <w:rPr>
                <w:rFonts w:hint="default" w:ascii="DejaVu Math TeX Gyre"/>
                <w:lang w:val="en-US"/>
              </w:rPr>
            </m:ctrlPr>
          </m:dPr>
          <m:e>
            <m:f>
              <m:fPr>
                <m:ctrlPr>
                  <w:rPr>
                    <w:rFonts w:ascii="DejaVu Math TeX Gyre" w:hAnsi="DejaVu Math TeX Gyre"/>
                    <w:i/>
                    <w:lang w:val="en-US"/>
                  </w:rPr>
                </m:ctrlPr>
              </m:fPr>
              <m:num>
                <m:sSub>
                  <m:sSubPr>
                    <m:ctrlPr>
                      <w:rPr>
                        <w:rFonts w:ascii="DejaVu Math TeX Gyre" w:hAnsi="DejaVu Math TeX Gyre"/>
                        <w:i/>
                        <w:lang w:val="en-US"/>
                      </w:rPr>
                    </m:ctrlPr>
                  </m:sSubPr>
                  <m:e>
                    <m:r>
                      <m:rPr/>
                      <w:rPr>
                        <w:rFonts w:hint="default" w:ascii="DejaVu Math TeX Gyre" w:hAnsi="DejaVu Math TeX Gyre"/>
                        <w:lang w:val="en-US"/>
                      </w:rPr>
                      <m:t>N</m:t>
                    </m:r>
                    <m:ctrlPr>
                      <w:rPr>
                        <w:rFonts w:ascii="DejaVu Math TeX Gyre" w:hAnsi="DejaVu Math TeX Gyre"/>
                        <w:i/>
                        <w:lang w:val="en-US"/>
                      </w:rPr>
                    </m:ctrlPr>
                  </m:e>
                  <m:sub>
                    <m:r>
                      <m:rPr/>
                      <w:rPr>
                        <w:rFonts w:hint="default" w:ascii="DejaVu Math TeX Gyre" w:hAnsi="DejaVu Math TeX Gyre"/>
                        <w:lang w:val="en-US"/>
                      </w:rPr>
                      <m:t>APs</m:t>
                    </m:r>
                    <m:ctrlPr>
                      <w:rPr>
                        <w:rFonts w:ascii="DejaVu Math TeX Gyre" w:hAnsi="DejaVu Math TeX Gyre"/>
                        <w:i/>
                        <w:lang w:val="en-US"/>
                      </w:rPr>
                    </m:ctrlPr>
                  </m:sub>
                </m:sSub>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ctrlPr>
                  <w:rPr>
                    <w:rFonts w:ascii="DejaVu Math TeX Gyre" w:hAnsi="DejaVu Math TeX Gyre"/>
                    <w:i/>
                    <w:lang w:val="en-US"/>
                  </w:rPr>
                </m:ctrlPr>
              </m:num>
              <m:den>
                <m:r>
                  <m:rPr/>
                  <w:rPr>
                    <w:rFonts w:hint="default" w:ascii="DejaVu Math TeX Gyre" w:hAnsi="DejaVu Math TeX Gyre"/>
                    <w:lang w:val="en-US"/>
                  </w:rPr>
                  <m:t>N</m:t>
                </m:r>
                <m:ctrlPr>
                  <w:rPr>
                    <w:rFonts w:ascii="DejaVu Math TeX Gyre" w:hAnsi="DejaVu Math TeX Gyre"/>
                    <w:i/>
                    <w:lang w:val="en-US"/>
                  </w:rPr>
                </m:ctrlPr>
              </m:den>
            </m:f>
            <m:ctrlPr>
              <w:rPr>
                <w:rFonts w:hint="default" w:ascii="DejaVu Math TeX Gyre"/>
                <w:lang w:val="en-US"/>
              </w:rPr>
            </m:ctrlPr>
          </m:e>
        </m:d>
      </m:oMath>
      <w:r>
        <w:rPr>
          <w:rFonts w:hint="default"/>
          <w:lang w:val="en-US"/>
        </w:rPr>
        <w:t xml:space="preserve"> or </w:t>
      </w:r>
      <m:oMath>
        <m:d>
          <m:dPr>
            <m:begChr m:val="⌈"/>
            <m:endChr m:val="⌉"/>
            <m:ctrlPr>
              <w:rPr>
                <w:rFonts w:ascii="DejaVu Math TeX Gyre" w:hAnsi="DejaVu Math TeX Gyre"/>
                <w:i/>
                <w:lang w:val="en-US"/>
              </w:rPr>
            </m:ctrlPr>
          </m:dPr>
          <m:e>
            <m:f>
              <m:fPr>
                <m:ctrlPr>
                  <w:rPr>
                    <w:rFonts w:ascii="DejaVu Math TeX Gyre" w:hAnsi="DejaVu Math TeX Gyre"/>
                    <w:i/>
                    <w:lang w:val="en-US"/>
                  </w:rPr>
                </m:ctrlPr>
              </m:fPr>
              <m:num>
                <m:sSub>
                  <m:sSubPr>
                    <m:ctrlPr>
                      <w:rPr>
                        <w:rFonts w:ascii="DejaVu Math TeX Gyre" w:hAnsi="DejaVu Math TeX Gyre"/>
                        <w:i/>
                        <w:lang w:val="en-US"/>
                      </w:rPr>
                    </m:ctrlPr>
                  </m:sSubPr>
                  <m:e>
                    <m:r>
                      <m:rPr/>
                      <w:rPr>
                        <w:rFonts w:hint="default" w:ascii="DejaVu Math TeX Gyre" w:hAnsi="DejaVu Math TeX Gyre"/>
                        <w:lang w:val="en-US"/>
                      </w:rPr>
                      <m:t>N</m:t>
                    </m:r>
                    <m:ctrlPr>
                      <w:rPr>
                        <w:rFonts w:ascii="DejaVu Math TeX Gyre" w:hAnsi="DejaVu Math TeX Gyre"/>
                        <w:i/>
                        <w:lang w:val="en-US"/>
                      </w:rPr>
                    </m:ctrlPr>
                  </m:e>
                  <m:sub>
                    <m:r>
                      <m:rPr/>
                      <w:rPr>
                        <w:rFonts w:hint="default" w:ascii="DejaVu Math TeX Gyre" w:hAnsi="DejaVu Math TeX Gyre"/>
                        <w:lang w:val="en-US"/>
                      </w:rPr>
                      <m:t>APs</m:t>
                    </m:r>
                    <m:ctrlPr>
                      <w:rPr>
                        <w:rFonts w:ascii="DejaVu Math TeX Gyre" w:hAnsi="DejaVu Math TeX Gyre"/>
                        <w:i/>
                        <w:lang w:val="en-US"/>
                      </w:rPr>
                    </m:ctrlPr>
                  </m:sub>
                </m:sSub>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ctrlPr>
                  <w:rPr>
                    <w:rFonts w:ascii="DejaVu Math TeX Gyre" w:hAnsi="DejaVu Math TeX Gyre"/>
                    <w:i/>
                    <w:lang w:val="en-US"/>
                  </w:rPr>
                </m:ctrlPr>
              </m:num>
              <m:den>
                <m:r>
                  <m:rPr/>
                  <w:rPr>
                    <w:rFonts w:hint="default" w:ascii="DejaVu Math TeX Gyre" w:hAnsi="DejaVu Math TeX Gyre"/>
                    <w:lang w:val="en-US"/>
                  </w:rPr>
                  <m:t>N</m:t>
                </m:r>
                <m:ctrlPr>
                  <w:rPr>
                    <w:rFonts w:ascii="DejaVu Math TeX Gyre" w:hAnsi="DejaVu Math TeX Gyre"/>
                    <w:i/>
                    <w:lang w:val="en-US"/>
                  </w:rPr>
                </m:ctrlPr>
              </m:den>
            </m:f>
            <m:ctrlPr>
              <w:rPr>
                <w:rFonts w:ascii="DejaVu Math TeX Gyre" w:hAnsi="DejaVu Math TeX Gyre"/>
                <w:i/>
                <w:lang w:val="en-US"/>
              </w:rPr>
            </m:ctrlPr>
          </m:e>
        </m:d>
      </m:oMath>
      <w:r>
        <w:rPr>
          <w:rFonts w:hint="default" w:hAnsi="DejaVu Math TeX Gyre"/>
          <w:i w:val="0"/>
          <w:lang w:val="en-US"/>
        </w:rPr>
        <w:t xml:space="preserve">, where </w:t>
      </w:r>
      <m:oMath>
        <m:sSub>
          <m:sSubPr>
            <m:ctrlPr>
              <w:rPr>
                <w:rFonts w:ascii="DejaVu Math TeX Gyre" w:hAnsi="DejaVu Math TeX Gyre"/>
                <w:i/>
                <w:lang w:val="en-US"/>
              </w:rPr>
            </m:ctrlPr>
          </m:sSubPr>
          <m:e>
            <m:r>
              <m:rPr/>
              <w:rPr>
                <w:rFonts w:hint="default" w:ascii="DejaVu Math TeX Gyre" w:hAnsi="DejaVu Math TeX Gyre"/>
                <w:lang w:val="en-US"/>
              </w:rPr>
              <m:t>N</m:t>
            </m:r>
            <m:ctrlPr>
              <w:rPr>
                <w:rFonts w:ascii="DejaVu Math TeX Gyre" w:hAnsi="DejaVu Math TeX Gyre"/>
                <w:i/>
                <w:lang w:val="en-US"/>
              </w:rPr>
            </m:ctrlPr>
          </m:e>
          <m:sub>
            <m:r>
              <m:rPr/>
              <w:rPr>
                <w:rFonts w:hint="default" w:ascii="DejaVu Math TeX Gyre" w:hAnsi="DejaVu Math TeX Gyre"/>
                <w:lang w:val="en-US"/>
              </w:rPr>
              <m:t>APs</m:t>
            </m:r>
            <m:ctrlPr>
              <w:rPr>
                <w:rFonts w:ascii="DejaVu Math TeX Gyre" w:hAnsi="DejaVu Math TeX Gyre"/>
                <w:i/>
                <w:lang w:val="en-US"/>
              </w:rPr>
            </m:ctrlPr>
          </m:sub>
        </m:sSub>
      </m:oMath>
      <w:r>
        <w:rPr>
          <w:rFonts w:hint="default" w:hAnsi="DejaVu Math TeX Gyre"/>
          <w:i w:val="0"/>
          <w:lang w:val="en-US"/>
        </w:rPr>
        <w:t xml:space="preserve"> is the number of APs in an APP and </w:t>
      </w:r>
      <m:oMath>
        <m:r>
          <m:rPr/>
          <w:rPr>
            <w:rFonts w:hint="default" w:ascii="DejaVu Math TeX Gyre" w:hAnsi="DejaVu Math TeX Gyre"/>
            <w:lang w:val="en-US"/>
          </w:rPr>
          <m:t>N</m:t>
        </m:r>
      </m:oMath>
      <w:r>
        <w:rPr>
          <w:rFonts w:hint="default"/>
          <w:lang w:val="en-US"/>
        </w:rPr>
        <w:t xml:space="preserve"> is the coefficient as indicated in the selected mask (2/4/8/16). The benefit of this option is that the number of APs within an APP and the </w:t>
      </w:r>
      <m:oMath>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oMath>
      <w:r>
        <w:t xml:space="preserve"> </w:t>
      </w:r>
      <w:r>
        <w:rPr>
          <w:rFonts w:hint="default"/>
          <w:lang w:val="en-US"/>
        </w:rPr>
        <w:t xml:space="preserve">value, can be arbitrarily selected. </w:t>
      </w:r>
    </w:p>
    <w:p w14:paraId="5AED1F02">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6: Regarding the number of APs within the </w:t>
      </w:r>
      <m:oMath>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oMath>
      <w:r>
        <w:rPr>
          <w:rFonts w:hint="default" w:ascii="Times New Roman Bold" w:hAnsi="Times New Roman Bold" w:cs="Times New Roman Bold"/>
          <w:b/>
          <w:bCs/>
          <w:lang w:val="en-US"/>
        </w:rPr>
        <w:t xml:space="preserve"> APPs for the PRACH mask, discuss the following two options: </w:t>
      </w:r>
    </w:p>
    <w:p w14:paraId="7517A21B">
      <w:pPr>
        <w:numPr>
          <w:ilvl w:val="0"/>
          <w:numId w:val="10"/>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Option 1: NW ensures that within the K_APP APPs, the number of APs can be divided by 2 or 4 or 8, according to the selected mask;</w:t>
      </w:r>
    </w:p>
    <w:p w14:paraId="47FE450F">
      <w:pPr>
        <w:numPr>
          <w:ilvl w:val="0"/>
          <w:numId w:val="10"/>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Option 2: The actual usable APPs are ceiled/floored accordingly.</w:t>
      </w:r>
    </w:p>
    <w:p w14:paraId="7638F425">
      <w:pPr>
        <w:pStyle w:val="3"/>
        <w:spacing w:after="120"/>
        <w:rPr>
          <w:lang w:val="en-US" w:eastAsia="sv-SE"/>
        </w:rPr>
      </w:pPr>
      <w:r>
        <w:rPr>
          <w:lang w:val="en-US" w:eastAsia="sv-SE"/>
        </w:rPr>
        <w:t xml:space="preserve"> RA-RNTI ambiguity issue</w:t>
      </w:r>
    </w:p>
    <w:p w14:paraId="01FB2EC0">
      <w:pPr>
        <w:tabs>
          <w:tab w:val="left" w:pos="420"/>
        </w:tabs>
        <w:spacing w:after="120"/>
        <w:rPr>
          <w:lang w:val="en-US"/>
        </w:rPr>
      </w:pPr>
      <w:r>
        <w:rPr>
          <w:lang w:val="en-US"/>
        </w:rPr>
        <w:t xml:space="preserve">In RAN1 #120 meeting, there were agreements on configuring separately a Msg1-FDM for the additional PRACH resources.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14:paraId="28BB2EAA">
        <w:tc>
          <w:tcPr>
            <w:tcW w:w="9657" w:type="dxa"/>
          </w:tcPr>
          <w:p w14:paraId="1C3D203E">
            <w:pPr>
              <w:tabs>
                <w:tab w:val="left" w:pos="1440"/>
              </w:tabs>
              <w:autoSpaceDE/>
              <w:autoSpaceDN/>
              <w:spacing w:after="0" w:afterLines="0"/>
              <w:ind w:left="1440" w:hanging="1440"/>
              <w:jc w:val="left"/>
              <w:rPr>
                <w:rFonts w:ascii="Times" w:hAnsi="Times"/>
                <w:b/>
                <w:bCs/>
                <w:lang w:eastAsia="zh-CN"/>
              </w:rPr>
            </w:pPr>
            <w:r>
              <w:rPr>
                <w:rFonts w:ascii="Times" w:hAnsi="Times"/>
                <w:b/>
                <w:bCs/>
                <w:highlight w:val="green"/>
                <w:lang w:eastAsia="zh-CN"/>
              </w:rPr>
              <w:t>Agreement</w:t>
            </w:r>
          </w:p>
          <w:p w14:paraId="700AAF9B">
            <w:pPr>
              <w:numPr>
                <w:ilvl w:val="0"/>
                <w:numId w:val="9"/>
              </w:numPr>
              <w:tabs>
                <w:tab w:val="left" w:pos="800"/>
              </w:tabs>
              <w:overflowPunct w:val="0"/>
              <w:adjustRightInd w:val="0"/>
              <w:spacing w:after="120"/>
              <w:ind w:left="800" w:hanging="440"/>
              <w:contextualSpacing/>
              <w:textAlignment w:val="baseline"/>
              <w:rPr>
                <w:rFonts w:ascii="Times" w:hAnsi="Times"/>
                <w:lang w:eastAsia="zh-CN"/>
              </w:rPr>
            </w:pPr>
            <w:r>
              <w:rPr>
                <w:rFonts w:ascii="Times" w:hAnsi="Times"/>
                <w:lang w:eastAsia="zh-CN"/>
              </w:rPr>
              <w:t>Separate configuration of Msg1-FDM for the additional PRACH resources at least for 4-step RACH is supported</w:t>
            </w:r>
          </w:p>
          <w:p w14:paraId="64FFD048">
            <w:pPr>
              <w:numPr>
                <w:ilvl w:val="1"/>
                <w:numId w:val="9"/>
              </w:numPr>
              <w:spacing w:after="120"/>
              <w:rPr>
                <w:rFonts w:ascii="Times" w:hAnsi="Times"/>
                <w:lang w:eastAsia="zh-CN"/>
              </w:rPr>
            </w:pPr>
            <w:r>
              <w:rPr>
                <w:rFonts w:ascii="Times" w:hAnsi="Times"/>
                <w:lang w:eastAsia="zh-CN"/>
              </w:rPr>
              <w:t>UE is not expected to be configured such that there are more than 8 FDM-ed valid ROs (legacy + additional ROs)</w:t>
            </w:r>
          </w:p>
          <w:p w14:paraId="44E6477A">
            <w:pPr>
              <w:numPr>
                <w:ilvl w:val="1"/>
                <w:numId w:val="9"/>
              </w:numPr>
              <w:spacing w:after="120"/>
              <w:rPr>
                <w:rFonts w:ascii="Times" w:hAnsi="Times"/>
                <w:lang w:eastAsia="zh-CN"/>
              </w:rPr>
            </w:pPr>
            <w:r>
              <w:rPr>
                <w:rFonts w:ascii="Times" w:hAnsi="Times"/>
                <w:lang w:eastAsia="zh-CN"/>
              </w:rPr>
              <w:t>FFS: When there is no configuration of Msg1-FDM</w:t>
            </w:r>
          </w:p>
          <w:p w14:paraId="5150EDAF">
            <w:pPr>
              <w:numPr>
                <w:ilvl w:val="0"/>
                <w:numId w:val="9"/>
              </w:numPr>
              <w:tabs>
                <w:tab w:val="left" w:pos="800"/>
              </w:tabs>
              <w:overflowPunct w:val="0"/>
              <w:adjustRightInd w:val="0"/>
              <w:spacing w:after="120"/>
              <w:ind w:left="800" w:hanging="440"/>
              <w:contextualSpacing/>
              <w:textAlignment w:val="baseline"/>
              <w:rPr>
                <w:lang w:val="en-US"/>
              </w:rPr>
            </w:pPr>
            <w:r>
              <w:rPr>
                <w:rFonts w:ascii="Times" w:hAnsi="Times"/>
                <w:lang w:eastAsia="zh-CN"/>
              </w:rPr>
              <w:t>Separate configuration of number of SSB per RO is supported</w:t>
            </w:r>
          </w:p>
        </w:tc>
      </w:tr>
    </w:tbl>
    <w:p w14:paraId="2FF9EC4D">
      <w:pPr>
        <w:tabs>
          <w:tab w:val="left" w:pos="420"/>
        </w:tabs>
        <w:spacing w:after="120"/>
        <w:rPr>
          <w:lang w:val="en-US"/>
        </w:rPr>
      </w:pPr>
    </w:p>
    <w:p w14:paraId="21EB16D3">
      <w:pPr>
        <w:tabs>
          <w:tab w:val="left" w:pos="420"/>
        </w:tabs>
        <w:spacing w:after="120"/>
        <w:rPr>
          <w:lang w:val="en-US"/>
        </w:rPr>
      </w:pPr>
      <w:r>
        <w:rPr>
          <w:lang w:val="en-US"/>
        </w:rPr>
        <w:t>Considering that the legacy ROs and addtional ROs could be overlapping in time domain, then for the ROs that are FDMed and has the same f_id, the RA-RNTI would be the same. In this case, although a legacy UE and a new UE are sending Msg 1 on different ROs, they use the same RA-RNTI to monitor RAR which increase the collision probability and also increase UE power for detecting RAR not intended for itself.</w:t>
      </w:r>
    </w:p>
    <w:p w14:paraId="52D74FC1">
      <w:pPr>
        <w:tabs>
          <w:tab w:val="left" w:pos="420"/>
        </w:tabs>
        <w:spacing w:after="120"/>
        <w:rPr>
          <w:lang w:val="en-US"/>
        </w:rPr>
      </w:pPr>
      <w:r>
        <w:rPr>
          <w:lang w:val="en-US"/>
        </w:rPr>
        <w:t xml:space="preserve">To solve the RA-RNTI ambiguity issue, the following alternatives can be considered: </w:t>
      </w:r>
    </w:p>
    <w:p w14:paraId="291B744F">
      <w:pPr>
        <w:tabs>
          <w:tab w:val="left" w:pos="420"/>
        </w:tabs>
        <w:spacing w:after="120"/>
        <w:rPr>
          <w:lang w:val="en-US"/>
        </w:rPr>
      </w:pPr>
      <w:r>
        <w:rPr>
          <w:lang w:val="en-US"/>
        </w:rPr>
        <w:t xml:space="preserve">Alt 1: For RA-RNTI calculation, introduce a k_offset for the additional PRACH resources, i.e. </w:t>
      </w:r>
    </w:p>
    <w:p w14:paraId="1D49C255">
      <w:pPr>
        <w:tabs>
          <w:tab w:val="left" w:pos="420"/>
        </w:tabs>
        <w:spacing w:after="120"/>
        <w:rPr>
          <w:lang w:val="en-US"/>
        </w:rPr>
      </w:pPr>
      <w:r>
        <w:rPr>
          <w:lang w:val="en-US"/>
        </w:rPr>
        <w:t>RA-RNTI = 1 + s_id + 14 x t_id + 14 x 80 x f_id + 14 x 80 x8 x ul_carrier_id + 14 x 80x 8 x 2 x k_offset, where the k_offset</w:t>
      </w:r>
      <w:r>
        <w:rPr>
          <w:rFonts w:hint="default"/>
          <w:lang w:val="en-US"/>
        </w:rPr>
        <w:t xml:space="preserve"> (k_offset &gt;1)</w:t>
      </w:r>
      <w:r>
        <w:rPr>
          <w:lang w:val="en-US"/>
        </w:rPr>
        <w:t xml:space="preserve"> is introduced for the additional PRACH resources for NES adaptation. </w:t>
      </w:r>
    </w:p>
    <w:p w14:paraId="31B1033B">
      <w:pPr>
        <w:tabs>
          <w:tab w:val="left" w:pos="420"/>
        </w:tabs>
        <w:spacing w:after="120"/>
        <w:rPr>
          <w:lang w:val="en-US"/>
        </w:rPr>
      </w:pPr>
      <w:r>
        <w:rPr>
          <w:lang w:val="en-US"/>
        </w:rPr>
        <w:t xml:space="preserve">Alt 2: For RA-RNTI calculation, f_id for the additional PRACH resources overlapped in time domain with the legacy resources is calculated based on the number of FDMed legacy ROs, i.e. f_id_A is the index of the PRACH occasion in the frequency domain plus the number of FDMed legacy ROs.  </w:t>
      </w:r>
    </w:p>
    <w:p w14:paraId="6ED5CBCB">
      <w:pPr>
        <w:tabs>
          <w:tab w:val="left" w:pos="420"/>
        </w:tabs>
        <w:spacing w:after="120"/>
        <w:rPr>
          <w:lang w:val="en-US"/>
        </w:rPr>
      </w:pPr>
      <w:r>
        <w:rPr>
          <w:lang w:val="en-US"/>
        </w:rPr>
        <w:t xml:space="preserve">As shown in Fig. 7, this can be applied to all the additional PRACH resources regardless whether they overlap with legacy ones in time domain or not (Alt 2-1), or can be applied only to the additional PRACH resources that are overlapped in time domain (Alt 2-2). </w:t>
      </w:r>
    </w:p>
    <w:p w14:paraId="1AF81107">
      <w:pPr>
        <w:tabs>
          <w:tab w:val="left" w:pos="420"/>
        </w:tabs>
        <w:spacing w:after="120"/>
      </w:pPr>
      <w:r>
        <w:drawing>
          <wp:inline distT="0" distB="0" distL="114300" distR="114300">
            <wp:extent cx="5988050" cy="2162175"/>
            <wp:effectExtent l="0" t="0" r="0" b="22225"/>
            <wp:docPr id="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4"/>
                    <pic:cNvPicPr>
                      <a:picLocks noChangeAspect="1"/>
                    </pic:cNvPicPr>
                  </pic:nvPicPr>
                  <pic:blipFill>
                    <a:blip r:embed="rId8"/>
                    <a:stretch>
                      <a:fillRect/>
                    </a:stretch>
                  </pic:blipFill>
                  <pic:spPr>
                    <a:xfrm>
                      <a:off x="0" y="0"/>
                      <a:ext cx="5988050" cy="2162175"/>
                    </a:xfrm>
                    <a:prstGeom prst="rect">
                      <a:avLst/>
                    </a:prstGeom>
                    <a:noFill/>
                    <a:ln>
                      <a:noFill/>
                    </a:ln>
                  </pic:spPr>
                </pic:pic>
              </a:graphicData>
            </a:graphic>
          </wp:inline>
        </w:drawing>
      </w:r>
    </w:p>
    <w:p w14:paraId="39B1EAC6">
      <w:pPr>
        <w:spacing w:after="120"/>
        <w:jc w:val="center"/>
        <w:rPr>
          <w:lang w:val="en-US"/>
        </w:rPr>
      </w:pPr>
      <w:r>
        <w:rPr>
          <w:lang w:val="en-US"/>
        </w:rPr>
        <w:t xml:space="preserve">Fig.7 f_id_additional calculation for </w:t>
      </w:r>
    </w:p>
    <w:p w14:paraId="79886E5D">
      <w:pPr>
        <w:tabs>
          <w:tab w:val="left" w:pos="420"/>
        </w:tabs>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7</w:t>
      </w:r>
      <w:r>
        <w:rPr>
          <w:rFonts w:ascii="Times New Roman Bold" w:hAnsi="Times New Roman Bold" w:cs="Times New Roman Bold"/>
          <w:b/>
          <w:bCs/>
          <w:lang w:val="en-US"/>
        </w:rPr>
        <w:t xml:space="preserve">: For RA-RNTI ambiguity issue, consider the following alternatives: </w:t>
      </w:r>
    </w:p>
    <w:p w14:paraId="01FEEE15">
      <w:pPr>
        <w:numPr>
          <w:ilvl w:val="0"/>
          <w:numId w:val="11"/>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Alt 1: Introduce a k_offset for the additional PRACH resources, i.e. RA-RNTI = 1 + s_id + 14 x t_id + 14 x 80 x f_id + 14 x 80 x8 x ul_carrier_id + 14 x 80x 8 x 2 x k_offset </w:t>
      </w:r>
    </w:p>
    <w:p w14:paraId="2C005EB1">
      <w:pPr>
        <w:numPr>
          <w:ilvl w:val="0"/>
          <w:numId w:val="11"/>
        </w:numPr>
        <w:spacing w:after="120"/>
        <w:rPr>
          <w:rFonts w:ascii="Times New Roman Bold" w:hAnsi="Times New Roman Bold" w:cs="Times New Roman Bold"/>
          <w:b/>
          <w:bCs/>
          <w:lang w:val="en-US"/>
        </w:rPr>
      </w:pPr>
      <w:r>
        <w:rPr>
          <w:rFonts w:ascii="Times New Roman Bold" w:hAnsi="Times New Roman Bold" w:cs="Times New Roman Bold"/>
          <w:b/>
          <w:bCs/>
          <w:lang w:val="en-US"/>
        </w:rPr>
        <w:t>Alt 2: f_id for the additional PRACH resources is the index of the PRACH occasion in the frequency domain plus the number of FDMed legacy ROs.</w:t>
      </w:r>
    </w:p>
    <w:p w14:paraId="253D7596">
      <w:pPr>
        <w:numPr>
          <w:ilvl w:val="1"/>
          <w:numId w:val="11"/>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FFS whether this applies only to the additional PRACH resources overlapped in time domain with legacy PRACH resources or applied to all additional PRACH resources. </w:t>
      </w:r>
    </w:p>
    <w:p w14:paraId="41D4B856">
      <w:pPr>
        <w:tabs>
          <w:tab w:val="left" w:pos="420"/>
        </w:tabs>
        <w:spacing w:after="120"/>
        <w:rPr>
          <w:lang w:val="en-US"/>
        </w:rPr>
      </w:pPr>
    </w:p>
    <w:p w14:paraId="12A68FEB">
      <w:pPr>
        <w:keepNext/>
        <w:keepLines/>
        <w:numPr>
          <w:ilvl w:val="0"/>
          <w:numId w:val="3"/>
        </w:numPr>
        <w:pBdr>
          <w:top w:val="single" w:color="auto" w:sz="12" w:space="3"/>
        </w:pBdr>
        <w:overflowPunct w:val="0"/>
        <w:adjustRightInd w:val="0"/>
        <w:spacing w:before="240" w:after="120"/>
        <w:textAlignment w:val="baseline"/>
        <w:outlineLvl w:val="0"/>
        <w:rPr>
          <w:rFonts w:hint="default" w:eastAsia="Malgun Gothic"/>
          <w:sz w:val="36"/>
          <w:szCs w:val="36"/>
          <w:lang w:val="en-US" w:eastAsia="sv-SE"/>
        </w:rPr>
      </w:pPr>
      <w:r>
        <w:rPr>
          <w:rFonts w:eastAsia="Malgun Gothic"/>
          <w:sz w:val="36"/>
          <w:szCs w:val="36"/>
          <w:lang w:val="en-US" w:eastAsia="zh-CN"/>
        </w:rPr>
        <w:t xml:space="preserve"> </w:t>
      </w:r>
      <w:r>
        <w:rPr>
          <w:rFonts w:hint="default" w:eastAsia="Malgun Gothic"/>
          <w:sz w:val="36"/>
          <w:szCs w:val="36"/>
          <w:lang w:val="en-US" w:eastAsia="zh-CN"/>
        </w:rPr>
        <w:t>Text proposals</w:t>
      </w:r>
    </w:p>
    <w:p w14:paraId="7012B0D3">
      <w:pPr>
        <w:pStyle w:val="3"/>
        <w:numPr>
          <w:ilvl w:val="1"/>
          <w:numId w:val="3"/>
        </w:numPr>
        <w:tabs>
          <w:tab w:val="clear" w:pos="576"/>
        </w:tabs>
        <w:spacing w:after="120"/>
        <w:ind w:left="576" w:leftChars="0" w:hanging="576" w:firstLineChars="0"/>
        <w:rPr>
          <w:rFonts w:hint="default"/>
          <w:lang w:val="en-US" w:eastAsia="sv-SE"/>
        </w:rPr>
      </w:pPr>
      <w:r>
        <w:rPr>
          <w:rFonts w:hint="default"/>
          <w:lang w:val="en-US" w:eastAsia="sv-SE"/>
        </w:rPr>
        <w:t xml:space="preserve"> TP#1 - Text Proposal for TS 38.212</w:t>
      </w:r>
    </w:p>
    <w:p w14:paraId="74FD09E2">
      <w:pPr>
        <w:rPr>
          <w:rFonts w:hint="default"/>
          <w:lang w:val="en-US" w:eastAsia="sv-SE"/>
        </w:rPr>
      </w:pPr>
    </w:p>
    <w:p w14:paraId="29E0B38E">
      <w:pPr>
        <w:numPr>
          <w:ilvl w:val="0"/>
          <w:numId w:val="0"/>
        </w:numPr>
        <w:bidi w:val="0"/>
        <w:rPr>
          <w:rFonts w:hint="default"/>
          <w:color w:val="FF0000"/>
          <w:lang w:val="en-US" w:eastAsia="zh-CN"/>
        </w:rPr>
      </w:pPr>
      <w:r>
        <w:rPr>
          <w:rFonts w:hint="default"/>
          <w:color w:val="FF0000"/>
          <w:lang w:val="en-US" w:eastAsia="zh-CN"/>
        </w:rPr>
        <w:t>------------------------------------------------- Text proposal for TS38.212 sec 7.3.1.2.1------------------------------------------</w:t>
      </w:r>
    </w:p>
    <w:p w14:paraId="22A148AD">
      <w:pPr>
        <w:bidi w:val="0"/>
        <w:rPr>
          <w:rFonts w:ascii="Arial" w:hAnsi="Arial" w:eastAsia="等线"/>
          <w:color w:val="FF0000"/>
          <w:sz w:val="22"/>
          <w:lang w:eastAsia="zh-CN"/>
        </w:rPr>
      </w:pPr>
      <w:bookmarkStart w:id="3" w:name="_Toc146188109"/>
      <w:bookmarkStart w:id="4" w:name="_Toc191983302"/>
      <w:r>
        <w:rPr>
          <w:rFonts w:hint="eastAsia" w:ascii="Arial" w:hAnsi="Arial" w:eastAsia="等线"/>
          <w:sz w:val="22"/>
          <w:lang w:eastAsia="zh-CN"/>
        </w:rPr>
        <w:t>7.3.1.2.1</w:t>
      </w:r>
      <w:r>
        <w:rPr>
          <w:rFonts w:hint="eastAsia" w:ascii="Arial" w:hAnsi="Arial" w:eastAsia="等线"/>
          <w:sz w:val="22"/>
          <w:lang w:eastAsia="zh-CN"/>
        </w:rPr>
        <w:tab/>
      </w:r>
      <w:r>
        <w:rPr>
          <w:rFonts w:hint="eastAsia" w:ascii="Arial" w:hAnsi="Arial" w:eastAsia="等线"/>
          <w:sz w:val="22"/>
          <w:lang w:eastAsia="zh-CN"/>
        </w:rPr>
        <w:t>Format 1_0</w:t>
      </w:r>
      <w:bookmarkEnd w:id="3"/>
      <w:bookmarkEnd w:id="4"/>
    </w:p>
    <w:p w14:paraId="6CCF8AB2">
      <w:pPr>
        <w:jc w:val="center"/>
        <w:rPr>
          <w:rFonts w:hint="default"/>
          <w:color w:val="FF0000"/>
          <w:lang w:val="en-US" w:eastAsia="sv-SE"/>
        </w:rPr>
      </w:pPr>
      <w:r>
        <w:rPr>
          <w:rFonts w:hint="default"/>
          <w:color w:val="FF0000"/>
          <w:lang w:val="en-US" w:eastAsia="sv-SE"/>
        </w:rPr>
        <w:t>&lt;unchanged parts omitted&gt;</w:t>
      </w:r>
    </w:p>
    <w:p w14:paraId="34AEE184">
      <w:pPr>
        <w:widowControl w:val="0"/>
        <w:overflowPunct w:val="0"/>
        <w:ind w:left="568" w:hanging="284"/>
        <w:textAlignment w:val="baseline"/>
        <w:rPr>
          <w:rFonts w:eastAsia="等线"/>
          <w:lang w:eastAsia="zh-CN"/>
        </w:rPr>
      </w:pPr>
      <w:r>
        <w:rPr>
          <w:rFonts w:eastAsia="等线"/>
          <w:lang w:eastAsia="zh-CN"/>
        </w:rPr>
        <w:t>-</w:t>
      </w:r>
      <w:r>
        <w:rPr>
          <w:rFonts w:eastAsia="等线"/>
          <w:lang w:eastAsia="zh-CN"/>
        </w:rPr>
        <w:tab/>
      </w:r>
      <w:r>
        <w:rPr>
          <w:rFonts w:eastAsia="等线"/>
          <w:lang w:eastAsia="zh-CN"/>
        </w:rPr>
        <w:t>Short Messages</w:t>
      </w:r>
      <w:r>
        <w:rPr>
          <w:rFonts w:hint="eastAsia" w:eastAsia="等线"/>
          <w:lang w:eastAsia="zh-CN"/>
        </w:rPr>
        <w:t xml:space="preserve"> </w:t>
      </w:r>
      <w:r>
        <w:rPr>
          <w:rFonts w:eastAsia="等线"/>
          <w:lang w:eastAsia="zh-CN"/>
        </w:rPr>
        <w:t xml:space="preserve">- </w:t>
      </w:r>
      <w:r>
        <w:rPr>
          <w:rFonts w:hint="eastAsia" w:eastAsia="等线"/>
          <w:lang w:eastAsia="zh-CN"/>
        </w:rPr>
        <w:t>8</w:t>
      </w:r>
      <w:r>
        <w:rPr>
          <w:rFonts w:eastAsia="等线"/>
          <w:lang w:eastAsia="zh-CN"/>
        </w:rPr>
        <w:t xml:space="preserve"> bit</w:t>
      </w:r>
      <w:r>
        <w:rPr>
          <w:rFonts w:hint="eastAsia" w:eastAsia="等线"/>
          <w:lang w:eastAsia="zh-CN"/>
        </w:rPr>
        <w:t xml:space="preserve">s, according to Clause </w:t>
      </w:r>
      <w:r>
        <w:rPr>
          <w:rFonts w:eastAsia="等线"/>
          <w:lang w:eastAsia="zh-CN"/>
        </w:rPr>
        <w:t>6.5</w:t>
      </w:r>
      <w:r>
        <w:rPr>
          <w:rFonts w:hint="eastAsia" w:eastAsia="等线"/>
          <w:lang w:eastAsia="zh-CN"/>
        </w:rPr>
        <w:t xml:space="preserve"> of [9, TS38.331]</w:t>
      </w:r>
      <w:r>
        <w:rPr>
          <w:rFonts w:eastAsia="等线"/>
          <w:lang w:eastAsia="zh-CN"/>
        </w:rPr>
        <w:t>.</w:t>
      </w:r>
      <w:r>
        <w:rPr>
          <w:rFonts w:hint="eastAsia" w:eastAsia="等线"/>
          <w:lang w:eastAsia="zh-CN"/>
        </w:rPr>
        <w:t xml:space="preserve"> </w:t>
      </w:r>
      <w:r>
        <w:rPr>
          <w:rFonts w:eastAsia="等线"/>
          <w:lang w:eastAsia="zh-CN"/>
        </w:rPr>
        <w:t>I</w:t>
      </w:r>
      <w:r>
        <w:rPr>
          <w:rFonts w:hint="eastAsia" w:eastAsia="等线"/>
          <w:lang w:eastAsia="zh-CN"/>
        </w:rPr>
        <w:t>f only the scheduling information for Paging</w:t>
      </w:r>
      <w:r>
        <w:rPr>
          <w:rFonts w:eastAsia="等线"/>
          <w:lang w:eastAsia="zh-CN"/>
        </w:rPr>
        <w:t>,</w:t>
      </w:r>
      <w:r>
        <w:rPr>
          <w:rFonts w:hint="eastAsia" w:eastAsia="等线"/>
          <w:lang w:eastAsia="zh-CN"/>
        </w:rPr>
        <w:t xml:space="preserve"> </w:t>
      </w:r>
      <w:r>
        <w:rPr>
          <w:rFonts w:eastAsia="等线"/>
          <w:lang w:eastAsia="zh-CN"/>
        </w:rPr>
        <w:t xml:space="preserve">and TRS availability indication if </w:t>
      </w:r>
      <w:r>
        <w:rPr>
          <w:rFonts w:eastAsia="等线"/>
          <w:i/>
        </w:rPr>
        <w:t>trs-ResourceSetConfig</w:t>
      </w:r>
      <w:r>
        <w:rPr>
          <w:rFonts w:hint="eastAsia" w:eastAsia="等线"/>
          <w:lang w:eastAsia="zh-CN"/>
        </w:rPr>
        <w:t xml:space="preserve"> </w:t>
      </w:r>
      <w:r>
        <w:rPr>
          <w:rFonts w:eastAsia="等线"/>
          <w:lang w:eastAsia="zh-CN"/>
        </w:rPr>
        <w:t xml:space="preserve">or </w:t>
      </w:r>
      <w:r>
        <w:rPr>
          <w:rFonts w:eastAsia="等线"/>
          <w:i/>
        </w:rPr>
        <w:t>trs-ResourceSetConfig-r18</w:t>
      </w:r>
      <w:r>
        <w:rPr>
          <w:rFonts w:hint="eastAsia" w:eastAsia="等线"/>
          <w:lang w:eastAsia="zh-CN"/>
        </w:rPr>
        <w:t xml:space="preserve"> is </w:t>
      </w:r>
      <w:r>
        <w:rPr>
          <w:rFonts w:eastAsia="等线"/>
        </w:rPr>
        <w:t>configured</w:t>
      </w:r>
      <w:r>
        <w:rPr>
          <w:rFonts w:eastAsia="等线"/>
          <w:lang w:eastAsia="zh-CN"/>
        </w:rPr>
        <w:t>,</w:t>
      </w:r>
      <w:r>
        <w:rPr>
          <w:rFonts w:hint="eastAsia" w:eastAsia="等线"/>
          <w:lang w:eastAsia="zh-CN"/>
        </w:rPr>
        <w:t xml:space="preserve"> </w:t>
      </w:r>
      <w:r>
        <w:rPr>
          <w:rFonts w:eastAsia="等线"/>
          <w:lang w:eastAsia="zh-CN"/>
        </w:rPr>
        <w:t>are</w:t>
      </w:r>
      <w:r>
        <w:rPr>
          <w:rFonts w:hint="eastAsia" w:eastAsia="等线"/>
          <w:lang w:eastAsia="zh-CN"/>
        </w:rPr>
        <w:t xml:space="preserve"> carried, </w:t>
      </w:r>
      <w:r>
        <w:rPr>
          <w:rFonts w:eastAsia="等线"/>
          <w:strike/>
          <w:color w:val="FF0000"/>
          <w:highlight w:val="yellow"/>
          <w:lang w:eastAsia="zh-CN"/>
        </w:rPr>
        <w:t>all the bits in</w:t>
      </w:r>
      <w:r>
        <w:rPr>
          <w:rFonts w:eastAsia="等线"/>
          <w:highlight w:val="yellow"/>
          <w:lang w:eastAsia="zh-CN"/>
        </w:rPr>
        <w:t xml:space="preserve"> </w:t>
      </w:r>
      <w:r>
        <w:rPr>
          <w:rFonts w:hint="eastAsia" w:eastAsia="等线"/>
          <w:highlight w:val="yellow"/>
          <w:lang w:eastAsia="zh-CN"/>
        </w:rPr>
        <w:t>this bit field</w:t>
      </w:r>
      <w:r>
        <w:rPr>
          <w:rFonts w:eastAsia="等线"/>
          <w:highlight w:val="yellow"/>
          <w:lang w:eastAsia="zh-CN"/>
        </w:rPr>
        <w:t xml:space="preserve"> </w:t>
      </w:r>
      <w:r>
        <w:rPr>
          <w:rFonts w:eastAsia="等线"/>
          <w:color w:val="0000FF"/>
          <w:highlight w:val="yellow"/>
          <w:lang w:eastAsia="zh-CN"/>
        </w:rPr>
        <w:t>is</w:t>
      </w:r>
      <w:r>
        <w:rPr>
          <w:rFonts w:hint="eastAsia" w:eastAsia="等线"/>
          <w:highlight w:val="yellow"/>
          <w:lang w:eastAsia="zh-CN"/>
        </w:rPr>
        <w:t xml:space="preserve"> </w:t>
      </w:r>
      <w:r>
        <w:rPr>
          <w:rFonts w:eastAsia="等线"/>
          <w:strike/>
          <w:color w:val="FF0000"/>
          <w:highlight w:val="yellow"/>
          <w:lang w:eastAsia="zh-CN"/>
        </w:rPr>
        <w:t>are</w:t>
      </w:r>
      <w:r>
        <w:rPr>
          <w:rFonts w:hint="eastAsia" w:eastAsia="等线"/>
          <w:strike/>
          <w:color w:val="0000FF"/>
          <w:highlight w:val="yellow"/>
          <w:lang w:eastAsia="zh-CN"/>
        </w:rPr>
        <w:t xml:space="preserve"> </w:t>
      </w:r>
      <w:r>
        <w:rPr>
          <w:rFonts w:hint="eastAsia" w:eastAsia="等线"/>
          <w:highlight w:val="yellow"/>
          <w:lang w:eastAsia="zh-CN"/>
        </w:rPr>
        <w:t>reserved</w:t>
      </w:r>
      <w:r>
        <w:rPr>
          <w:rFonts w:eastAsia="等线"/>
          <w:strike/>
          <w:color w:val="FF0000"/>
          <w:highlight w:val="yellow"/>
          <w:lang w:eastAsia="zh-CN"/>
        </w:rPr>
        <w:t xml:space="preserve">, except the bit indicating </w:t>
      </w:r>
      <w:r>
        <w:rPr>
          <w:rFonts w:hint="eastAsia" w:eastAsia="等线"/>
          <w:strike/>
          <w:color w:val="FF0000"/>
          <w:szCs w:val="21"/>
          <w:highlight w:val="yellow"/>
          <w:lang w:eastAsia="zh-CN"/>
        </w:rPr>
        <w:t>the</w:t>
      </w:r>
      <w:r>
        <w:rPr>
          <w:rFonts w:eastAsia="等线"/>
          <w:strike/>
          <w:color w:val="FF0000"/>
          <w:szCs w:val="21"/>
          <w:highlight w:val="yellow"/>
        </w:rPr>
        <w:t xml:space="preserve"> availability of the PRACH resource configured by</w:t>
      </w:r>
      <w:r>
        <w:rPr>
          <w:rFonts w:eastAsia="等线"/>
          <w:i/>
          <w:strike/>
          <w:color w:val="FF0000"/>
          <w:highlight w:val="yellow"/>
        </w:rPr>
        <w:t xml:space="preserve"> </w:t>
      </w:r>
      <w:r>
        <w:rPr>
          <w:rFonts w:eastAsia="等线"/>
          <w:i/>
          <w:iCs/>
          <w:strike/>
          <w:color w:val="FF0000"/>
          <w:szCs w:val="21"/>
          <w:highlight w:val="yellow"/>
        </w:rPr>
        <w:t xml:space="preserve">addl-RACH-Config-Adaptation </w:t>
      </w:r>
      <w:r>
        <w:rPr>
          <w:rFonts w:eastAsia="等线"/>
          <w:strike/>
          <w:color w:val="FF0000"/>
          <w:szCs w:val="21"/>
          <w:highlight w:val="yellow"/>
        </w:rPr>
        <w:t xml:space="preserve">according to </w:t>
      </w:r>
      <w:r>
        <w:rPr>
          <w:rFonts w:hint="eastAsia" w:eastAsia="等线"/>
          <w:strike/>
          <w:color w:val="FF0000"/>
          <w:highlight w:val="yellow"/>
          <w:lang w:eastAsia="zh-CN"/>
        </w:rPr>
        <w:t xml:space="preserve">Clause </w:t>
      </w:r>
      <w:r>
        <w:rPr>
          <w:rFonts w:eastAsia="等线"/>
          <w:strike/>
          <w:color w:val="FF0000"/>
          <w:highlight w:val="yellow"/>
          <w:lang w:eastAsia="zh-CN"/>
        </w:rPr>
        <w:t>6.5</w:t>
      </w:r>
      <w:r>
        <w:rPr>
          <w:rFonts w:hint="eastAsia" w:eastAsia="等线"/>
          <w:strike/>
          <w:color w:val="FF0000"/>
          <w:highlight w:val="yellow"/>
          <w:lang w:eastAsia="zh-CN"/>
        </w:rPr>
        <w:t xml:space="preserve"> of [9, TS38.331]</w:t>
      </w:r>
      <w:r>
        <w:rPr>
          <w:rFonts w:hint="eastAsia" w:eastAsia="等线"/>
          <w:highlight w:val="yellow"/>
          <w:lang w:eastAsia="zh-CN"/>
        </w:rPr>
        <w:t>.</w:t>
      </w:r>
    </w:p>
    <w:p w14:paraId="1EDA997B">
      <w:pPr>
        <w:numPr>
          <w:ilvl w:val="0"/>
          <w:numId w:val="0"/>
        </w:numPr>
        <w:bidi w:val="0"/>
        <w:rPr>
          <w:rFonts w:hint="default"/>
          <w:color w:val="FF0000"/>
          <w:lang w:val="en-US" w:eastAsia="zh-CN"/>
        </w:rPr>
      </w:pPr>
      <w:r>
        <w:rPr>
          <w:rFonts w:hint="default"/>
          <w:color w:val="FF0000"/>
          <w:lang w:val="en-US" w:eastAsia="zh-CN"/>
        </w:rPr>
        <w:t>------------------------------------------- End of Text proposal for TS38.212 sec 7.3.1.2.1---------------------------------------</w:t>
      </w:r>
    </w:p>
    <w:p w14:paraId="473192AB">
      <w:pPr>
        <w:rPr>
          <w:rFonts w:hint="default"/>
          <w:lang w:val="en-US" w:eastAsia="sv-SE"/>
        </w:rPr>
      </w:pPr>
    </w:p>
    <w:p w14:paraId="7D5EE6F1">
      <w:pPr>
        <w:rPr>
          <w:rFonts w:hint="default"/>
          <w:lang w:val="en-US" w:eastAsia="sv-SE"/>
        </w:rPr>
      </w:pPr>
    </w:p>
    <w:p w14:paraId="0D152B32">
      <w:pPr>
        <w:pStyle w:val="3"/>
        <w:numPr>
          <w:ilvl w:val="1"/>
          <w:numId w:val="3"/>
        </w:numPr>
        <w:tabs>
          <w:tab w:val="clear" w:pos="576"/>
        </w:tabs>
        <w:spacing w:after="120"/>
        <w:ind w:left="576" w:leftChars="0" w:hanging="576" w:firstLineChars="0"/>
        <w:rPr>
          <w:rFonts w:hint="default"/>
          <w:lang w:val="en-US" w:eastAsia="sv-SE"/>
        </w:rPr>
      </w:pPr>
      <w:r>
        <w:rPr>
          <w:rFonts w:hint="default"/>
          <w:lang w:val="en-US" w:eastAsia="sv-SE"/>
        </w:rPr>
        <w:t xml:space="preserve"> TP#2 - Text Proposal for TS 38.213</w:t>
      </w:r>
    </w:p>
    <w:p w14:paraId="7DFDFCC7">
      <w:pPr>
        <w:rPr>
          <w:rFonts w:hint="default"/>
          <w:lang w:val="en-US" w:eastAsia="sv-SE"/>
        </w:rPr>
      </w:pPr>
    </w:p>
    <w:p w14:paraId="02367508">
      <w:pPr>
        <w:keepNext w:val="0"/>
        <w:keepLines w:val="0"/>
        <w:widowControl/>
        <w:suppressLineNumbers w:val="0"/>
        <w:jc w:val="left"/>
        <w:rPr>
          <w:rFonts w:hint="default"/>
          <w:lang w:val="en-US" w:eastAsia="sv-SE"/>
        </w:rPr>
      </w:pPr>
      <w:r>
        <w:rPr>
          <w:rFonts w:hint="default" w:ascii="Times New Roman" w:hAnsi="Times New Roman" w:eastAsia="宋体" w:cs="Times New Roman"/>
          <w:i w:val="0"/>
          <w:iCs w:val="0"/>
          <w:caps w:val="0"/>
          <w:color w:val="000000"/>
          <w:spacing w:val="0"/>
          <w:kern w:val="0"/>
          <w:sz w:val="20"/>
          <w:szCs w:val="20"/>
          <w:u w:val="none"/>
          <w:lang w:val="en-US" w:eastAsia="zh-CN" w:bidi="ar"/>
        </w:rPr>
        <w:t>Regarding the issue on whether the PRACH subset mask indicates the APs to be available or not available, we suggest</w:t>
      </w:r>
      <w:r>
        <w:rPr>
          <w:rStyle w:val="45"/>
          <w:rFonts w:hint="default" w:ascii="Times New Roman" w:hAnsi="Times New Roman" w:eastAsia="宋体" w:cs="Times New Roman"/>
          <w:i w:val="0"/>
          <w:iCs w:val="0"/>
          <w:caps w:val="0"/>
          <w:color w:val="000000"/>
          <w:spacing w:val="0"/>
          <w:kern w:val="0"/>
          <w:sz w:val="20"/>
          <w:szCs w:val="20"/>
          <w:u w:val="none"/>
          <w:lang w:val="en-US" w:eastAsia="zh-CN" w:bidi="ar"/>
        </w:rPr>
        <w:t> </w:t>
      </w:r>
      <w:r>
        <w:rPr>
          <w:rFonts w:hint="default" w:ascii="Times New Roman" w:hAnsi="Times New Roman" w:eastAsia="宋体" w:cs="Times New Roman"/>
          <w:i w:val="0"/>
          <w:iCs w:val="0"/>
          <w:caps w:val="0"/>
          <w:color w:val="000000"/>
          <w:spacing w:val="0"/>
          <w:kern w:val="0"/>
          <w:sz w:val="20"/>
          <w:szCs w:val="20"/>
          <w:u w:val="none"/>
          <w:lang w:val="en-US" w:eastAsia="zh-CN" w:bidi="ar"/>
        </w:rPr>
        <w:t xml:space="preserve">the updates in the following TP. </w:t>
      </w:r>
    </w:p>
    <w:p w14:paraId="30D9F4E9">
      <w:pPr>
        <w:rPr>
          <w:rFonts w:hint="default"/>
          <w:lang w:val="en-US" w:eastAsia="sv-SE"/>
        </w:rPr>
      </w:pPr>
    </w:p>
    <w:p w14:paraId="439F4C2B">
      <w:pPr>
        <w:numPr>
          <w:ilvl w:val="0"/>
          <w:numId w:val="0"/>
        </w:numPr>
        <w:bidi w:val="0"/>
        <w:rPr>
          <w:rFonts w:hint="default"/>
          <w:color w:val="FF0000"/>
          <w:lang w:val="en-US" w:eastAsia="zh-CN"/>
        </w:rPr>
      </w:pPr>
      <w:r>
        <w:rPr>
          <w:rFonts w:hint="default"/>
          <w:color w:val="FF0000"/>
          <w:lang w:val="en-US" w:eastAsia="zh-CN"/>
        </w:rPr>
        <w:t>---------------------------------------------------- Text proposal for TS38.212 sec 5.1.6.1------------------------------------------</w:t>
      </w:r>
    </w:p>
    <w:p w14:paraId="4D968C2E">
      <w:pPr>
        <w:bidi w:val="0"/>
        <w:rPr>
          <w:sz w:val="24"/>
          <w:szCs w:val="24"/>
        </w:rPr>
      </w:pPr>
      <w:bookmarkStart w:id="5" w:name="_Toc29899129"/>
      <w:bookmarkStart w:id="6" w:name="_Toc29894830"/>
      <w:bookmarkStart w:id="7" w:name="_Toc12021462"/>
      <w:bookmarkStart w:id="8" w:name="_Toc36498158"/>
      <w:bookmarkStart w:id="9" w:name="_Toc20311574"/>
      <w:bookmarkStart w:id="10" w:name="_Toc45699184"/>
      <w:bookmarkStart w:id="11" w:name="_Ref491452917"/>
      <w:bookmarkStart w:id="12" w:name="_Toc192000809"/>
      <w:bookmarkStart w:id="13" w:name="_Toc26719399"/>
      <w:bookmarkStart w:id="14" w:name="_Toc29899547"/>
      <w:bookmarkStart w:id="15" w:name="_Toc29917284"/>
      <w:r>
        <w:rPr>
          <w:sz w:val="24"/>
          <w:szCs w:val="24"/>
        </w:rPr>
        <w:t>8</w:t>
      </w:r>
      <w:r>
        <w:rPr>
          <w:rFonts w:hint="eastAsia"/>
          <w:sz w:val="24"/>
          <w:szCs w:val="24"/>
        </w:rPr>
        <w:t>.1</w:t>
      </w:r>
      <w:r>
        <w:rPr>
          <w:rFonts w:hint="eastAsia"/>
          <w:sz w:val="24"/>
          <w:szCs w:val="24"/>
        </w:rPr>
        <w:tab/>
      </w:r>
      <w:r>
        <w:rPr>
          <w:sz w:val="24"/>
          <w:szCs w:val="24"/>
        </w:rPr>
        <w:t>Random access preamble</w:t>
      </w:r>
      <w:bookmarkEnd w:id="5"/>
      <w:bookmarkEnd w:id="6"/>
      <w:bookmarkEnd w:id="7"/>
      <w:bookmarkEnd w:id="8"/>
      <w:bookmarkEnd w:id="9"/>
      <w:bookmarkEnd w:id="10"/>
      <w:bookmarkEnd w:id="11"/>
      <w:bookmarkEnd w:id="12"/>
      <w:bookmarkEnd w:id="13"/>
      <w:bookmarkEnd w:id="14"/>
      <w:bookmarkEnd w:id="15"/>
    </w:p>
    <w:p w14:paraId="07EEECB7">
      <w:pPr>
        <w:jc w:val="center"/>
        <w:rPr>
          <w:rFonts w:hint="default"/>
          <w:color w:val="FF0000"/>
          <w:lang w:val="en-US" w:eastAsia="sv-SE"/>
        </w:rPr>
      </w:pPr>
      <w:r>
        <w:rPr>
          <w:rFonts w:hint="default"/>
          <w:color w:val="FF0000"/>
          <w:lang w:val="en-US" w:eastAsia="sv-SE"/>
        </w:rPr>
        <w:t>&lt;unchanged parts omitted&gt;</w:t>
      </w:r>
    </w:p>
    <w:p w14:paraId="12DBD61E">
      <w:pPr>
        <w:rPr>
          <w:rFonts w:hint="default"/>
          <w:lang w:val="en-US" w:eastAsia="sv-SE"/>
        </w:rPr>
      </w:pPr>
    </w:p>
    <w:p w14:paraId="69AB1767">
      <w:pPr>
        <w:pStyle w:val="66"/>
      </w:pPr>
      <w:r>
        <w:t>For</w:t>
      </w:r>
      <w:r>
        <w:rPr>
          <w:szCs w:val="22"/>
          <w:lang w:eastAsia="zh-CN"/>
        </w:rPr>
        <w:t xml:space="preserve"> PRACH occasions associated with</w:t>
      </w:r>
      <w:r>
        <w:rPr>
          <w:i/>
          <w:szCs w:val="22"/>
          <w:lang w:eastAsia="zh-CN"/>
        </w:rPr>
        <w:t xml:space="preserve"> addl-RACH-Config-Adaptation</w:t>
      </w:r>
      <w:r>
        <w:rPr>
          <w:szCs w:val="22"/>
          <w:lang w:eastAsia="zh-CN"/>
        </w:rPr>
        <w:t xml:space="preserve"> [in </w:t>
      </w:r>
      <w:r>
        <w:rPr>
          <w:i/>
          <w:szCs w:val="22"/>
          <w:lang w:eastAsia="sv-SE"/>
        </w:rPr>
        <w:t>RACH-ConfigCommon</w:t>
      </w:r>
      <w:r>
        <w:rPr>
          <w:szCs w:val="22"/>
          <w:lang w:eastAsia="sv-SE"/>
        </w:rPr>
        <w:t xml:space="preserve">], the UE can be additionally provided a </w:t>
      </w:r>
      <w:r>
        <w:t xml:space="preserve">PRACH mask index, by </w:t>
      </w:r>
      <w:r>
        <w:rPr>
          <w:i/>
        </w:rPr>
        <w:t>prach-SubsetMask-Index-Adaptation</w:t>
      </w:r>
      <w:r>
        <w:t xml:space="preserve">, </w:t>
      </w:r>
      <w:r>
        <w:rPr>
          <w:strike/>
          <w:dstrike w:val="0"/>
          <w:color w:val="FF0000"/>
        </w:rPr>
        <w:t>if provided,</w:t>
      </w:r>
      <w:r>
        <w:t xml:space="preserve"> that indicates one or more association periods per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mask</m:t>
            </m:r>
            <m:ctrlPr>
              <w:rPr>
                <w:rFonts w:ascii="Cambria Math" w:hAnsi="Cambria Math" w:eastAsia="MS Mincho"/>
                <w:i/>
                <w:kern w:val="2"/>
              </w:rPr>
            </m:ctrlPr>
          </m:sub>
        </m:sSub>
      </m:oMath>
      <w:r>
        <w:rPr>
          <w:kern w:val="2"/>
        </w:rPr>
        <w:t xml:space="preserve"> association pattern periods</w:t>
      </w:r>
      <w:r>
        <w:rPr>
          <w:lang w:eastAsia="zh-CN"/>
        </w:rPr>
        <w:t xml:space="preserve"> according to Table</w:t>
      </w:r>
      <w:r>
        <w:t xml:space="preserve"> 8.1-0</w:t>
      </w:r>
      <w:r>
        <w:rPr>
          <w:kern w:val="2"/>
        </w:rPr>
        <w:t xml:space="preserve">, where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mask</m:t>
            </m:r>
            <m:ctrlPr>
              <w:rPr>
                <w:rFonts w:ascii="Cambria Math" w:hAnsi="Cambria Math" w:eastAsia="MS Mincho"/>
                <w:i/>
                <w:kern w:val="2"/>
              </w:rPr>
            </m:ctrlPr>
          </m:sub>
        </m:sSub>
      </m:oMath>
      <w:r>
        <w:rPr>
          <w:kern w:val="2"/>
        </w:rPr>
        <w:t xml:space="preserve"> is provided by </w:t>
      </w:r>
      <w:r>
        <w:rPr>
          <w:i/>
          <w:kern w:val="2"/>
        </w:rPr>
        <w:t>KforAPPForPRACHsubsetMask</w:t>
      </w:r>
      <w:r>
        <w:t xml:space="preserve">. </w:t>
      </w:r>
    </w:p>
    <w:p w14:paraId="46D9BF6D">
      <w:pPr>
        <w:pStyle w:val="66"/>
        <w:rPr>
          <w:rFonts w:cs="Arial"/>
        </w:rPr>
      </w:pPr>
      <w:r>
        <w:rPr>
          <w:rFonts w:cs="Arial"/>
        </w:rPr>
        <w:t>Table 8.1-0: Mapping of mask index to association periods per </w:t>
      </w:r>
      <w:r>
        <w:rPr>
          <w:rFonts w:cs="Arial"/>
          <w:i/>
          <w:iCs/>
        </w:rPr>
        <w:t>K</w:t>
      </w:r>
      <w:r>
        <w:rPr>
          <w:rFonts w:cs="Arial"/>
          <w:i/>
          <w:iCs/>
          <w:vertAlign w:val="subscript"/>
        </w:rPr>
        <w:t>mask</w:t>
      </w:r>
      <w:r>
        <w:rPr>
          <w:rFonts w:cs="Arial"/>
        </w:rPr>
        <w:t> association pattern periods</w:t>
      </w:r>
    </w:p>
    <w:tbl>
      <w:tblPr>
        <w:tblStyle w:val="12"/>
        <w:tblW w:w="0" w:type="auto"/>
        <w:jc w:val="center"/>
        <w:tblLayout w:type="autofit"/>
        <w:tblCellMar>
          <w:top w:w="0" w:type="dxa"/>
          <w:left w:w="108" w:type="dxa"/>
          <w:bottom w:w="0" w:type="dxa"/>
          <w:right w:w="108" w:type="dxa"/>
        </w:tblCellMar>
      </w:tblPr>
      <w:tblGrid>
        <w:gridCol w:w="3325"/>
        <w:gridCol w:w="3780"/>
      </w:tblGrid>
      <w:tr w14:paraId="1CFA84C5">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14:paraId="2A919536">
            <w:pPr>
              <w:pStyle w:val="53"/>
            </w:pPr>
            <w:r>
              <w:t>Mask Index</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14:paraId="2E15FF93">
            <w:pPr>
              <w:pStyle w:val="53"/>
            </w:pPr>
            <w:r>
              <w:rPr>
                <w:bCs/>
              </w:rPr>
              <w:t xml:space="preserve">Association periods (APs) per </w:t>
            </w:r>
            <m:oMath>
              <m:sSub>
                <m:sSubPr>
                  <m:ctrlPr>
                    <w:rPr>
                      <w:rFonts w:ascii="Cambria Math" w:hAnsi="Cambria Math" w:eastAsia="MS Mincho"/>
                      <w:i/>
                      <w:kern w:val="2"/>
                    </w:rPr>
                  </m:ctrlPr>
                </m:sSubPr>
                <m:e>
                  <m:r>
                    <m:rPr>
                      <m:sty m:val="bi"/>
                    </m:rPr>
                    <w:rPr>
                      <w:rFonts w:ascii="Cambria Math" w:hAnsi="Cambria Math" w:eastAsia="MS Mincho"/>
                      <w:kern w:val="2"/>
                    </w:rPr>
                    <m:t>K</m:t>
                  </m:r>
                  <m:ctrlPr>
                    <w:rPr>
                      <w:rFonts w:ascii="Cambria Math" w:hAnsi="Cambria Math" w:eastAsia="MS Mincho"/>
                      <w:i/>
                      <w:kern w:val="2"/>
                    </w:rPr>
                  </m:ctrlPr>
                </m:e>
                <m:sub>
                  <m:r>
                    <m:rPr>
                      <m:sty m:val="b"/>
                    </m:rPr>
                    <w:rPr>
                      <w:rFonts w:ascii="Cambria Math" w:hAnsi="Cambria Math" w:eastAsia="MS Mincho"/>
                      <w:kern w:val="2"/>
                    </w:rPr>
                    <m:t>mask</m:t>
                  </m:r>
                  <m:ctrlPr>
                    <w:rPr>
                      <w:rFonts w:ascii="Cambria Math" w:hAnsi="Cambria Math" w:eastAsia="MS Mincho"/>
                      <w:i/>
                      <w:kern w:val="2"/>
                    </w:rPr>
                  </m:ctrlPr>
                </m:sub>
              </m:sSub>
            </m:oMath>
            <w:r>
              <w:rPr>
                <w:bCs/>
              </w:rPr>
              <w:t xml:space="preserve"> association pattern periods (APPs)</w:t>
            </w:r>
          </w:p>
        </w:tc>
      </w:tr>
      <w:tr w14:paraId="1C92723C">
        <w:trPr>
          <w:jc w:val="center"/>
        </w:trPr>
        <w:tc>
          <w:tcPr>
            <w:tcW w:w="3325" w:type="dxa"/>
            <w:tcBorders>
              <w:top w:val="single" w:color="auto" w:sz="4" w:space="0"/>
              <w:left w:val="single" w:color="auto" w:sz="4" w:space="0"/>
              <w:bottom w:val="single" w:color="auto" w:sz="4" w:space="0"/>
              <w:right w:val="single" w:color="auto" w:sz="4" w:space="0"/>
            </w:tcBorders>
            <w:vAlign w:val="center"/>
          </w:tcPr>
          <w:p w14:paraId="51C42F4A">
            <w:pPr>
              <w:pStyle w:val="54"/>
            </w:pPr>
            <w:r>
              <w:t>0</w:t>
            </w:r>
          </w:p>
        </w:tc>
        <w:tc>
          <w:tcPr>
            <w:tcW w:w="3780" w:type="dxa"/>
            <w:tcBorders>
              <w:top w:val="single" w:color="auto" w:sz="4" w:space="0"/>
              <w:left w:val="single" w:color="auto" w:sz="4" w:space="0"/>
              <w:bottom w:val="single" w:color="auto" w:sz="4" w:space="0"/>
              <w:right w:val="single" w:color="auto" w:sz="4" w:space="0"/>
            </w:tcBorders>
            <w:vAlign w:val="center"/>
          </w:tcPr>
          <w:p w14:paraId="6E570CC9">
            <w:pPr>
              <w:pStyle w:val="54"/>
            </w:pPr>
            <w:r>
              <w:t xml:space="preserve">First half of APs in </w:t>
            </w:r>
            <m:oMath>
              <m:sSub>
                <m:sSubPr>
                  <m:ctrlPr>
                    <w:rPr>
                      <w:rFonts w:ascii="Cambria Math" w:hAnsi="Cambria Math" w:eastAsia="MS Mincho"/>
                      <w:i/>
                      <w:kern w:val="2"/>
                    </w:rPr>
                  </m:ctrlPr>
                </m:sSubPr>
                <m:e>
                  <m:r>
                    <m:rPr>
                      <m:sty m:val="bi"/>
                    </m:rPr>
                    <w:rPr>
                      <w:rFonts w:ascii="Cambria Math" w:hAnsi="Cambria Math" w:eastAsia="MS Mincho"/>
                      <w:kern w:val="2"/>
                    </w:rPr>
                    <m:t>K</m:t>
                  </m:r>
                  <m:ctrlPr>
                    <w:rPr>
                      <w:rFonts w:ascii="Cambria Math" w:hAnsi="Cambria Math" w:eastAsia="MS Mincho"/>
                      <w:i/>
                      <w:kern w:val="2"/>
                    </w:rPr>
                  </m:ctrlPr>
                </m:e>
                <m:sub>
                  <m:r>
                    <m:rPr>
                      <m:sty m:val="b"/>
                    </m:rPr>
                    <w:rPr>
                      <w:rFonts w:ascii="Cambria Math" w:hAnsi="Cambria Math" w:eastAsia="MS Mincho"/>
                      <w:kern w:val="2"/>
                    </w:rPr>
                    <m:t>mask</m:t>
                  </m:r>
                  <m:ctrlPr>
                    <w:rPr>
                      <w:rFonts w:ascii="Cambria Math" w:hAnsi="Cambria Math" w:eastAsia="MS Mincho"/>
                      <w:i/>
                      <w:kern w:val="2"/>
                    </w:rPr>
                  </m:ctrlPr>
                </m:sub>
              </m:sSub>
            </m:oMath>
            <w:r>
              <w:t xml:space="preserve"> APPs</w:t>
            </w:r>
          </w:p>
        </w:tc>
      </w:tr>
      <w:tr w14:paraId="73C9FD45">
        <w:trPr>
          <w:jc w:val="center"/>
        </w:trPr>
        <w:tc>
          <w:tcPr>
            <w:tcW w:w="3325" w:type="dxa"/>
            <w:tcBorders>
              <w:top w:val="single" w:color="auto" w:sz="4" w:space="0"/>
              <w:left w:val="single" w:color="auto" w:sz="4" w:space="0"/>
              <w:bottom w:val="single" w:color="auto" w:sz="4" w:space="0"/>
              <w:right w:val="single" w:color="auto" w:sz="4" w:space="0"/>
            </w:tcBorders>
            <w:vAlign w:val="center"/>
          </w:tcPr>
          <w:p w14:paraId="39351AF9">
            <w:pPr>
              <w:pStyle w:val="54"/>
            </w:pPr>
            <w:r>
              <w:t>1</w:t>
            </w:r>
          </w:p>
        </w:tc>
        <w:tc>
          <w:tcPr>
            <w:tcW w:w="3780" w:type="dxa"/>
            <w:tcBorders>
              <w:top w:val="single" w:color="auto" w:sz="4" w:space="0"/>
              <w:left w:val="single" w:color="auto" w:sz="4" w:space="0"/>
              <w:bottom w:val="single" w:color="auto" w:sz="4" w:space="0"/>
              <w:right w:val="single" w:color="auto" w:sz="4" w:space="0"/>
            </w:tcBorders>
            <w:vAlign w:val="center"/>
          </w:tcPr>
          <w:p w14:paraId="45589E9E">
            <w:pPr>
              <w:pStyle w:val="54"/>
            </w:pPr>
            <w:r>
              <w:t xml:space="preserve">First quarter of APs in </w:t>
            </w:r>
            <m:oMath>
              <m:sSub>
                <m:sSubPr>
                  <m:ctrlPr>
                    <w:rPr>
                      <w:rFonts w:ascii="Cambria Math" w:hAnsi="Cambria Math" w:eastAsia="MS Mincho"/>
                      <w:i/>
                      <w:kern w:val="2"/>
                    </w:rPr>
                  </m:ctrlPr>
                </m:sSubPr>
                <m:e>
                  <m:r>
                    <m:rPr>
                      <m:sty m:val="bi"/>
                    </m:rPr>
                    <w:rPr>
                      <w:rFonts w:ascii="Cambria Math" w:hAnsi="Cambria Math" w:eastAsia="MS Mincho"/>
                      <w:kern w:val="2"/>
                    </w:rPr>
                    <m:t>K</m:t>
                  </m:r>
                  <m:ctrlPr>
                    <w:rPr>
                      <w:rFonts w:ascii="Cambria Math" w:hAnsi="Cambria Math" w:eastAsia="MS Mincho"/>
                      <w:i/>
                      <w:kern w:val="2"/>
                    </w:rPr>
                  </m:ctrlPr>
                </m:e>
                <m:sub>
                  <m:r>
                    <m:rPr>
                      <m:sty m:val="b"/>
                    </m:rPr>
                    <w:rPr>
                      <w:rFonts w:ascii="Cambria Math" w:hAnsi="Cambria Math" w:eastAsia="MS Mincho"/>
                      <w:kern w:val="2"/>
                    </w:rPr>
                    <m:t>mask</m:t>
                  </m:r>
                  <m:ctrlPr>
                    <w:rPr>
                      <w:rFonts w:ascii="Cambria Math" w:hAnsi="Cambria Math" w:eastAsia="MS Mincho"/>
                      <w:i/>
                      <w:kern w:val="2"/>
                    </w:rPr>
                  </m:ctrlPr>
                </m:sub>
              </m:sSub>
            </m:oMath>
            <w:r>
              <w:t xml:space="preserve"> APPs</w:t>
            </w:r>
          </w:p>
        </w:tc>
      </w:tr>
      <w:tr w14:paraId="01889130">
        <w:trPr>
          <w:jc w:val="center"/>
        </w:trPr>
        <w:tc>
          <w:tcPr>
            <w:tcW w:w="3325" w:type="dxa"/>
            <w:tcBorders>
              <w:top w:val="single" w:color="auto" w:sz="4" w:space="0"/>
              <w:left w:val="single" w:color="auto" w:sz="4" w:space="0"/>
              <w:bottom w:val="single" w:color="auto" w:sz="4" w:space="0"/>
              <w:right w:val="single" w:color="auto" w:sz="4" w:space="0"/>
            </w:tcBorders>
            <w:vAlign w:val="center"/>
          </w:tcPr>
          <w:p w14:paraId="27063328">
            <w:pPr>
              <w:pStyle w:val="54"/>
            </w:pPr>
            <w:r>
              <w:t>2</w:t>
            </w:r>
          </w:p>
        </w:tc>
        <w:tc>
          <w:tcPr>
            <w:tcW w:w="3780" w:type="dxa"/>
            <w:tcBorders>
              <w:top w:val="single" w:color="auto" w:sz="4" w:space="0"/>
              <w:left w:val="single" w:color="auto" w:sz="4" w:space="0"/>
              <w:bottom w:val="single" w:color="auto" w:sz="4" w:space="0"/>
              <w:right w:val="single" w:color="auto" w:sz="4" w:space="0"/>
            </w:tcBorders>
            <w:vAlign w:val="center"/>
          </w:tcPr>
          <w:p w14:paraId="33E55F5F">
            <w:pPr>
              <w:pStyle w:val="54"/>
            </w:pPr>
            <w:r>
              <w:t xml:space="preserve">First eighth of APs in </w:t>
            </w:r>
            <m:oMath>
              <m:sSub>
                <m:sSubPr>
                  <m:ctrlPr>
                    <w:rPr>
                      <w:rFonts w:ascii="Cambria Math" w:hAnsi="Cambria Math" w:eastAsia="MS Mincho"/>
                      <w:i/>
                      <w:kern w:val="2"/>
                    </w:rPr>
                  </m:ctrlPr>
                </m:sSubPr>
                <m:e>
                  <m:r>
                    <m:rPr>
                      <m:sty m:val="bi"/>
                    </m:rPr>
                    <w:rPr>
                      <w:rFonts w:ascii="Cambria Math" w:hAnsi="Cambria Math" w:eastAsia="MS Mincho"/>
                      <w:kern w:val="2"/>
                    </w:rPr>
                    <m:t>K</m:t>
                  </m:r>
                  <m:ctrlPr>
                    <w:rPr>
                      <w:rFonts w:ascii="Cambria Math" w:hAnsi="Cambria Math" w:eastAsia="MS Mincho"/>
                      <w:i/>
                      <w:kern w:val="2"/>
                    </w:rPr>
                  </m:ctrlPr>
                </m:e>
                <m:sub>
                  <m:r>
                    <m:rPr>
                      <m:sty m:val="b"/>
                    </m:rPr>
                    <w:rPr>
                      <w:rFonts w:ascii="Cambria Math" w:hAnsi="Cambria Math" w:eastAsia="MS Mincho"/>
                      <w:kern w:val="2"/>
                    </w:rPr>
                    <m:t>mask</m:t>
                  </m:r>
                  <m:ctrlPr>
                    <w:rPr>
                      <w:rFonts w:ascii="Cambria Math" w:hAnsi="Cambria Math" w:eastAsia="MS Mincho"/>
                      <w:i/>
                      <w:kern w:val="2"/>
                    </w:rPr>
                  </m:ctrlPr>
                </m:sub>
              </m:sSub>
            </m:oMath>
            <w:r>
              <w:t xml:space="preserve"> APPs</w:t>
            </w:r>
          </w:p>
        </w:tc>
      </w:tr>
      <w:tr w14:paraId="4B566FCC">
        <w:trPr>
          <w:jc w:val="center"/>
        </w:trPr>
        <w:tc>
          <w:tcPr>
            <w:tcW w:w="3325" w:type="dxa"/>
            <w:tcBorders>
              <w:top w:val="single" w:color="auto" w:sz="4" w:space="0"/>
              <w:left w:val="single" w:color="auto" w:sz="4" w:space="0"/>
              <w:bottom w:val="single" w:color="auto" w:sz="4" w:space="0"/>
              <w:right w:val="single" w:color="auto" w:sz="4" w:space="0"/>
            </w:tcBorders>
            <w:vAlign w:val="center"/>
          </w:tcPr>
          <w:p w14:paraId="6F369176">
            <w:pPr>
              <w:pStyle w:val="54"/>
            </w:pPr>
            <w:r>
              <w:t>3</w:t>
            </w:r>
          </w:p>
        </w:tc>
        <w:tc>
          <w:tcPr>
            <w:tcW w:w="3780" w:type="dxa"/>
            <w:tcBorders>
              <w:top w:val="single" w:color="auto" w:sz="4" w:space="0"/>
              <w:left w:val="single" w:color="auto" w:sz="4" w:space="0"/>
              <w:bottom w:val="single" w:color="auto" w:sz="4" w:space="0"/>
              <w:right w:val="single" w:color="auto" w:sz="4" w:space="0"/>
            </w:tcBorders>
            <w:vAlign w:val="center"/>
          </w:tcPr>
          <w:p w14:paraId="1B775076">
            <w:pPr>
              <w:pStyle w:val="54"/>
            </w:pPr>
            <w:r>
              <w:t xml:space="preserve">First sixteenth of APs in </w:t>
            </w:r>
            <m:oMath>
              <m:sSub>
                <m:sSubPr>
                  <m:ctrlPr>
                    <w:rPr>
                      <w:rFonts w:ascii="Cambria Math" w:hAnsi="Cambria Math" w:eastAsia="MS Mincho"/>
                      <w:i/>
                      <w:kern w:val="2"/>
                    </w:rPr>
                  </m:ctrlPr>
                </m:sSubPr>
                <m:e>
                  <m:r>
                    <m:rPr>
                      <m:sty m:val="bi"/>
                    </m:rPr>
                    <w:rPr>
                      <w:rFonts w:ascii="Cambria Math" w:hAnsi="Cambria Math" w:eastAsia="MS Mincho"/>
                      <w:kern w:val="2"/>
                    </w:rPr>
                    <m:t>K</m:t>
                  </m:r>
                  <m:ctrlPr>
                    <w:rPr>
                      <w:rFonts w:ascii="Cambria Math" w:hAnsi="Cambria Math" w:eastAsia="MS Mincho"/>
                      <w:i/>
                      <w:kern w:val="2"/>
                    </w:rPr>
                  </m:ctrlPr>
                </m:e>
                <m:sub>
                  <m:r>
                    <m:rPr>
                      <m:sty m:val="b"/>
                    </m:rPr>
                    <w:rPr>
                      <w:rFonts w:ascii="Cambria Math" w:hAnsi="Cambria Math" w:eastAsia="MS Mincho"/>
                      <w:kern w:val="2"/>
                    </w:rPr>
                    <m:t>mask</m:t>
                  </m:r>
                  <m:ctrlPr>
                    <w:rPr>
                      <w:rFonts w:ascii="Cambria Math" w:hAnsi="Cambria Math" w:eastAsia="MS Mincho"/>
                      <w:i/>
                      <w:kern w:val="2"/>
                    </w:rPr>
                  </m:ctrlPr>
                </m:sub>
              </m:sSub>
            </m:oMath>
            <w:r>
              <w:t xml:space="preserve"> APPs</w:t>
            </w:r>
          </w:p>
        </w:tc>
      </w:tr>
    </w:tbl>
    <w:p w14:paraId="29B38597">
      <w:pPr>
        <w:spacing w:before="180"/>
      </w:pPr>
      <w:r>
        <w:rPr>
          <w:szCs w:val="22"/>
          <w:lang w:eastAsia="zh-CN"/>
        </w:rPr>
        <w:t>Valid PRACH occasions associated with</w:t>
      </w:r>
      <w:r>
        <w:rPr>
          <w:i/>
          <w:szCs w:val="22"/>
          <w:lang w:eastAsia="zh-CN"/>
        </w:rPr>
        <w:t xml:space="preserve"> addl-RACH-Config-Adaptation</w:t>
      </w:r>
      <w:r>
        <w:rPr>
          <w:szCs w:val="22"/>
          <w:lang w:eastAsia="zh-CN"/>
        </w:rPr>
        <w:t xml:space="preserve">, and additionally </w:t>
      </w:r>
      <w:r>
        <w:rPr>
          <w:strike/>
          <w:dstrike w:val="0"/>
          <w:color w:val="FF0000"/>
          <w:szCs w:val="22"/>
          <w:lang w:eastAsia="zh-CN"/>
        </w:rPr>
        <w:t>associated with</w:t>
      </w:r>
      <w:r>
        <w:rPr>
          <w:rFonts w:hint="default"/>
          <w:color w:val="FF0000"/>
          <w:szCs w:val="22"/>
          <w:lang w:val="en-US" w:eastAsia="zh-CN"/>
        </w:rPr>
        <w:t xml:space="preserve"> in association periods indicated by</w:t>
      </w:r>
      <w:r>
        <w:rPr>
          <w:szCs w:val="22"/>
          <w:lang w:eastAsia="zh-CN"/>
        </w:rPr>
        <w:t xml:space="preserve"> </w:t>
      </w:r>
      <w:r>
        <w:rPr>
          <w:i/>
        </w:rPr>
        <w:t>prach-SubsetMask-Index-Adaptation</w:t>
      </w:r>
      <w:r>
        <w:t xml:space="preserve">, if provided, </w:t>
      </w:r>
      <w:r>
        <w:rPr>
          <w:szCs w:val="22"/>
          <w:lang w:eastAsia="zh-CN"/>
        </w:rPr>
        <w:t xml:space="preserve">are </w:t>
      </w:r>
      <w:r>
        <w:rPr>
          <w:strike/>
          <w:dstrike w:val="0"/>
          <w:color w:val="FF0000"/>
          <w:szCs w:val="22"/>
          <w:lang w:eastAsia="zh-CN"/>
        </w:rPr>
        <w:t>activated</w:t>
      </w:r>
      <w:r>
        <w:rPr>
          <w:rFonts w:hint="default"/>
          <w:strike/>
          <w:dstrike w:val="0"/>
          <w:color w:val="FF0000"/>
          <w:szCs w:val="22"/>
          <w:lang w:val="en-US" w:eastAsia="zh-CN"/>
        </w:rPr>
        <w:t xml:space="preserve"> </w:t>
      </w:r>
      <w:r>
        <w:rPr>
          <w:rFonts w:hint="default"/>
          <w:color w:val="FF0000"/>
          <w:szCs w:val="22"/>
          <w:lang w:val="en-US" w:eastAsia="zh-CN"/>
        </w:rPr>
        <w:t>indicated as available</w:t>
      </w:r>
      <w:r>
        <w:rPr>
          <w:color w:val="FF0000"/>
          <w:szCs w:val="22"/>
          <w:lang w:eastAsia="zh-CN"/>
        </w:rPr>
        <w:t xml:space="preserve"> </w:t>
      </w:r>
      <w:r>
        <w:rPr>
          <w:szCs w:val="22"/>
          <w:lang w:eastAsia="zh-CN"/>
        </w:rPr>
        <w:t xml:space="preserve">for PRACH transmission based on an indication in a DCI format 1_0 with CRC scrambled by a P-RNTI [or a C-RNTI] [5, TS 38.212]. For </w:t>
      </w:r>
      <w:r>
        <w:rPr>
          <w:strike/>
          <w:dstrike w:val="0"/>
          <w:color w:val="FF0000"/>
          <w:szCs w:val="22"/>
          <w:lang w:eastAsia="zh-CN"/>
        </w:rPr>
        <w:t>activation</w:t>
      </w:r>
      <w:r>
        <w:rPr>
          <w:strike w:val="0"/>
          <w:dstrike w:val="0"/>
          <w:color w:val="FF0000"/>
          <w:szCs w:val="22"/>
          <w:lang w:eastAsia="zh-CN"/>
        </w:rPr>
        <w:t xml:space="preserve"> </w:t>
      </w:r>
      <w:r>
        <w:rPr>
          <w:rFonts w:hint="default"/>
          <w:strike w:val="0"/>
          <w:dstrike w:val="0"/>
          <w:color w:val="FF0000"/>
          <w:szCs w:val="22"/>
          <w:lang w:val="en-US" w:eastAsia="zh-CN"/>
        </w:rPr>
        <w:t xml:space="preserve">indication provided </w:t>
      </w:r>
      <w:r>
        <w:rPr>
          <w:szCs w:val="22"/>
          <w:lang w:eastAsia="zh-CN"/>
        </w:rPr>
        <w:t xml:space="preserve">by DCI format 1_0 with CRC scrambled by the P-RNTI, the PRACH occasions are available for a duration provided by </w:t>
      </w:r>
      <w:r>
        <w:rPr>
          <w:i/>
          <w:szCs w:val="22"/>
          <w:lang w:eastAsia="zh-CN"/>
        </w:rPr>
        <w:t>validity-DurationForAddlRACHAdaptation</w:t>
      </w:r>
      <w:r>
        <w:rPr>
          <w:szCs w:val="22"/>
          <w:lang w:eastAsia="zh-CN"/>
        </w:rPr>
        <w:t>, starting from the first frame of the SI modification period [12, TS 38.331] that includes a PDCCH monitoring occasion where the UE receives a PDCCH providing the DCI format 1_0 with CRC scrambled by the P-RNTI.</w:t>
      </w:r>
    </w:p>
    <w:p w14:paraId="49DDDF51">
      <w:pPr>
        <w:numPr>
          <w:ilvl w:val="0"/>
          <w:numId w:val="0"/>
        </w:numPr>
        <w:bidi w:val="0"/>
        <w:rPr>
          <w:rFonts w:hint="default"/>
          <w:color w:val="FF0000"/>
          <w:lang w:val="en-US" w:eastAsia="zh-CN"/>
        </w:rPr>
      </w:pPr>
      <w:r>
        <w:rPr>
          <w:rFonts w:hint="default"/>
          <w:color w:val="FF0000"/>
          <w:lang w:val="en-US" w:eastAsia="zh-CN"/>
        </w:rPr>
        <w:t>---------------------------------------------- End of Text proposal for TS38.212 sec 5.1.6.1---------------------------------------</w:t>
      </w:r>
    </w:p>
    <w:p w14:paraId="2504C618">
      <w:pPr>
        <w:rPr>
          <w:rFonts w:hint="default"/>
          <w:lang w:val="en-US" w:eastAsia="sv-SE"/>
        </w:rPr>
      </w:pPr>
      <w:r>
        <w:rPr>
          <w:rFonts w:hint="default" w:ascii="Times New Roman Bold" w:hAnsi="Times New Roman Bold" w:cs="Times New Roman Bold"/>
          <w:b/>
          <w:bCs/>
          <w:lang w:val="en-US" w:eastAsia="sv-SE"/>
        </w:rPr>
        <w:t>Proposal 8: Adopt TP#2 for TS38.213.</w:t>
      </w:r>
    </w:p>
    <w:p w14:paraId="15A916EC">
      <w:pPr>
        <w:rPr>
          <w:rFonts w:hint="default"/>
          <w:lang w:val="en-US" w:eastAsia="sv-SE"/>
        </w:rPr>
      </w:pPr>
    </w:p>
    <w:p w14:paraId="18B0819A">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4668B9ED">
      <w:pPr>
        <w:spacing w:after="120"/>
        <w:rPr>
          <w:rFonts w:eastAsia="Times New Roman"/>
          <w:lang w:val="en-US" w:eastAsia="zh-CN"/>
        </w:rPr>
      </w:pPr>
      <w:r>
        <w:rPr>
          <w:rFonts w:eastAsia="Times New Roman"/>
          <w:lang w:val="en-US" w:eastAsia="zh-CN"/>
        </w:rPr>
        <w:t xml:space="preserve">In this contribution, we discussed on the signaling and adaptation mechanisms for common SSB, PRACH and Paging for Rel-19 NES enhancements, the following proposal are made: </w:t>
      </w:r>
    </w:p>
    <w:p w14:paraId="3AB309EF">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SSB adaptation </w:t>
      </w:r>
    </w:p>
    <w:p w14:paraId="71807876">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Proposal 1:</w:t>
      </w:r>
      <w:r>
        <w:rPr>
          <w:rFonts w:hint="default"/>
          <w:lang w:val="en-US"/>
        </w:rPr>
        <w:t xml:space="preserve"> </w:t>
      </w:r>
      <w:r>
        <w:rPr>
          <w:rFonts w:ascii="Times New Roman Bold" w:hAnsi="Times New Roman Bold" w:cs="Times New Roman Bold"/>
          <w:b/>
          <w:bCs/>
          <w:lang w:val="en-US" w:eastAsia="zh-CN"/>
        </w:rPr>
        <w:t xml:space="preserve">UE </w:t>
      </w:r>
      <w:r>
        <w:rPr>
          <w:rFonts w:hint="default" w:ascii="Times New Roman Bold" w:hAnsi="Times New Roman Bold" w:cs="Times New Roman Bold"/>
          <w:b/>
          <w:bCs/>
          <w:lang w:val="en-US" w:eastAsia="zh-CN"/>
        </w:rPr>
        <w:t xml:space="preserve">expects </w:t>
      </w:r>
      <w:r>
        <w:rPr>
          <w:rFonts w:ascii="Times New Roman Bold" w:hAnsi="Times New Roman Bold" w:cs="Times New Roman Bold"/>
          <w:b/>
          <w:bCs/>
          <w:lang w:val="en-US" w:eastAsia="zh-CN"/>
        </w:rPr>
        <w:t xml:space="preserve">SSB is transmitted </w:t>
      </w:r>
      <w:r>
        <w:rPr>
          <w:rFonts w:hint="default" w:ascii="Times New Roman Bold" w:hAnsi="Times New Roman Bold" w:cs="Times New Roman Bold"/>
          <w:b/>
          <w:bCs/>
          <w:lang w:val="en-US" w:eastAsia="zh-CN"/>
        </w:rPr>
        <w:t>according to the indicated periodicity and an offset starting from a slot</w:t>
      </w:r>
      <w:r>
        <w:rPr>
          <w:rFonts w:ascii="Times New Roman Bold" w:hAnsi="Times New Roman Bold" w:cs="Times New Roman Bold"/>
          <w:b/>
          <w:bCs/>
          <w:lang w:val="en-US" w:eastAsia="zh-CN"/>
        </w:rPr>
        <w:t xml:space="preserve"> after a sufficient time gap after the indication signaling</w:t>
      </w:r>
      <w:r>
        <w:rPr>
          <w:rFonts w:hint="default" w:ascii="Times New Roman Bold" w:hAnsi="Times New Roman Bold" w:cs="Times New Roman Bold"/>
          <w:b/>
          <w:bCs/>
          <w:lang w:val="en-US" w:eastAsia="zh-CN"/>
        </w:rPr>
        <w:t>, where</w:t>
      </w:r>
    </w:p>
    <w:p w14:paraId="0958AE88">
      <w:pPr>
        <w:numPr>
          <w:ilvl w:val="0"/>
          <w:numId w:val="8"/>
        </w:numPr>
        <w:spacing w:after="120"/>
        <w:ind w:left="420" w:leftChars="0" w:hanging="420" w:firstLineChars="0"/>
        <w:rPr>
          <w:rFonts w:ascii="Times New Roman" w:hAnsi="Times New Roman" w:cs="Times New Roman"/>
        </w:rPr>
      </w:pPr>
      <w:r>
        <w:rPr>
          <w:rFonts w:hint="default" w:ascii="Times New Roman Bold" w:hAnsi="Times New Roman Bold" w:cs="Times New Roman Bold"/>
          <w:b/>
          <w:bCs/>
          <w:lang w:val="en-US" w:eastAsia="zh-CN"/>
        </w:rPr>
        <w:t xml:space="preserve">Alt 1: The offset </w:t>
      </w:r>
      <w:r>
        <w:rPr>
          <w:rFonts w:hint="default" w:ascii="Times New Roman Bold" w:hAnsi="Times New Roman Bold" w:cs="Times New Roman Bold"/>
          <w:b/>
          <w:bCs/>
          <w:lang w:val="en-US"/>
        </w:rPr>
        <w:t xml:space="preserve">can be explicitly configured, and ensures that the adapted SSB pattern falls into the smtc configuration selected for the indicated periodicity </w:t>
      </w:r>
    </w:p>
    <w:p w14:paraId="6AB24572">
      <w:pPr>
        <w:numPr>
          <w:ilvl w:val="0"/>
          <w:numId w:val="8"/>
        </w:numPr>
        <w:spacing w:after="120"/>
        <w:ind w:left="420" w:leftChars="0" w:hanging="420" w:firstLineChars="0"/>
        <w:rPr>
          <w:rFonts w:ascii="Times New Roman Bold" w:hAnsi="Times New Roman Bold" w:cs="Times New Roman Bold"/>
          <w:b/>
          <w:bCs/>
          <w:lang w:val="en-US" w:eastAsia="zh-CN"/>
        </w:rPr>
      </w:pPr>
      <w:r>
        <w:rPr>
          <w:rFonts w:hint="default" w:ascii="Times New Roman Bold" w:hAnsi="Times New Roman Bold" w:cs="Times New Roman Bold"/>
          <w:b/>
          <w:bCs/>
          <w:lang w:val="en-US"/>
        </w:rPr>
        <w:t>Alt 2: The offset is determined according to the smtc configuration, such that the adapted SSB pattern falls into the smtc configuration selected for the indicated periodicity</w:t>
      </w:r>
    </w:p>
    <w:p w14:paraId="0AC19FDB">
      <w:pPr>
        <w:spacing w:after="120"/>
        <w:rPr>
          <w:rFonts w:eastAsia="Times New Roman"/>
          <w:lang w:val="en-US" w:eastAsia="zh-CN"/>
        </w:rPr>
      </w:pPr>
    </w:p>
    <w:p w14:paraId="645800D6">
      <w:pPr>
        <w:spacing w:after="120"/>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PRACH adaptation </w:t>
      </w:r>
    </w:p>
    <w:p w14:paraId="2808DA05">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Adopt the TP#1 in section 4.1 to delete the change in the Short Message field introduced in TS 38.212.</w:t>
      </w:r>
    </w:p>
    <w:p w14:paraId="16E16FD2">
      <w:pPr>
        <w:numPr>
          <w:ilvl w:val="-1"/>
          <w:numId w:val="0"/>
        </w:numPr>
        <w:tabs>
          <w:tab w:val="left" w:pos="420"/>
        </w:tabs>
        <w:spacing w:after="120"/>
        <w:ind w:left="0" w:firstLine="0"/>
        <w:rPr>
          <w:rFonts w:ascii="Times New Roman Bold" w:hAnsi="Times New Roman Bold" w:cs="Times New Roman Bold"/>
          <w:b/>
          <w:bCs/>
          <w:lang w:val="en-US"/>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3</w:t>
      </w:r>
      <w:r>
        <w:rPr>
          <w:rFonts w:ascii="Times New Roman Bold" w:hAnsi="Times New Roman Bold" w:cs="Times New Roman Bold"/>
          <w:b/>
          <w:bCs/>
          <w:lang w:val="en-US"/>
        </w:rPr>
        <w:t xml:space="preserve">: </w:t>
      </w:r>
      <w:r>
        <w:rPr>
          <w:rFonts w:hint="default" w:ascii="Times New Roman Bold" w:hAnsi="Times New Roman Bold" w:cs="Times New Roman Bold"/>
          <w:b/>
          <w:bCs/>
          <w:lang w:val="en-US"/>
        </w:rPr>
        <w:t>W</w:t>
      </w:r>
      <w:r>
        <w:rPr>
          <w:rFonts w:hint="default"/>
          <w:b/>
          <w:bCs/>
          <w:lang w:val="en-US"/>
        </w:rPr>
        <w:t xml:space="preserve">hen UE receives a DCI with C-RNTI to trigger PDCCH-ordered PRACH with 1-bit indicating the additional PRACH resources is available for the triggered PRACH, is is up to UE </w:t>
      </w:r>
      <w:r>
        <w:rPr>
          <w:rFonts w:ascii="Times New Roman Bold" w:hAnsi="Times New Roman Bold" w:cs="Times New Roman Bold"/>
          <w:b/>
          <w:bCs/>
          <w:lang w:val="en-US"/>
        </w:rPr>
        <w:t>implementation</w:t>
      </w:r>
      <w:r>
        <w:rPr>
          <w:rFonts w:hint="default" w:ascii="Times New Roman Bold" w:hAnsi="Times New Roman Bold" w:cs="Times New Roman Bold"/>
          <w:b/>
          <w:bCs/>
          <w:lang w:val="en-US"/>
        </w:rPr>
        <w:t xml:space="preserve"> </w:t>
      </w:r>
      <w:r>
        <w:rPr>
          <w:rFonts w:ascii="Times New Roman Bold" w:hAnsi="Times New Roman Bold" w:cs="Times New Roman Bold"/>
          <w:b/>
          <w:bCs/>
          <w:lang w:val="en-US"/>
        </w:rPr>
        <w:t>to select between legacy or additional PRACH resources whichever comes first</w:t>
      </w:r>
      <w:r>
        <w:rPr>
          <w:rFonts w:hint="default" w:ascii="Times New Roman Bold" w:hAnsi="Times New Roman Bold" w:cs="Times New Roman Bold"/>
          <w:b/>
          <w:bCs/>
          <w:lang w:val="en-US"/>
        </w:rPr>
        <w:t>.</w:t>
      </w:r>
      <w:r>
        <w:rPr>
          <w:rFonts w:ascii="Times New Roman Bold" w:hAnsi="Times New Roman Bold" w:cs="Times New Roman Bold"/>
          <w:b/>
          <w:bCs/>
          <w:lang w:val="en-US"/>
        </w:rPr>
        <w:t xml:space="preserve"> </w:t>
      </w:r>
    </w:p>
    <w:p w14:paraId="4C5B9B1C">
      <w:pPr>
        <w:spacing w:after="120"/>
        <w:rPr>
          <w:rFonts w:hint="default"/>
          <w:b/>
          <w:bCs/>
          <w:lang w:val="en-US"/>
        </w:rPr>
      </w:pPr>
      <w:r>
        <w:rPr>
          <w:rFonts w:hint="default" w:ascii="Times New Roman Bold" w:hAnsi="Times New Roman Bold" w:cs="Times New Roman Bold"/>
          <w:b/>
          <w:bCs/>
          <w:lang w:val="en-US"/>
        </w:rPr>
        <w:t xml:space="preserve">Proposal 4: </w:t>
      </w:r>
      <w:r>
        <w:rPr>
          <w:rFonts w:hint="default"/>
          <w:b/>
          <w:bCs/>
          <w:lang w:val="en-US"/>
        </w:rPr>
        <w:t xml:space="preserve">For the value range of the validity duration, integer values from 2 to 8 can be supported. </w:t>
      </w:r>
    </w:p>
    <w:p w14:paraId="00BC84CB">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5: Support introducing an additional 1-bit indication in SIB1 to indicate whether the additional PRACH resources are available in the current Sl modification period, for UEs accessing the network to utilize the additional PRACH resources before receiving Paging DCI.</w:t>
      </w:r>
    </w:p>
    <w:p w14:paraId="79EDA341">
      <w:pPr>
        <w:spacing w:after="12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6: Regarding the number of APs within the </w:t>
      </w:r>
      <m:oMath>
        <m:sSub>
          <m:sSubPr>
            <m:ctrlPr>
              <w:rPr>
                <w:rFonts w:ascii="DejaVu Math TeX Gyre" w:hAnsi="DejaVu Math TeX Gyre" w:eastAsia="MS Mincho"/>
                <w:b w:val="0"/>
                <w:bCs w:val="0"/>
                <w:i/>
                <w:kern w:val="2"/>
              </w:rPr>
            </m:ctrlPr>
          </m:sSubPr>
          <m:e>
            <m:r>
              <m:rPr/>
              <w:rPr>
                <w:rFonts w:hint="default" w:ascii="DejaVu Math TeX Gyre" w:hAnsi="DejaVu Math TeX Gyre" w:eastAsia="MS Mincho"/>
                <w:kern w:val="2"/>
              </w:rPr>
              <m:t>K</m:t>
            </m:r>
            <m:ctrlPr>
              <w:rPr>
                <w:rFonts w:ascii="DejaVu Math TeX Gyre" w:hAnsi="DejaVu Math TeX Gyre" w:eastAsia="MS Mincho"/>
                <w:b w:val="0"/>
                <w:bCs w:val="0"/>
                <w:i/>
                <w:kern w:val="2"/>
              </w:rPr>
            </m:ctrlPr>
          </m:e>
          <m:sub>
            <m:r>
              <m:rPr>
                <m:sty m:val="p"/>
              </m:rPr>
              <w:rPr>
                <w:rFonts w:hint="default" w:ascii="DejaVu Math TeX Gyre" w:hAnsi="DejaVu Math TeX Gyre" w:eastAsia="MS Mincho"/>
                <w:kern w:val="2"/>
              </w:rPr>
              <m:t>mask</m:t>
            </m:r>
            <m:ctrlPr>
              <w:rPr>
                <w:rFonts w:ascii="DejaVu Math TeX Gyre" w:hAnsi="DejaVu Math TeX Gyre" w:eastAsia="MS Mincho"/>
                <w:b w:val="0"/>
                <w:bCs w:val="0"/>
                <w:i/>
                <w:kern w:val="2"/>
              </w:rPr>
            </m:ctrlPr>
          </m:sub>
        </m:sSub>
      </m:oMath>
      <w:r>
        <w:rPr>
          <w:rFonts w:hint="default" w:ascii="Times New Roman Bold" w:hAnsi="Times New Roman Bold" w:cs="Times New Roman Bold"/>
          <w:b/>
          <w:bCs/>
          <w:lang w:val="en-US"/>
        </w:rPr>
        <w:t xml:space="preserve"> APPs for the PRACH mask, discuss the following two options: </w:t>
      </w:r>
    </w:p>
    <w:p w14:paraId="53A74607">
      <w:pPr>
        <w:numPr>
          <w:ilvl w:val="0"/>
          <w:numId w:val="10"/>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Option 1: NW ensures that within the K_APP APPs, the number of APs can be divided by 2 or 4 or 8, according to the selected mask;</w:t>
      </w:r>
    </w:p>
    <w:p w14:paraId="64B98D10">
      <w:pPr>
        <w:numPr>
          <w:ilvl w:val="0"/>
          <w:numId w:val="10"/>
        </w:numPr>
        <w:spacing w:after="120"/>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Option 2: The actual usable APPs are ceiled/floored accordingly.</w:t>
      </w:r>
    </w:p>
    <w:p w14:paraId="5DBF9F5C">
      <w:pPr>
        <w:tabs>
          <w:tab w:val="left" w:pos="420"/>
        </w:tabs>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w:t>
      </w:r>
      <w:r>
        <w:rPr>
          <w:rFonts w:hint="default" w:ascii="Times New Roman Bold" w:hAnsi="Times New Roman Bold" w:cs="Times New Roman Bold"/>
          <w:b/>
          <w:bCs/>
          <w:lang w:val="en-US"/>
        </w:rPr>
        <w:t>7</w:t>
      </w:r>
      <w:r>
        <w:rPr>
          <w:rFonts w:ascii="Times New Roman Bold" w:hAnsi="Times New Roman Bold" w:cs="Times New Roman Bold"/>
          <w:b/>
          <w:bCs/>
          <w:lang w:val="en-US"/>
        </w:rPr>
        <w:t xml:space="preserve">: For RA-RNTI ambiguity issue, consider the following alternatives: </w:t>
      </w:r>
    </w:p>
    <w:p w14:paraId="6F3907B3">
      <w:pPr>
        <w:numPr>
          <w:ilvl w:val="0"/>
          <w:numId w:val="11"/>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Alt 1: Introduce a k_offset for the additional PRACH resources, i.e. RA-RNTI = 1 + s_id + 14 x t_id + 14 x 80 x f_id + 14 x 80 x8 x ul_carrier_id + 14 x 80x 8 x 2 x k_offset </w:t>
      </w:r>
    </w:p>
    <w:p w14:paraId="34134A69">
      <w:pPr>
        <w:numPr>
          <w:ilvl w:val="0"/>
          <w:numId w:val="11"/>
        </w:numPr>
        <w:spacing w:after="120"/>
        <w:rPr>
          <w:rFonts w:ascii="Times New Roman Bold" w:hAnsi="Times New Roman Bold" w:cs="Times New Roman Bold"/>
          <w:b/>
          <w:bCs/>
          <w:lang w:val="en-US"/>
        </w:rPr>
      </w:pPr>
      <w:r>
        <w:rPr>
          <w:rFonts w:ascii="Times New Roman Bold" w:hAnsi="Times New Roman Bold" w:cs="Times New Roman Bold"/>
          <w:b/>
          <w:bCs/>
          <w:lang w:val="en-US"/>
        </w:rPr>
        <w:t>Alt 2: f_id for the additional PRACH resources is the index of the PRACH occasion in the frequency domain plus the number of FDMed legacy ROs.</w:t>
      </w:r>
    </w:p>
    <w:p w14:paraId="6AAAC3A7">
      <w:pPr>
        <w:numPr>
          <w:ilvl w:val="1"/>
          <w:numId w:val="11"/>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FFS whether this applies only to the additional PRACH resources overlapped in time domain with legacy PRACH resources or applied to all additional PRACH resources. </w:t>
      </w:r>
    </w:p>
    <w:p w14:paraId="40C489EA">
      <w:pPr>
        <w:spacing w:after="120"/>
        <w:rPr>
          <w:rFonts w:eastAsia="Times New Roman"/>
          <w:lang w:val="en-US" w:eastAsia="zh-CN"/>
        </w:rPr>
      </w:pPr>
    </w:p>
    <w:p w14:paraId="0E7D784A">
      <w:pPr>
        <w:rPr>
          <w:rFonts w:hint="default"/>
          <w:lang w:val="en-US" w:eastAsia="sv-SE"/>
        </w:rPr>
      </w:pPr>
      <w:r>
        <w:rPr>
          <w:rFonts w:hint="default" w:ascii="Times New Roman Bold" w:hAnsi="Times New Roman Bold" w:cs="Times New Roman Bold"/>
          <w:b/>
          <w:bCs/>
          <w:lang w:val="en-US" w:eastAsia="sv-SE"/>
        </w:rPr>
        <w:t>Proposal 8: Adopt TP#2 for TS38.213.</w:t>
      </w:r>
    </w:p>
    <w:p w14:paraId="5044F2C2">
      <w:pPr>
        <w:spacing w:after="120"/>
        <w:rPr>
          <w:rFonts w:eastAsia="Times New Roman"/>
          <w:lang w:val="en-US" w:eastAsia="zh-CN"/>
        </w:rPr>
      </w:pPr>
      <w:bookmarkStart w:id="16" w:name="_GoBack"/>
      <w:bookmarkEnd w:id="16"/>
    </w:p>
    <w:p w14:paraId="3A5358C2">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2A80CBBE">
      <w:pPr>
        <w:numPr>
          <w:ilvl w:val="0"/>
          <w:numId w:val="12"/>
        </w:numPr>
        <w:spacing w:after="120"/>
      </w:pPr>
      <w:r>
        <w:rPr>
          <w:rFonts w:eastAsia="Times New Roman"/>
          <w:lang w:val="en-US" w:eastAsia="zh-CN"/>
        </w:rPr>
        <w:t>RP-242354, Revised WID: Enhancements of network energy savings for NR, Ericsson, 3GPP TSG RAN Meeting #105, Melbourne, Australia, Sep 9-12, 2024.</w:t>
      </w:r>
    </w:p>
    <w:sectPr>
      <w:pgSz w:w="11909" w:h="16834"/>
      <w:pgMar w:top="1134" w:right="1134" w:bottom="1134" w:left="13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Arial Regular">
    <w:panose1 w:val="020B0704020202020204"/>
    <w:charset w:val="00"/>
    <w:family w:val="auto"/>
    <w:pitch w:val="default"/>
    <w:sig w:usb0="E0002AFF" w:usb1="C0007843" w:usb2="00000009" w:usb3="00000000" w:csb0="400001FF" w:csb1="FFFF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86"/>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20B0604020202020204"/>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Cambria Math">
    <w:altName w:val="Kingsoft Math"/>
    <w:panose1 w:val="02040503050406030204"/>
    <w:charset w:val="00"/>
    <w:family w:val="roman"/>
    <w:pitch w:val="default"/>
    <w:sig w:usb0="00000000" w:usb1="00000000" w:usb2="02000000" w:usb3="00000000" w:csb0="0000019F" w:csb1="00000000"/>
  </w:font>
  <w:font w:name="Times New Roman Bold">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DejaVu Math TeX Gyre">
    <w:panose1 w:val="02000503000000000000"/>
    <w:charset w:val="00"/>
    <w:family w:val="auto"/>
    <w:pitch w:val="default"/>
    <w:sig w:usb0="A10000EF" w:usb1="4201F9EE" w:usb2="02000000" w:usb3="00000000" w:csb0="60000193" w:csb1="0DD4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700000000000000"/>
    <w:charset w:val="80"/>
    <w:family w:val="auto"/>
    <w:pitch w:val="default"/>
    <w:sig w:usb0="800002CF" w:usb1="6AC7FCFC" w:usb2="00000012" w:usb3="00000000" w:csb0="0002000D"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7BF24"/>
    <w:multiLevelType w:val="singleLevel"/>
    <w:tmpl w:val="CFF7BF24"/>
    <w:lvl w:ilvl="0" w:tentative="0">
      <w:start w:val="3"/>
      <w:numFmt w:val="decimal"/>
      <w:suff w:val="space"/>
      <w:lvlText w:val="%1."/>
      <w:lvlJc w:val="left"/>
    </w:lvl>
  </w:abstractNum>
  <w:abstractNum w:abstractNumId="1">
    <w:nsid w:val="DFBA5CD6"/>
    <w:multiLevelType w:val="singleLevel"/>
    <w:tmpl w:val="DFBA5CD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ED98357A"/>
    <w:multiLevelType w:val="singleLevel"/>
    <w:tmpl w:val="ED98357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EFB679D6"/>
    <w:multiLevelType w:val="multilevel"/>
    <w:tmpl w:val="EFB679D6"/>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FDFE4864"/>
    <w:multiLevelType w:val="singleLevel"/>
    <w:tmpl w:val="FDFE4864"/>
    <w:lvl w:ilvl="0" w:tentative="0">
      <w:start w:val="1"/>
      <w:numFmt w:val="decimal"/>
      <w:suff w:val="space"/>
      <w:lvlText w:val="[%1]"/>
      <w:lvlJc w:val="left"/>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6505B49"/>
    <w:multiLevelType w:val="multilevel"/>
    <w:tmpl w:val="06505B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41A533C"/>
    <w:multiLevelType w:val="multilevel"/>
    <w:tmpl w:val="741A533C"/>
    <w:lvl w:ilvl="0" w:tentative="0">
      <w:start w:val="1"/>
      <w:numFmt w:val="decimal"/>
      <w:lvlText w:val="%1."/>
      <w:lvlJc w:val="left"/>
      <w:pPr>
        <w:ind w:left="1619" w:hanging="360"/>
      </w:pPr>
      <w:rPr>
        <w:rFonts w:hint="default"/>
      </w:rPr>
    </w:lvl>
    <w:lvl w:ilvl="1" w:tentative="0">
      <w:start w:val="1"/>
      <w:numFmt w:val="upperLetter"/>
      <w:lvlText w:val="%2."/>
      <w:lvlJc w:val="left"/>
      <w:pPr>
        <w:ind w:left="2139" w:hanging="440"/>
      </w:pPr>
    </w:lvl>
    <w:lvl w:ilvl="2" w:tentative="0">
      <w:start w:val="1"/>
      <w:numFmt w:val="lowerRoman"/>
      <w:lvlText w:val="%3."/>
      <w:lvlJc w:val="right"/>
      <w:pPr>
        <w:ind w:left="2579" w:hanging="440"/>
      </w:pPr>
    </w:lvl>
    <w:lvl w:ilvl="3" w:tentative="0">
      <w:start w:val="1"/>
      <w:numFmt w:val="decimal"/>
      <w:lvlText w:val="%4."/>
      <w:lvlJc w:val="left"/>
      <w:pPr>
        <w:ind w:left="3019" w:hanging="440"/>
      </w:pPr>
    </w:lvl>
    <w:lvl w:ilvl="4" w:tentative="0">
      <w:start w:val="1"/>
      <w:numFmt w:val="upperLetter"/>
      <w:lvlText w:val="%5."/>
      <w:lvlJc w:val="left"/>
      <w:pPr>
        <w:ind w:left="3459" w:hanging="440"/>
      </w:pPr>
    </w:lvl>
    <w:lvl w:ilvl="5" w:tentative="0">
      <w:start w:val="1"/>
      <w:numFmt w:val="lowerRoman"/>
      <w:lvlText w:val="%6."/>
      <w:lvlJc w:val="right"/>
      <w:pPr>
        <w:ind w:left="3899" w:hanging="440"/>
      </w:pPr>
    </w:lvl>
    <w:lvl w:ilvl="6" w:tentative="0">
      <w:start w:val="1"/>
      <w:numFmt w:val="decimal"/>
      <w:lvlText w:val="%7."/>
      <w:lvlJc w:val="left"/>
      <w:pPr>
        <w:ind w:left="4339" w:hanging="440"/>
      </w:pPr>
    </w:lvl>
    <w:lvl w:ilvl="7" w:tentative="0">
      <w:start w:val="1"/>
      <w:numFmt w:val="upperLetter"/>
      <w:lvlText w:val="%8."/>
      <w:lvlJc w:val="left"/>
      <w:pPr>
        <w:ind w:left="4779" w:hanging="440"/>
      </w:pPr>
    </w:lvl>
    <w:lvl w:ilvl="8" w:tentative="0">
      <w:start w:val="1"/>
      <w:numFmt w:val="lowerRoman"/>
      <w:lvlText w:val="%9."/>
      <w:lvlJc w:val="right"/>
      <w:pPr>
        <w:ind w:left="5219" w:hanging="440"/>
      </w:pPr>
    </w:lvl>
  </w:abstractNum>
  <w:abstractNum w:abstractNumId="10">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ED68BD4"/>
    <w:multiLevelType w:val="multilevel"/>
    <w:tmpl w:val="7ED68BD4"/>
    <w:lvl w:ilvl="0" w:tentative="0">
      <w:start w:val="3"/>
      <w:numFmt w:val="decimal"/>
      <w:pStyle w:val="2"/>
      <w:lvlText w:val="%1"/>
      <w:lvlJc w:val="left"/>
      <w:pPr>
        <w:tabs>
          <w:tab w:val="left" w:pos="432"/>
        </w:tabs>
        <w:ind w:left="432" w:hanging="432"/>
      </w:pPr>
      <w:rPr>
        <w:rFonts w:hint="default" w:ascii="宋体" w:hAnsi="宋体" w:eastAsia="宋体" w:cs="宋体"/>
      </w:rPr>
    </w:lvl>
    <w:lvl w:ilvl="1" w:tentative="0">
      <w:start w:val="1"/>
      <w:numFmt w:val="decimal"/>
      <w:pStyle w:val="3"/>
      <w:lvlText w:val="%1.%2"/>
      <w:lvlJc w:val="left"/>
      <w:pPr>
        <w:tabs>
          <w:tab w:val="left" w:pos="576"/>
        </w:tabs>
        <w:ind w:left="576" w:hanging="576"/>
      </w:pPr>
      <w:rPr>
        <w:rFonts w:hint="default" w:ascii="Arial Regular" w:hAnsi="Arial Regular" w:eastAsia="宋体" w:cs="Arial Regular"/>
      </w:rPr>
    </w:lvl>
    <w:lvl w:ilvl="2" w:tentative="0">
      <w:start w:val="1"/>
      <w:numFmt w:val="decimal"/>
      <w:lvlRestart w:val="0"/>
      <w:pStyle w:val="4"/>
      <w:lvlText w:val="%1.%2.%3"/>
      <w:lvlJc w:val="left"/>
      <w:pPr>
        <w:tabs>
          <w:tab w:val="left" w:pos="0"/>
        </w:tabs>
        <w:ind w:left="720" w:hanging="720"/>
      </w:pPr>
      <w:rPr>
        <w:rFonts w:hint="default"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11"/>
  </w:num>
  <w:num w:numId="2">
    <w:abstractNumId w:val="6"/>
  </w:num>
  <w:num w:numId="3">
    <w:abstractNumId w:val="5"/>
  </w:num>
  <w:num w:numId="4">
    <w:abstractNumId w:val="0"/>
  </w:num>
  <w:num w:numId="5">
    <w:abstractNumId w:val="10"/>
  </w:num>
  <w:num w:numId="6">
    <w:abstractNumId w:val="7"/>
  </w:num>
  <w:num w:numId="7">
    <w:abstractNumId w:val="9"/>
  </w:num>
  <w:num w:numId="8">
    <w:abstractNumId w:val="2"/>
  </w:num>
  <w:num w:numId="9">
    <w:abstractNumId w:val="8"/>
  </w:num>
  <w:num w:numId="10">
    <w:abstractNumId w:val="1"/>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28E9"/>
    <w:rsid w:val="00027418"/>
    <w:rsid w:val="00035C3D"/>
    <w:rsid w:val="00041FB7"/>
    <w:rsid w:val="000443F7"/>
    <w:rsid w:val="0005011F"/>
    <w:rsid w:val="0005233E"/>
    <w:rsid w:val="00052672"/>
    <w:rsid w:val="000527DB"/>
    <w:rsid w:val="00052ACE"/>
    <w:rsid w:val="00053611"/>
    <w:rsid w:val="00054572"/>
    <w:rsid w:val="00054DD5"/>
    <w:rsid w:val="00060542"/>
    <w:rsid w:val="000605DA"/>
    <w:rsid w:val="00060C6D"/>
    <w:rsid w:val="00070E52"/>
    <w:rsid w:val="00073C45"/>
    <w:rsid w:val="00074A3E"/>
    <w:rsid w:val="00076A35"/>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5779B"/>
    <w:rsid w:val="001671FB"/>
    <w:rsid w:val="00167B43"/>
    <w:rsid w:val="00174780"/>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2F76"/>
    <w:rsid w:val="001C40D9"/>
    <w:rsid w:val="001C5621"/>
    <w:rsid w:val="001C74BE"/>
    <w:rsid w:val="001D150F"/>
    <w:rsid w:val="001D41B7"/>
    <w:rsid w:val="001D52A5"/>
    <w:rsid w:val="001D6F38"/>
    <w:rsid w:val="001D7AE8"/>
    <w:rsid w:val="001F05DC"/>
    <w:rsid w:val="001F0B04"/>
    <w:rsid w:val="001F0CC3"/>
    <w:rsid w:val="001F20E5"/>
    <w:rsid w:val="001F2C8F"/>
    <w:rsid w:val="001F3669"/>
    <w:rsid w:val="001F37C1"/>
    <w:rsid w:val="00202C71"/>
    <w:rsid w:val="00206F84"/>
    <w:rsid w:val="00210B7B"/>
    <w:rsid w:val="00211448"/>
    <w:rsid w:val="0021214B"/>
    <w:rsid w:val="002134A6"/>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46DC"/>
    <w:rsid w:val="00265760"/>
    <w:rsid w:val="00271586"/>
    <w:rsid w:val="00271CD9"/>
    <w:rsid w:val="0027358D"/>
    <w:rsid w:val="00274937"/>
    <w:rsid w:val="00277FBD"/>
    <w:rsid w:val="00282066"/>
    <w:rsid w:val="00282E2C"/>
    <w:rsid w:val="00293C36"/>
    <w:rsid w:val="00293DB3"/>
    <w:rsid w:val="0029433B"/>
    <w:rsid w:val="0029544E"/>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6713"/>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4C9B"/>
    <w:rsid w:val="003269DE"/>
    <w:rsid w:val="0033037F"/>
    <w:rsid w:val="003419DD"/>
    <w:rsid w:val="00343017"/>
    <w:rsid w:val="00343A55"/>
    <w:rsid w:val="00345EEA"/>
    <w:rsid w:val="003521DB"/>
    <w:rsid w:val="003544C1"/>
    <w:rsid w:val="003553AF"/>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1712"/>
    <w:rsid w:val="003B3DC0"/>
    <w:rsid w:val="003B6548"/>
    <w:rsid w:val="003C3033"/>
    <w:rsid w:val="003C3148"/>
    <w:rsid w:val="003C4584"/>
    <w:rsid w:val="003C7BBE"/>
    <w:rsid w:val="003D33A8"/>
    <w:rsid w:val="003D7BDA"/>
    <w:rsid w:val="003E0305"/>
    <w:rsid w:val="003E04E9"/>
    <w:rsid w:val="003E1D4D"/>
    <w:rsid w:val="003E35DC"/>
    <w:rsid w:val="003E6A3A"/>
    <w:rsid w:val="003E7642"/>
    <w:rsid w:val="003F4797"/>
    <w:rsid w:val="003F47B5"/>
    <w:rsid w:val="004003E8"/>
    <w:rsid w:val="0040222B"/>
    <w:rsid w:val="004022CC"/>
    <w:rsid w:val="00403018"/>
    <w:rsid w:val="004045BC"/>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76E8F"/>
    <w:rsid w:val="0048214B"/>
    <w:rsid w:val="004826E7"/>
    <w:rsid w:val="0048292A"/>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0A88"/>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9656F"/>
    <w:rsid w:val="005A29FB"/>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592"/>
    <w:rsid w:val="00606731"/>
    <w:rsid w:val="00610284"/>
    <w:rsid w:val="006103E1"/>
    <w:rsid w:val="00613ABD"/>
    <w:rsid w:val="006147B1"/>
    <w:rsid w:val="0061561D"/>
    <w:rsid w:val="00623D44"/>
    <w:rsid w:val="0062423E"/>
    <w:rsid w:val="0062486E"/>
    <w:rsid w:val="00636884"/>
    <w:rsid w:val="00640051"/>
    <w:rsid w:val="00642348"/>
    <w:rsid w:val="00645247"/>
    <w:rsid w:val="00645CFD"/>
    <w:rsid w:val="00645E6A"/>
    <w:rsid w:val="006505FE"/>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349D"/>
    <w:rsid w:val="006E5673"/>
    <w:rsid w:val="006F1592"/>
    <w:rsid w:val="006F4666"/>
    <w:rsid w:val="007003FC"/>
    <w:rsid w:val="007011E2"/>
    <w:rsid w:val="007040C1"/>
    <w:rsid w:val="00704829"/>
    <w:rsid w:val="00704D87"/>
    <w:rsid w:val="00705161"/>
    <w:rsid w:val="00706A1F"/>
    <w:rsid w:val="00720496"/>
    <w:rsid w:val="00721545"/>
    <w:rsid w:val="0072164E"/>
    <w:rsid w:val="00721B1A"/>
    <w:rsid w:val="0072399E"/>
    <w:rsid w:val="00726297"/>
    <w:rsid w:val="007308EC"/>
    <w:rsid w:val="00732E1C"/>
    <w:rsid w:val="007333B3"/>
    <w:rsid w:val="007349CA"/>
    <w:rsid w:val="00734CBF"/>
    <w:rsid w:val="0073548C"/>
    <w:rsid w:val="00735851"/>
    <w:rsid w:val="007366AA"/>
    <w:rsid w:val="00737671"/>
    <w:rsid w:val="007436B8"/>
    <w:rsid w:val="00746E84"/>
    <w:rsid w:val="00750E49"/>
    <w:rsid w:val="00750FE6"/>
    <w:rsid w:val="00755601"/>
    <w:rsid w:val="00756874"/>
    <w:rsid w:val="00756D61"/>
    <w:rsid w:val="00757025"/>
    <w:rsid w:val="0075736E"/>
    <w:rsid w:val="00760BC3"/>
    <w:rsid w:val="00760E00"/>
    <w:rsid w:val="00763C91"/>
    <w:rsid w:val="00764B12"/>
    <w:rsid w:val="00775A2D"/>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221E"/>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427D"/>
    <w:rsid w:val="008F621B"/>
    <w:rsid w:val="008F7720"/>
    <w:rsid w:val="008F7C25"/>
    <w:rsid w:val="00901D0D"/>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3176"/>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5D4B"/>
    <w:rsid w:val="00967CFB"/>
    <w:rsid w:val="0097079E"/>
    <w:rsid w:val="00973F28"/>
    <w:rsid w:val="00973FA2"/>
    <w:rsid w:val="00981D9F"/>
    <w:rsid w:val="0098461A"/>
    <w:rsid w:val="00985935"/>
    <w:rsid w:val="00991C2A"/>
    <w:rsid w:val="009954CA"/>
    <w:rsid w:val="009A029F"/>
    <w:rsid w:val="009A02D8"/>
    <w:rsid w:val="009A5A09"/>
    <w:rsid w:val="009A6F45"/>
    <w:rsid w:val="009B1D77"/>
    <w:rsid w:val="009B1F2D"/>
    <w:rsid w:val="009B64D0"/>
    <w:rsid w:val="009C159F"/>
    <w:rsid w:val="009C2CD7"/>
    <w:rsid w:val="009C4B30"/>
    <w:rsid w:val="009C7A81"/>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2610F"/>
    <w:rsid w:val="00A301A7"/>
    <w:rsid w:val="00A31351"/>
    <w:rsid w:val="00A32122"/>
    <w:rsid w:val="00A3604F"/>
    <w:rsid w:val="00A43A40"/>
    <w:rsid w:val="00A453E9"/>
    <w:rsid w:val="00A50048"/>
    <w:rsid w:val="00A5007F"/>
    <w:rsid w:val="00A5570E"/>
    <w:rsid w:val="00A55CF4"/>
    <w:rsid w:val="00A5611B"/>
    <w:rsid w:val="00A61E46"/>
    <w:rsid w:val="00A71D04"/>
    <w:rsid w:val="00A748B5"/>
    <w:rsid w:val="00A752B0"/>
    <w:rsid w:val="00A77EFD"/>
    <w:rsid w:val="00A80D3B"/>
    <w:rsid w:val="00A83B70"/>
    <w:rsid w:val="00A85637"/>
    <w:rsid w:val="00A95126"/>
    <w:rsid w:val="00AA1F42"/>
    <w:rsid w:val="00AA341E"/>
    <w:rsid w:val="00AA5A65"/>
    <w:rsid w:val="00AA5C7C"/>
    <w:rsid w:val="00AB348F"/>
    <w:rsid w:val="00AB5CB1"/>
    <w:rsid w:val="00AB6B4D"/>
    <w:rsid w:val="00AC0C03"/>
    <w:rsid w:val="00AC278D"/>
    <w:rsid w:val="00AC5033"/>
    <w:rsid w:val="00AC7554"/>
    <w:rsid w:val="00AD2F16"/>
    <w:rsid w:val="00AD7C0A"/>
    <w:rsid w:val="00AE2C21"/>
    <w:rsid w:val="00AE554F"/>
    <w:rsid w:val="00AF676F"/>
    <w:rsid w:val="00AF6EBE"/>
    <w:rsid w:val="00B057B7"/>
    <w:rsid w:val="00B13627"/>
    <w:rsid w:val="00B17047"/>
    <w:rsid w:val="00B20627"/>
    <w:rsid w:val="00B23921"/>
    <w:rsid w:val="00B26221"/>
    <w:rsid w:val="00B27A3D"/>
    <w:rsid w:val="00B323DD"/>
    <w:rsid w:val="00B34798"/>
    <w:rsid w:val="00B34F32"/>
    <w:rsid w:val="00B3574E"/>
    <w:rsid w:val="00B40351"/>
    <w:rsid w:val="00B40D93"/>
    <w:rsid w:val="00B439FC"/>
    <w:rsid w:val="00B44163"/>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317"/>
    <w:rsid w:val="00BA3769"/>
    <w:rsid w:val="00BA74B0"/>
    <w:rsid w:val="00BB01E2"/>
    <w:rsid w:val="00BB52CF"/>
    <w:rsid w:val="00BB56DE"/>
    <w:rsid w:val="00BC0B79"/>
    <w:rsid w:val="00BC370E"/>
    <w:rsid w:val="00BC3765"/>
    <w:rsid w:val="00BC3D43"/>
    <w:rsid w:val="00BC75B5"/>
    <w:rsid w:val="00BD4762"/>
    <w:rsid w:val="00BD491D"/>
    <w:rsid w:val="00BD5E6D"/>
    <w:rsid w:val="00BD604C"/>
    <w:rsid w:val="00BE06F0"/>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44E6"/>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5E27"/>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E53B6"/>
    <w:rsid w:val="00CF2307"/>
    <w:rsid w:val="00CF58E2"/>
    <w:rsid w:val="00CF5F39"/>
    <w:rsid w:val="00CF7BB1"/>
    <w:rsid w:val="00D0138D"/>
    <w:rsid w:val="00D02D0D"/>
    <w:rsid w:val="00D1164E"/>
    <w:rsid w:val="00D1420E"/>
    <w:rsid w:val="00D15FAF"/>
    <w:rsid w:val="00D16974"/>
    <w:rsid w:val="00D20BAF"/>
    <w:rsid w:val="00D26D98"/>
    <w:rsid w:val="00D3326C"/>
    <w:rsid w:val="00D3374A"/>
    <w:rsid w:val="00D429DD"/>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A7F70"/>
    <w:rsid w:val="00EB14BE"/>
    <w:rsid w:val="00EB1A36"/>
    <w:rsid w:val="00EB37A1"/>
    <w:rsid w:val="00EB53DA"/>
    <w:rsid w:val="00EC1AFC"/>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0C56"/>
    <w:rsid w:val="00FC2435"/>
    <w:rsid w:val="00FC2853"/>
    <w:rsid w:val="00FC5F97"/>
    <w:rsid w:val="00FC6459"/>
    <w:rsid w:val="00FD04CC"/>
    <w:rsid w:val="00FD30D3"/>
    <w:rsid w:val="00FD43E6"/>
    <w:rsid w:val="00FD445A"/>
    <w:rsid w:val="00FD62E2"/>
    <w:rsid w:val="00FE0993"/>
    <w:rsid w:val="00FE1FEE"/>
    <w:rsid w:val="00FE4392"/>
    <w:rsid w:val="00FE6A52"/>
    <w:rsid w:val="00FF45F8"/>
    <w:rsid w:val="03EE0526"/>
    <w:rsid w:val="06BD60FF"/>
    <w:rsid w:val="07D11F55"/>
    <w:rsid w:val="07FC6AF9"/>
    <w:rsid w:val="07FF2236"/>
    <w:rsid w:val="08FF4523"/>
    <w:rsid w:val="0BFFCB31"/>
    <w:rsid w:val="0DB59CC4"/>
    <w:rsid w:val="0DBE51FE"/>
    <w:rsid w:val="0E29A903"/>
    <w:rsid w:val="0E674F9E"/>
    <w:rsid w:val="0E6E2F57"/>
    <w:rsid w:val="0EEFD77C"/>
    <w:rsid w:val="0EFF5EE5"/>
    <w:rsid w:val="0F3F688D"/>
    <w:rsid w:val="0F3FD944"/>
    <w:rsid w:val="0F7939A3"/>
    <w:rsid w:val="0FB75FF2"/>
    <w:rsid w:val="0FBF922E"/>
    <w:rsid w:val="0FEEC336"/>
    <w:rsid w:val="0FFE6CC9"/>
    <w:rsid w:val="12F38DA4"/>
    <w:rsid w:val="12FD98AF"/>
    <w:rsid w:val="13B3670F"/>
    <w:rsid w:val="13FF9E8C"/>
    <w:rsid w:val="14EEE120"/>
    <w:rsid w:val="15DDD0A9"/>
    <w:rsid w:val="167FA8FB"/>
    <w:rsid w:val="16BCF935"/>
    <w:rsid w:val="16F234CB"/>
    <w:rsid w:val="16F64615"/>
    <w:rsid w:val="1737FD4E"/>
    <w:rsid w:val="17754508"/>
    <w:rsid w:val="177F295B"/>
    <w:rsid w:val="177F5C08"/>
    <w:rsid w:val="17B37065"/>
    <w:rsid w:val="17BF423E"/>
    <w:rsid w:val="17F5DFCD"/>
    <w:rsid w:val="17FE5671"/>
    <w:rsid w:val="17FE843A"/>
    <w:rsid w:val="196A639A"/>
    <w:rsid w:val="197B1FBE"/>
    <w:rsid w:val="19C68BD0"/>
    <w:rsid w:val="19FBF958"/>
    <w:rsid w:val="1AD5EF0C"/>
    <w:rsid w:val="1AFD1BD4"/>
    <w:rsid w:val="1B47F461"/>
    <w:rsid w:val="1B4B8F93"/>
    <w:rsid w:val="1B58552D"/>
    <w:rsid w:val="1B7814B3"/>
    <w:rsid w:val="1BD7A710"/>
    <w:rsid w:val="1BDF5405"/>
    <w:rsid w:val="1BE917CF"/>
    <w:rsid w:val="1BED3D43"/>
    <w:rsid w:val="1BF1A51D"/>
    <w:rsid w:val="1BFF06F2"/>
    <w:rsid w:val="1CD710B2"/>
    <w:rsid w:val="1D56AE7B"/>
    <w:rsid w:val="1D683FB7"/>
    <w:rsid w:val="1D7BDE20"/>
    <w:rsid w:val="1D7E90B0"/>
    <w:rsid w:val="1D7E9B3E"/>
    <w:rsid w:val="1D8F9836"/>
    <w:rsid w:val="1DCE3724"/>
    <w:rsid w:val="1DD1514B"/>
    <w:rsid w:val="1DF7D2FA"/>
    <w:rsid w:val="1DFA6340"/>
    <w:rsid w:val="1DFB5AD0"/>
    <w:rsid w:val="1DFDD271"/>
    <w:rsid w:val="1DFF6EC0"/>
    <w:rsid w:val="1E7FC13F"/>
    <w:rsid w:val="1E7FF417"/>
    <w:rsid w:val="1EA8C724"/>
    <w:rsid w:val="1EB5DD13"/>
    <w:rsid w:val="1EB7DA5D"/>
    <w:rsid w:val="1ED72561"/>
    <w:rsid w:val="1EDD1C9B"/>
    <w:rsid w:val="1EEBD891"/>
    <w:rsid w:val="1EEF206A"/>
    <w:rsid w:val="1EFEEEA3"/>
    <w:rsid w:val="1EFF1B92"/>
    <w:rsid w:val="1EFF4D78"/>
    <w:rsid w:val="1F591576"/>
    <w:rsid w:val="1F5F2EA8"/>
    <w:rsid w:val="1F7D00E2"/>
    <w:rsid w:val="1F7F2AB2"/>
    <w:rsid w:val="1F87E1C8"/>
    <w:rsid w:val="1F9B1645"/>
    <w:rsid w:val="1F9D131E"/>
    <w:rsid w:val="1FA64DF9"/>
    <w:rsid w:val="1FACF26E"/>
    <w:rsid w:val="1FBCFB4B"/>
    <w:rsid w:val="1FBE963B"/>
    <w:rsid w:val="1FBF6F0E"/>
    <w:rsid w:val="1FCF462C"/>
    <w:rsid w:val="1FD72CEB"/>
    <w:rsid w:val="1FDC7134"/>
    <w:rsid w:val="1FDDFDEA"/>
    <w:rsid w:val="1FDE22F9"/>
    <w:rsid w:val="1FDFAA66"/>
    <w:rsid w:val="1FDFE669"/>
    <w:rsid w:val="1FDFFC35"/>
    <w:rsid w:val="1FE7A4CB"/>
    <w:rsid w:val="1FE7D8F2"/>
    <w:rsid w:val="1FF5DC31"/>
    <w:rsid w:val="1FFB0274"/>
    <w:rsid w:val="1FFBE9E6"/>
    <w:rsid w:val="1FFE1840"/>
    <w:rsid w:val="1FFE1B73"/>
    <w:rsid w:val="1FFE86D9"/>
    <w:rsid w:val="1FFF55D9"/>
    <w:rsid w:val="1FFF5A15"/>
    <w:rsid w:val="22BAB82B"/>
    <w:rsid w:val="22FE274C"/>
    <w:rsid w:val="2369DAD2"/>
    <w:rsid w:val="237F7991"/>
    <w:rsid w:val="2399B001"/>
    <w:rsid w:val="239F143E"/>
    <w:rsid w:val="23F7DA84"/>
    <w:rsid w:val="25B1E3A4"/>
    <w:rsid w:val="25FDDE01"/>
    <w:rsid w:val="266ED5DB"/>
    <w:rsid w:val="26CF4810"/>
    <w:rsid w:val="26FF91BD"/>
    <w:rsid w:val="26FFA137"/>
    <w:rsid w:val="2739D001"/>
    <w:rsid w:val="275F57DF"/>
    <w:rsid w:val="275F8708"/>
    <w:rsid w:val="27938C60"/>
    <w:rsid w:val="27C54ADD"/>
    <w:rsid w:val="27DD1306"/>
    <w:rsid w:val="27DEF9FC"/>
    <w:rsid w:val="28FB3A62"/>
    <w:rsid w:val="29BFF69A"/>
    <w:rsid w:val="29FED9AD"/>
    <w:rsid w:val="29FFC1B8"/>
    <w:rsid w:val="2AFE2CA9"/>
    <w:rsid w:val="2AFFAEB5"/>
    <w:rsid w:val="2B3EFF9B"/>
    <w:rsid w:val="2B562154"/>
    <w:rsid w:val="2BBB6A00"/>
    <w:rsid w:val="2BD8EDF3"/>
    <w:rsid w:val="2BFA57FF"/>
    <w:rsid w:val="2BFF480C"/>
    <w:rsid w:val="2BFFFF1E"/>
    <w:rsid w:val="2BFFFFF4"/>
    <w:rsid w:val="2C9F1C64"/>
    <w:rsid w:val="2CFF80B2"/>
    <w:rsid w:val="2D3DFAA7"/>
    <w:rsid w:val="2D7CCA7E"/>
    <w:rsid w:val="2D9F7D3C"/>
    <w:rsid w:val="2DC66CC5"/>
    <w:rsid w:val="2DCAAB19"/>
    <w:rsid w:val="2DE31D95"/>
    <w:rsid w:val="2DEDD455"/>
    <w:rsid w:val="2DF3F66F"/>
    <w:rsid w:val="2DFDEF4F"/>
    <w:rsid w:val="2DFF1358"/>
    <w:rsid w:val="2DFFAE64"/>
    <w:rsid w:val="2E36777A"/>
    <w:rsid w:val="2ED72B33"/>
    <w:rsid w:val="2EEF1179"/>
    <w:rsid w:val="2F2F35D8"/>
    <w:rsid w:val="2F3B305C"/>
    <w:rsid w:val="2F67F247"/>
    <w:rsid w:val="2F6BE4A5"/>
    <w:rsid w:val="2F79BEBC"/>
    <w:rsid w:val="2F7E7195"/>
    <w:rsid w:val="2F7EA45E"/>
    <w:rsid w:val="2F7FC481"/>
    <w:rsid w:val="2F7FE822"/>
    <w:rsid w:val="2FBAC71C"/>
    <w:rsid w:val="2FCD17FE"/>
    <w:rsid w:val="2FD6F407"/>
    <w:rsid w:val="2FDB9270"/>
    <w:rsid w:val="2FDD9AEC"/>
    <w:rsid w:val="2FDE3CF5"/>
    <w:rsid w:val="2FDE9597"/>
    <w:rsid w:val="2FE3E15B"/>
    <w:rsid w:val="2FE3EAD0"/>
    <w:rsid w:val="2FEBA335"/>
    <w:rsid w:val="2FEFC43B"/>
    <w:rsid w:val="2FF7BD03"/>
    <w:rsid w:val="2FFE296A"/>
    <w:rsid w:val="2FFE4BB4"/>
    <w:rsid w:val="2FFEAE68"/>
    <w:rsid w:val="2FFF38B2"/>
    <w:rsid w:val="2FFFFD3B"/>
    <w:rsid w:val="31774F73"/>
    <w:rsid w:val="326A9861"/>
    <w:rsid w:val="32C82C67"/>
    <w:rsid w:val="32DD48EE"/>
    <w:rsid w:val="32DF5FEE"/>
    <w:rsid w:val="333D6223"/>
    <w:rsid w:val="337F9985"/>
    <w:rsid w:val="339B29B5"/>
    <w:rsid w:val="33A1780B"/>
    <w:rsid w:val="33D7DF31"/>
    <w:rsid w:val="33DF60F7"/>
    <w:rsid w:val="33F57EDA"/>
    <w:rsid w:val="33FEE5C6"/>
    <w:rsid w:val="33FF0C47"/>
    <w:rsid w:val="33FF7004"/>
    <w:rsid w:val="34979F28"/>
    <w:rsid w:val="356D7EBB"/>
    <w:rsid w:val="35FD370C"/>
    <w:rsid w:val="35FF32AD"/>
    <w:rsid w:val="3625C9C7"/>
    <w:rsid w:val="36DD1B31"/>
    <w:rsid w:val="36E71FC6"/>
    <w:rsid w:val="36FAA28E"/>
    <w:rsid w:val="36FAAC8C"/>
    <w:rsid w:val="36FD62CB"/>
    <w:rsid w:val="3729A6D2"/>
    <w:rsid w:val="373F842E"/>
    <w:rsid w:val="3749908D"/>
    <w:rsid w:val="376F1F80"/>
    <w:rsid w:val="377A436E"/>
    <w:rsid w:val="377DD044"/>
    <w:rsid w:val="37B5BE0C"/>
    <w:rsid w:val="37CFE1E7"/>
    <w:rsid w:val="37D32AE9"/>
    <w:rsid w:val="37DDBD7C"/>
    <w:rsid w:val="37DF0E32"/>
    <w:rsid w:val="37EE7F5E"/>
    <w:rsid w:val="37EF7C89"/>
    <w:rsid w:val="37F15855"/>
    <w:rsid w:val="37F5DFF0"/>
    <w:rsid w:val="37F6DB5E"/>
    <w:rsid w:val="37F90052"/>
    <w:rsid w:val="37FB4846"/>
    <w:rsid w:val="37FBB579"/>
    <w:rsid w:val="37FE8436"/>
    <w:rsid w:val="37FFBC96"/>
    <w:rsid w:val="387EB80C"/>
    <w:rsid w:val="38BFF05C"/>
    <w:rsid w:val="38ED71FF"/>
    <w:rsid w:val="38FD8B28"/>
    <w:rsid w:val="38FD9CD0"/>
    <w:rsid w:val="39599940"/>
    <w:rsid w:val="39793E25"/>
    <w:rsid w:val="397C1970"/>
    <w:rsid w:val="39BF9E7D"/>
    <w:rsid w:val="39DFDC60"/>
    <w:rsid w:val="39F06188"/>
    <w:rsid w:val="39FAA8B1"/>
    <w:rsid w:val="39FE87FE"/>
    <w:rsid w:val="3A3E30E5"/>
    <w:rsid w:val="3AAFE401"/>
    <w:rsid w:val="3AB51E0A"/>
    <w:rsid w:val="3ABD0261"/>
    <w:rsid w:val="3AD59A74"/>
    <w:rsid w:val="3AD90962"/>
    <w:rsid w:val="3AE78345"/>
    <w:rsid w:val="3AEBC369"/>
    <w:rsid w:val="3AEF5A95"/>
    <w:rsid w:val="3AFB6D37"/>
    <w:rsid w:val="3B5A07C9"/>
    <w:rsid w:val="3B5E9A3D"/>
    <w:rsid w:val="3B5F5B9B"/>
    <w:rsid w:val="3B6364DA"/>
    <w:rsid w:val="3B950255"/>
    <w:rsid w:val="3BAAB0B8"/>
    <w:rsid w:val="3BBBBBB7"/>
    <w:rsid w:val="3BBC56CF"/>
    <w:rsid w:val="3BBCAA3F"/>
    <w:rsid w:val="3BBD3DD7"/>
    <w:rsid w:val="3BC83D5B"/>
    <w:rsid w:val="3BCF7D96"/>
    <w:rsid w:val="3BD2E74C"/>
    <w:rsid w:val="3BD70A7B"/>
    <w:rsid w:val="3BDF5124"/>
    <w:rsid w:val="3BDF6DFD"/>
    <w:rsid w:val="3BDFAE9A"/>
    <w:rsid w:val="3BE93401"/>
    <w:rsid w:val="3BEF3C2F"/>
    <w:rsid w:val="3BF7812B"/>
    <w:rsid w:val="3BF79496"/>
    <w:rsid w:val="3BF85E68"/>
    <w:rsid w:val="3BF96107"/>
    <w:rsid w:val="3BFCDA68"/>
    <w:rsid w:val="3BFDF1DE"/>
    <w:rsid w:val="3BFEBC01"/>
    <w:rsid w:val="3BFF6D4E"/>
    <w:rsid w:val="3C3FD23B"/>
    <w:rsid w:val="3C679A74"/>
    <w:rsid w:val="3C73EF66"/>
    <w:rsid w:val="3CBD3B9E"/>
    <w:rsid w:val="3CBDD602"/>
    <w:rsid w:val="3CCE5D48"/>
    <w:rsid w:val="3CE5668B"/>
    <w:rsid w:val="3D6C6809"/>
    <w:rsid w:val="3D6F97E1"/>
    <w:rsid w:val="3D714DE6"/>
    <w:rsid w:val="3D76EFCF"/>
    <w:rsid w:val="3D8B20C7"/>
    <w:rsid w:val="3D9CD68A"/>
    <w:rsid w:val="3DA51C0F"/>
    <w:rsid w:val="3DB7D722"/>
    <w:rsid w:val="3DCF0679"/>
    <w:rsid w:val="3DDC5071"/>
    <w:rsid w:val="3DDFC8A6"/>
    <w:rsid w:val="3DEF3E02"/>
    <w:rsid w:val="3DF39836"/>
    <w:rsid w:val="3DF7A907"/>
    <w:rsid w:val="3DF7C757"/>
    <w:rsid w:val="3DFBD40B"/>
    <w:rsid w:val="3DFEB275"/>
    <w:rsid w:val="3DFF1C6C"/>
    <w:rsid w:val="3DFF320A"/>
    <w:rsid w:val="3DFF842F"/>
    <w:rsid w:val="3DFF906A"/>
    <w:rsid w:val="3DFF9265"/>
    <w:rsid w:val="3DFFC6F5"/>
    <w:rsid w:val="3E39CDDC"/>
    <w:rsid w:val="3E72DCD5"/>
    <w:rsid w:val="3E7F8524"/>
    <w:rsid w:val="3E7FFDF2"/>
    <w:rsid w:val="3E8F62BC"/>
    <w:rsid w:val="3E9FD91D"/>
    <w:rsid w:val="3EA92C72"/>
    <w:rsid w:val="3EAFB311"/>
    <w:rsid w:val="3EDB9DF8"/>
    <w:rsid w:val="3EEB091C"/>
    <w:rsid w:val="3EEFC854"/>
    <w:rsid w:val="3EFD52C1"/>
    <w:rsid w:val="3EFF1668"/>
    <w:rsid w:val="3EFF3045"/>
    <w:rsid w:val="3EFF8FCE"/>
    <w:rsid w:val="3EFFAD1C"/>
    <w:rsid w:val="3EFFD595"/>
    <w:rsid w:val="3F2F90B0"/>
    <w:rsid w:val="3F313B16"/>
    <w:rsid w:val="3F3D89BE"/>
    <w:rsid w:val="3F3E0957"/>
    <w:rsid w:val="3F4D471A"/>
    <w:rsid w:val="3F57DE20"/>
    <w:rsid w:val="3F5F16CA"/>
    <w:rsid w:val="3F611987"/>
    <w:rsid w:val="3F63EAC5"/>
    <w:rsid w:val="3F6A9653"/>
    <w:rsid w:val="3F6F1446"/>
    <w:rsid w:val="3F746EFB"/>
    <w:rsid w:val="3F7A8097"/>
    <w:rsid w:val="3F7BE574"/>
    <w:rsid w:val="3F7CD38E"/>
    <w:rsid w:val="3F7D5570"/>
    <w:rsid w:val="3F7F0760"/>
    <w:rsid w:val="3F7F17B4"/>
    <w:rsid w:val="3F7F49AD"/>
    <w:rsid w:val="3F7FB2A0"/>
    <w:rsid w:val="3F8D8A27"/>
    <w:rsid w:val="3F91CC08"/>
    <w:rsid w:val="3F99D58D"/>
    <w:rsid w:val="3F9E20F3"/>
    <w:rsid w:val="3FACA718"/>
    <w:rsid w:val="3FACB02C"/>
    <w:rsid w:val="3FAD175A"/>
    <w:rsid w:val="3FB6B05B"/>
    <w:rsid w:val="3FBF2F7A"/>
    <w:rsid w:val="3FBFE78E"/>
    <w:rsid w:val="3FC211D6"/>
    <w:rsid w:val="3FC595B3"/>
    <w:rsid w:val="3FC7C244"/>
    <w:rsid w:val="3FCAF3B5"/>
    <w:rsid w:val="3FCFC00F"/>
    <w:rsid w:val="3FD8308C"/>
    <w:rsid w:val="3FD90DE9"/>
    <w:rsid w:val="3FDB0F3C"/>
    <w:rsid w:val="3FDCA234"/>
    <w:rsid w:val="3FDD9AAA"/>
    <w:rsid w:val="3FDE61D2"/>
    <w:rsid w:val="3FDF15E4"/>
    <w:rsid w:val="3FDF4CDC"/>
    <w:rsid w:val="3FDF9B9C"/>
    <w:rsid w:val="3FDF9E2B"/>
    <w:rsid w:val="3FDFC961"/>
    <w:rsid w:val="3FDFCADB"/>
    <w:rsid w:val="3FDFDC87"/>
    <w:rsid w:val="3FEB3D82"/>
    <w:rsid w:val="3FEB48D7"/>
    <w:rsid w:val="3FED3B9E"/>
    <w:rsid w:val="3FED99EB"/>
    <w:rsid w:val="3FEDB643"/>
    <w:rsid w:val="3FEE1525"/>
    <w:rsid w:val="3FEE2E00"/>
    <w:rsid w:val="3FEF02FD"/>
    <w:rsid w:val="3FEF60BD"/>
    <w:rsid w:val="3FF36D69"/>
    <w:rsid w:val="3FF3C0CE"/>
    <w:rsid w:val="3FF75DB5"/>
    <w:rsid w:val="3FF770EE"/>
    <w:rsid w:val="3FF78505"/>
    <w:rsid w:val="3FF7DC97"/>
    <w:rsid w:val="3FFB200D"/>
    <w:rsid w:val="3FFB3D5B"/>
    <w:rsid w:val="3FFC2BA0"/>
    <w:rsid w:val="3FFED96B"/>
    <w:rsid w:val="3FFF390F"/>
    <w:rsid w:val="3FFFB6DB"/>
    <w:rsid w:val="3FFFEDD1"/>
    <w:rsid w:val="3FFFF6F4"/>
    <w:rsid w:val="42FBFAB4"/>
    <w:rsid w:val="4335B52F"/>
    <w:rsid w:val="437EB2EA"/>
    <w:rsid w:val="43BFC9FE"/>
    <w:rsid w:val="43FF29B0"/>
    <w:rsid w:val="443F6464"/>
    <w:rsid w:val="457DD5B8"/>
    <w:rsid w:val="45B76A85"/>
    <w:rsid w:val="474599F2"/>
    <w:rsid w:val="478F00E7"/>
    <w:rsid w:val="47B7B2B0"/>
    <w:rsid w:val="47E880B2"/>
    <w:rsid w:val="47EFE890"/>
    <w:rsid w:val="47F71E7F"/>
    <w:rsid w:val="47FFE77F"/>
    <w:rsid w:val="48FFBF54"/>
    <w:rsid w:val="499EA8EB"/>
    <w:rsid w:val="4AFFA14B"/>
    <w:rsid w:val="4B574010"/>
    <w:rsid w:val="4BBFCC52"/>
    <w:rsid w:val="4BCE0F0D"/>
    <w:rsid w:val="4BDF173F"/>
    <w:rsid w:val="4BEF729F"/>
    <w:rsid w:val="4BFB6D7D"/>
    <w:rsid w:val="4BFF1C0F"/>
    <w:rsid w:val="4BFF43CD"/>
    <w:rsid w:val="4C3D2ED7"/>
    <w:rsid w:val="4CFF43DF"/>
    <w:rsid w:val="4D56A331"/>
    <w:rsid w:val="4D6F6159"/>
    <w:rsid w:val="4D7714F5"/>
    <w:rsid w:val="4DFD82A9"/>
    <w:rsid w:val="4E8ED360"/>
    <w:rsid w:val="4EBB49D9"/>
    <w:rsid w:val="4EBFFD95"/>
    <w:rsid w:val="4EE7BF57"/>
    <w:rsid w:val="4EFB4C0A"/>
    <w:rsid w:val="4EFC03B0"/>
    <w:rsid w:val="4F2E23DC"/>
    <w:rsid w:val="4F2E6E6F"/>
    <w:rsid w:val="4F3289ED"/>
    <w:rsid w:val="4F73F38A"/>
    <w:rsid w:val="4F7795BA"/>
    <w:rsid w:val="4F790468"/>
    <w:rsid w:val="4F7D2D1B"/>
    <w:rsid w:val="4F7F0294"/>
    <w:rsid w:val="4FA7CE88"/>
    <w:rsid w:val="4FBCEBE6"/>
    <w:rsid w:val="4FBF3857"/>
    <w:rsid w:val="4FCD002C"/>
    <w:rsid w:val="4FCFB67F"/>
    <w:rsid w:val="4FDD59B8"/>
    <w:rsid w:val="4FDF0D4D"/>
    <w:rsid w:val="4FE35410"/>
    <w:rsid w:val="4FED1289"/>
    <w:rsid w:val="4FEF2FB8"/>
    <w:rsid w:val="4FF5E918"/>
    <w:rsid w:val="4FFA8F75"/>
    <w:rsid w:val="4FFD86E8"/>
    <w:rsid w:val="4FFE8978"/>
    <w:rsid w:val="4FFF7E42"/>
    <w:rsid w:val="517AB350"/>
    <w:rsid w:val="51FC44F9"/>
    <w:rsid w:val="52DFFC42"/>
    <w:rsid w:val="52EFB736"/>
    <w:rsid w:val="52F705CD"/>
    <w:rsid w:val="53AE2EA5"/>
    <w:rsid w:val="53B58FA3"/>
    <w:rsid w:val="53BCD43E"/>
    <w:rsid w:val="53BDDEAC"/>
    <w:rsid w:val="53DE6E31"/>
    <w:rsid w:val="53EF833D"/>
    <w:rsid w:val="53F44591"/>
    <w:rsid w:val="53F99A15"/>
    <w:rsid w:val="53FE2E18"/>
    <w:rsid w:val="53FFECBF"/>
    <w:rsid w:val="54BF9E32"/>
    <w:rsid w:val="54EFD6A2"/>
    <w:rsid w:val="55355B0A"/>
    <w:rsid w:val="554F75AA"/>
    <w:rsid w:val="556FD682"/>
    <w:rsid w:val="55BB1068"/>
    <w:rsid w:val="55DDE747"/>
    <w:rsid w:val="55EE46D5"/>
    <w:rsid w:val="55F7C28A"/>
    <w:rsid w:val="55FCBBFA"/>
    <w:rsid w:val="569DE0E5"/>
    <w:rsid w:val="56ED5D6B"/>
    <w:rsid w:val="56F3B552"/>
    <w:rsid w:val="56FD4FC2"/>
    <w:rsid w:val="56FF6BFE"/>
    <w:rsid w:val="571C412A"/>
    <w:rsid w:val="572F581E"/>
    <w:rsid w:val="577FB7CD"/>
    <w:rsid w:val="578A5A4C"/>
    <w:rsid w:val="579BD2D3"/>
    <w:rsid w:val="57AB3C1F"/>
    <w:rsid w:val="57BB4020"/>
    <w:rsid w:val="57D577A6"/>
    <w:rsid w:val="57DFC6C6"/>
    <w:rsid w:val="57EDBB43"/>
    <w:rsid w:val="57EFB44C"/>
    <w:rsid w:val="57F5F8CB"/>
    <w:rsid w:val="57F64B11"/>
    <w:rsid w:val="57F9434C"/>
    <w:rsid w:val="57FB953D"/>
    <w:rsid w:val="57FCB477"/>
    <w:rsid w:val="57FCE081"/>
    <w:rsid w:val="57FF6AE9"/>
    <w:rsid w:val="587B3231"/>
    <w:rsid w:val="58DB2FC8"/>
    <w:rsid w:val="58FF9F7B"/>
    <w:rsid w:val="592DB141"/>
    <w:rsid w:val="596DF8F6"/>
    <w:rsid w:val="59ADCE7C"/>
    <w:rsid w:val="59AE26B4"/>
    <w:rsid w:val="59BAFFCD"/>
    <w:rsid w:val="59BF7BA4"/>
    <w:rsid w:val="59C6D7CD"/>
    <w:rsid w:val="59F55A21"/>
    <w:rsid w:val="59FD3BA7"/>
    <w:rsid w:val="59FD9B91"/>
    <w:rsid w:val="5A6C914D"/>
    <w:rsid w:val="5AB39BDF"/>
    <w:rsid w:val="5ABB1D52"/>
    <w:rsid w:val="5ABE3926"/>
    <w:rsid w:val="5AC4411B"/>
    <w:rsid w:val="5AEF8475"/>
    <w:rsid w:val="5AEF87D7"/>
    <w:rsid w:val="5AFBE507"/>
    <w:rsid w:val="5AFC6073"/>
    <w:rsid w:val="5AFF801D"/>
    <w:rsid w:val="5AFFE17D"/>
    <w:rsid w:val="5B577AAE"/>
    <w:rsid w:val="5B7F679C"/>
    <w:rsid w:val="5BBB6762"/>
    <w:rsid w:val="5BBF8839"/>
    <w:rsid w:val="5BCD9CB9"/>
    <w:rsid w:val="5BCF52E0"/>
    <w:rsid w:val="5BDF98B0"/>
    <w:rsid w:val="5BE7E72C"/>
    <w:rsid w:val="5BF7A927"/>
    <w:rsid w:val="5BF97753"/>
    <w:rsid w:val="5BFC4AF8"/>
    <w:rsid w:val="5BFD280B"/>
    <w:rsid w:val="5BFF01BA"/>
    <w:rsid w:val="5C67FA28"/>
    <w:rsid w:val="5C7F6D61"/>
    <w:rsid w:val="5CBD15DF"/>
    <w:rsid w:val="5CCEF936"/>
    <w:rsid w:val="5CED1F8B"/>
    <w:rsid w:val="5CF6BBAD"/>
    <w:rsid w:val="5CFBD983"/>
    <w:rsid w:val="5CFE71C1"/>
    <w:rsid w:val="5D39A983"/>
    <w:rsid w:val="5D5E47F0"/>
    <w:rsid w:val="5D5FF611"/>
    <w:rsid w:val="5D6710AF"/>
    <w:rsid w:val="5D6E9AD2"/>
    <w:rsid w:val="5D7BDF5D"/>
    <w:rsid w:val="5D7CAFA0"/>
    <w:rsid w:val="5D9BB497"/>
    <w:rsid w:val="5D9F3B44"/>
    <w:rsid w:val="5DBD15AE"/>
    <w:rsid w:val="5DDD9C54"/>
    <w:rsid w:val="5DEB456D"/>
    <w:rsid w:val="5DED0560"/>
    <w:rsid w:val="5DEE7AD0"/>
    <w:rsid w:val="5DEEC1A5"/>
    <w:rsid w:val="5DEF6940"/>
    <w:rsid w:val="5DF38732"/>
    <w:rsid w:val="5DF70F25"/>
    <w:rsid w:val="5DFB5BE9"/>
    <w:rsid w:val="5DFBF5D8"/>
    <w:rsid w:val="5DFD3781"/>
    <w:rsid w:val="5DFE4B4B"/>
    <w:rsid w:val="5E2D0D96"/>
    <w:rsid w:val="5E2DD47F"/>
    <w:rsid w:val="5E2F4999"/>
    <w:rsid w:val="5E5B641F"/>
    <w:rsid w:val="5EAFFF9A"/>
    <w:rsid w:val="5EBF5FD7"/>
    <w:rsid w:val="5EBF6341"/>
    <w:rsid w:val="5EBFEB88"/>
    <w:rsid w:val="5EC47401"/>
    <w:rsid w:val="5EDD47F4"/>
    <w:rsid w:val="5EDF16E9"/>
    <w:rsid w:val="5EDF976F"/>
    <w:rsid w:val="5EE79346"/>
    <w:rsid w:val="5EEB0C2F"/>
    <w:rsid w:val="5EEE3CC6"/>
    <w:rsid w:val="5EEF79D0"/>
    <w:rsid w:val="5EF73BBD"/>
    <w:rsid w:val="5EF959CF"/>
    <w:rsid w:val="5EFD58E5"/>
    <w:rsid w:val="5EFF6ABF"/>
    <w:rsid w:val="5F167CEF"/>
    <w:rsid w:val="5F2BDDD7"/>
    <w:rsid w:val="5F3D0900"/>
    <w:rsid w:val="5F3FC28A"/>
    <w:rsid w:val="5F5A4043"/>
    <w:rsid w:val="5F5FDAA4"/>
    <w:rsid w:val="5F6ACE0B"/>
    <w:rsid w:val="5F7726B0"/>
    <w:rsid w:val="5F776E2D"/>
    <w:rsid w:val="5F776FF0"/>
    <w:rsid w:val="5F778CD1"/>
    <w:rsid w:val="5F778F87"/>
    <w:rsid w:val="5F7797FB"/>
    <w:rsid w:val="5F7B6072"/>
    <w:rsid w:val="5F7F2F50"/>
    <w:rsid w:val="5F7F3F2A"/>
    <w:rsid w:val="5F7F5689"/>
    <w:rsid w:val="5F7FD51C"/>
    <w:rsid w:val="5F86B797"/>
    <w:rsid w:val="5F9E5C56"/>
    <w:rsid w:val="5FA76ADE"/>
    <w:rsid w:val="5FAB6FAB"/>
    <w:rsid w:val="5FB7F1A0"/>
    <w:rsid w:val="5FB7F3B5"/>
    <w:rsid w:val="5FBDC23C"/>
    <w:rsid w:val="5FBEA2D1"/>
    <w:rsid w:val="5FBF13F1"/>
    <w:rsid w:val="5FBFCA1C"/>
    <w:rsid w:val="5FBFCB9A"/>
    <w:rsid w:val="5FBFEA9E"/>
    <w:rsid w:val="5FBFEC5B"/>
    <w:rsid w:val="5FC7DB9A"/>
    <w:rsid w:val="5FD79E4E"/>
    <w:rsid w:val="5FDB42DF"/>
    <w:rsid w:val="5FDC4F67"/>
    <w:rsid w:val="5FDEA1AB"/>
    <w:rsid w:val="5FDF514E"/>
    <w:rsid w:val="5FDF52A3"/>
    <w:rsid w:val="5FDF6BEC"/>
    <w:rsid w:val="5FEC935B"/>
    <w:rsid w:val="5FF773EF"/>
    <w:rsid w:val="5FF7ECC8"/>
    <w:rsid w:val="5FF7FC36"/>
    <w:rsid w:val="5FF93235"/>
    <w:rsid w:val="5FFB2FD1"/>
    <w:rsid w:val="5FFB7435"/>
    <w:rsid w:val="5FFBBCC0"/>
    <w:rsid w:val="5FFCD758"/>
    <w:rsid w:val="5FFD6A79"/>
    <w:rsid w:val="5FFD7A05"/>
    <w:rsid w:val="5FFDEEC3"/>
    <w:rsid w:val="5FFE1F97"/>
    <w:rsid w:val="5FFE69F9"/>
    <w:rsid w:val="5FFE7BCF"/>
    <w:rsid w:val="5FFE7CFB"/>
    <w:rsid w:val="5FFF2D1B"/>
    <w:rsid w:val="5FFF3026"/>
    <w:rsid w:val="5FFF4CEC"/>
    <w:rsid w:val="5FFFB03C"/>
    <w:rsid w:val="5FFFB463"/>
    <w:rsid w:val="61370541"/>
    <w:rsid w:val="615FA6EC"/>
    <w:rsid w:val="6176B1AA"/>
    <w:rsid w:val="6199721E"/>
    <w:rsid w:val="6255D7DE"/>
    <w:rsid w:val="627D9AF7"/>
    <w:rsid w:val="629F4119"/>
    <w:rsid w:val="62DD949D"/>
    <w:rsid w:val="636F13DC"/>
    <w:rsid w:val="637F280F"/>
    <w:rsid w:val="63A42056"/>
    <w:rsid w:val="63FC3560"/>
    <w:rsid w:val="63FF1D82"/>
    <w:rsid w:val="63FF75CB"/>
    <w:rsid w:val="64860BF2"/>
    <w:rsid w:val="64BA68B4"/>
    <w:rsid w:val="64EF2E01"/>
    <w:rsid w:val="6533D71B"/>
    <w:rsid w:val="656BD1D9"/>
    <w:rsid w:val="656D0340"/>
    <w:rsid w:val="657DA5B8"/>
    <w:rsid w:val="65A1EADC"/>
    <w:rsid w:val="65BB91DC"/>
    <w:rsid w:val="65DF6360"/>
    <w:rsid w:val="65E75653"/>
    <w:rsid w:val="65E75803"/>
    <w:rsid w:val="65F4A0A7"/>
    <w:rsid w:val="65F73819"/>
    <w:rsid w:val="65FAFFE2"/>
    <w:rsid w:val="65FBBAEE"/>
    <w:rsid w:val="66799B59"/>
    <w:rsid w:val="667F1A99"/>
    <w:rsid w:val="667F3BCC"/>
    <w:rsid w:val="667F900D"/>
    <w:rsid w:val="667FEB88"/>
    <w:rsid w:val="669CA4CC"/>
    <w:rsid w:val="669EDE7B"/>
    <w:rsid w:val="66BB0D03"/>
    <w:rsid w:val="66BF9F41"/>
    <w:rsid w:val="66DBB7F1"/>
    <w:rsid w:val="66EFD9CE"/>
    <w:rsid w:val="675B72D9"/>
    <w:rsid w:val="676E7B6C"/>
    <w:rsid w:val="677BF1BF"/>
    <w:rsid w:val="677E306D"/>
    <w:rsid w:val="677FDC44"/>
    <w:rsid w:val="67A7996B"/>
    <w:rsid w:val="67B711DE"/>
    <w:rsid w:val="67B7199A"/>
    <w:rsid w:val="67BEAC87"/>
    <w:rsid w:val="67BF8659"/>
    <w:rsid w:val="67BFDD81"/>
    <w:rsid w:val="67D040B9"/>
    <w:rsid w:val="67DD7B94"/>
    <w:rsid w:val="67DFE6AF"/>
    <w:rsid w:val="67F3118D"/>
    <w:rsid w:val="67FBB962"/>
    <w:rsid w:val="67FBCE55"/>
    <w:rsid w:val="67FF0EDD"/>
    <w:rsid w:val="67FF554C"/>
    <w:rsid w:val="67FFC7CD"/>
    <w:rsid w:val="67FFD6E4"/>
    <w:rsid w:val="684D488A"/>
    <w:rsid w:val="68BD9255"/>
    <w:rsid w:val="68D51B67"/>
    <w:rsid w:val="68DF0A78"/>
    <w:rsid w:val="68F700F6"/>
    <w:rsid w:val="68FA6EF3"/>
    <w:rsid w:val="68FB00BC"/>
    <w:rsid w:val="68FF337F"/>
    <w:rsid w:val="695788F4"/>
    <w:rsid w:val="697553DD"/>
    <w:rsid w:val="69BB5E77"/>
    <w:rsid w:val="69BFA27A"/>
    <w:rsid w:val="69EDF1A7"/>
    <w:rsid w:val="6A666C78"/>
    <w:rsid w:val="6A774F55"/>
    <w:rsid w:val="6ABFD5F3"/>
    <w:rsid w:val="6ADAAD96"/>
    <w:rsid w:val="6AEBC67D"/>
    <w:rsid w:val="6AF90129"/>
    <w:rsid w:val="6B1F5E22"/>
    <w:rsid w:val="6B2F85CC"/>
    <w:rsid w:val="6B3F0E3F"/>
    <w:rsid w:val="6B3F71F0"/>
    <w:rsid w:val="6B6EDAD7"/>
    <w:rsid w:val="6B7B2C0D"/>
    <w:rsid w:val="6B8F1534"/>
    <w:rsid w:val="6BA7253E"/>
    <w:rsid w:val="6BAD1490"/>
    <w:rsid w:val="6BAF1DB4"/>
    <w:rsid w:val="6BB73BC9"/>
    <w:rsid w:val="6BBF59D3"/>
    <w:rsid w:val="6BCF6349"/>
    <w:rsid w:val="6BD5342C"/>
    <w:rsid w:val="6BDE16B9"/>
    <w:rsid w:val="6BEB7F3C"/>
    <w:rsid w:val="6BED3B44"/>
    <w:rsid w:val="6BEFB963"/>
    <w:rsid w:val="6BF5EEA8"/>
    <w:rsid w:val="6BF7D5AF"/>
    <w:rsid w:val="6BF7DDE7"/>
    <w:rsid w:val="6BFA1BC6"/>
    <w:rsid w:val="6BFAC080"/>
    <w:rsid w:val="6BFE97FD"/>
    <w:rsid w:val="6BFF34D0"/>
    <w:rsid w:val="6BFFFB85"/>
    <w:rsid w:val="6C772487"/>
    <w:rsid w:val="6C7E4808"/>
    <w:rsid w:val="6C9FB842"/>
    <w:rsid w:val="6CAFA7D4"/>
    <w:rsid w:val="6CB3D9E4"/>
    <w:rsid w:val="6CD7F273"/>
    <w:rsid w:val="6CDBD5FD"/>
    <w:rsid w:val="6CEC8A1F"/>
    <w:rsid w:val="6CEE33DA"/>
    <w:rsid w:val="6D36FE50"/>
    <w:rsid w:val="6D6E2C73"/>
    <w:rsid w:val="6D6F341C"/>
    <w:rsid w:val="6D7FE0A8"/>
    <w:rsid w:val="6D9E056C"/>
    <w:rsid w:val="6DABFB57"/>
    <w:rsid w:val="6DB73056"/>
    <w:rsid w:val="6DBF04A6"/>
    <w:rsid w:val="6DBF6126"/>
    <w:rsid w:val="6DC36DF1"/>
    <w:rsid w:val="6DCF091F"/>
    <w:rsid w:val="6DDE3796"/>
    <w:rsid w:val="6DDF3A20"/>
    <w:rsid w:val="6DEBEDED"/>
    <w:rsid w:val="6DFE04B5"/>
    <w:rsid w:val="6DFE1652"/>
    <w:rsid w:val="6DFF1A7D"/>
    <w:rsid w:val="6DFFD413"/>
    <w:rsid w:val="6DFFEDE1"/>
    <w:rsid w:val="6E0A9904"/>
    <w:rsid w:val="6E373CCA"/>
    <w:rsid w:val="6E3B746B"/>
    <w:rsid w:val="6E3FB487"/>
    <w:rsid w:val="6E5B765D"/>
    <w:rsid w:val="6E6B318A"/>
    <w:rsid w:val="6E6F973A"/>
    <w:rsid w:val="6E784AB3"/>
    <w:rsid w:val="6E7F608E"/>
    <w:rsid w:val="6EA7D165"/>
    <w:rsid w:val="6EBFA798"/>
    <w:rsid w:val="6ED988E8"/>
    <w:rsid w:val="6EE7D019"/>
    <w:rsid w:val="6EE982FF"/>
    <w:rsid w:val="6EE9BEB1"/>
    <w:rsid w:val="6EF7984E"/>
    <w:rsid w:val="6EFB84BC"/>
    <w:rsid w:val="6EFD39BF"/>
    <w:rsid w:val="6EFF8F2F"/>
    <w:rsid w:val="6F1F0F06"/>
    <w:rsid w:val="6F1FE594"/>
    <w:rsid w:val="6F2E9556"/>
    <w:rsid w:val="6F4F2E43"/>
    <w:rsid w:val="6F57DD14"/>
    <w:rsid w:val="6F5DF95D"/>
    <w:rsid w:val="6F6B5CF5"/>
    <w:rsid w:val="6F731E74"/>
    <w:rsid w:val="6F759620"/>
    <w:rsid w:val="6F7B1C65"/>
    <w:rsid w:val="6F7BDFD1"/>
    <w:rsid w:val="6F7CA873"/>
    <w:rsid w:val="6F7DA596"/>
    <w:rsid w:val="6F7DFE3C"/>
    <w:rsid w:val="6F7E3E74"/>
    <w:rsid w:val="6F7FAEFF"/>
    <w:rsid w:val="6F958F90"/>
    <w:rsid w:val="6F9BF064"/>
    <w:rsid w:val="6FB75B3A"/>
    <w:rsid w:val="6FB8B242"/>
    <w:rsid w:val="6FBE8802"/>
    <w:rsid w:val="6FBF7E80"/>
    <w:rsid w:val="6FC775D6"/>
    <w:rsid w:val="6FCBEF66"/>
    <w:rsid w:val="6FCD648D"/>
    <w:rsid w:val="6FCDEF5F"/>
    <w:rsid w:val="6FD10053"/>
    <w:rsid w:val="6FD21CA6"/>
    <w:rsid w:val="6FDC3A62"/>
    <w:rsid w:val="6FDF4E3F"/>
    <w:rsid w:val="6FDF660A"/>
    <w:rsid w:val="6FDF7D13"/>
    <w:rsid w:val="6FDFEEEA"/>
    <w:rsid w:val="6FE6C251"/>
    <w:rsid w:val="6FEB20FF"/>
    <w:rsid w:val="6FEDC65E"/>
    <w:rsid w:val="6FEEEC14"/>
    <w:rsid w:val="6FEF2344"/>
    <w:rsid w:val="6FEF53B2"/>
    <w:rsid w:val="6FF344CB"/>
    <w:rsid w:val="6FF40871"/>
    <w:rsid w:val="6FF4EA6C"/>
    <w:rsid w:val="6FF65E4C"/>
    <w:rsid w:val="6FF93807"/>
    <w:rsid w:val="6FFAE0AC"/>
    <w:rsid w:val="6FFB0957"/>
    <w:rsid w:val="6FFB3E84"/>
    <w:rsid w:val="6FFB9915"/>
    <w:rsid w:val="6FFBEB46"/>
    <w:rsid w:val="6FFC7C18"/>
    <w:rsid w:val="6FFCE783"/>
    <w:rsid w:val="6FFE0C47"/>
    <w:rsid w:val="6FFE3AF4"/>
    <w:rsid w:val="6FFEB3C0"/>
    <w:rsid w:val="6FFEEB8C"/>
    <w:rsid w:val="6FFF50D6"/>
    <w:rsid w:val="6FFF659A"/>
    <w:rsid w:val="6FFFBC9B"/>
    <w:rsid w:val="6FFFC35D"/>
    <w:rsid w:val="6FFFD08B"/>
    <w:rsid w:val="6FFFFAFE"/>
    <w:rsid w:val="707B0B89"/>
    <w:rsid w:val="70C7C51B"/>
    <w:rsid w:val="713D3F3E"/>
    <w:rsid w:val="717FD47B"/>
    <w:rsid w:val="71F6E018"/>
    <w:rsid w:val="71FB0337"/>
    <w:rsid w:val="722B6FA3"/>
    <w:rsid w:val="725B695B"/>
    <w:rsid w:val="72761237"/>
    <w:rsid w:val="72AF7B2D"/>
    <w:rsid w:val="72B713BB"/>
    <w:rsid w:val="72B799CC"/>
    <w:rsid w:val="72E07929"/>
    <w:rsid w:val="72FA7394"/>
    <w:rsid w:val="731EEC20"/>
    <w:rsid w:val="733FE5B7"/>
    <w:rsid w:val="735F973D"/>
    <w:rsid w:val="7363C258"/>
    <w:rsid w:val="737C767D"/>
    <w:rsid w:val="737F664C"/>
    <w:rsid w:val="73B6E9B4"/>
    <w:rsid w:val="73BE2158"/>
    <w:rsid w:val="73BF0381"/>
    <w:rsid w:val="73C6D4CE"/>
    <w:rsid w:val="73D5EBED"/>
    <w:rsid w:val="73D8BCE1"/>
    <w:rsid w:val="73DFFA01"/>
    <w:rsid w:val="73EB456E"/>
    <w:rsid w:val="73EB8752"/>
    <w:rsid w:val="73EBDE6D"/>
    <w:rsid w:val="73F300CB"/>
    <w:rsid w:val="73F42BD2"/>
    <w:rsid w:val="73F7119C"/>
    <w:rsid w:val="73F7A283"/>
    <w:rsid w:val="73FA7638"/>
    <w:rsid w:val="73FADFED"/>
    <w:rsid w:val="73FD7C11"/>
    <w:rsid w:val="73FF1398"/>
    <w:rsid w:val="73FF7063"/>
    <w:rsid w:val="73FF8627"/>
    <w:rsid w:val="73FFDA0A"/>
    <w:rsid w:val="73FFE61C"/>
    <w:rsid w:val="746BA0DD"/>
    <w:rsid w:val="747F12FB"/>
    <w:rsid w:val="747FD6C1"/>
    <w:rsid w:val="74B7242A"/>
    <w:rsid w:val="74FC01CD"/>
    <w:rsid w:val="74FF8DDF"/>
    <w:rsid w:val="755B7081"/>
    <w:rsid w:val="755F6B44"/>
    <w:rsid w:val="755F7D4D"/>
    <w:rsid w:val="757B51C5"/>
    <w:rsid w:val="757DCAFF"/>
    <w:rsid w:val="757FCACB"/>
    <w:rsid w:val="75892510"/>
    <w:rsid w:val="759FB682"/>
    <w:rsid w:val="759FCB8F"/>
    <w:rsid w:val="75B622F6"/>
    <w:rsid w:val="75B966B9"/>
    <w:rsid w:val="75B9AB41"/>
    <w:rsid w:val="75BCD856"/>
    <w:rsid w:val="75CE8D8A"/>
    <w:rsid w:val="75D5059F"/>
    <w:rsid w:val="75D99F7E"/>
    <w:rsid w:val="75DBFB72"/>
    <w:rsid w:val="75DF4BC7"/>
    <w:rsid w:val="75DFC984"/>
    <w:rsid w:val="75E38D2B"/>
    <w:rsid w:val="75EB4490"/>
    <w:rsid w:val="75EB7D74"/>
    <w:rsid w:val="75F35D7F"/>
    <w:rsid w:val="75F66364"/>
    <w:rsid w:val="75FA1AAD"/>
    <w:rsid w:val="75FBFC25"/>
    <w:rsid w:val="75FD9053"/>
    <w:rsid w:val="75FF2D60"/>
    <w:rsid w:val="75FF32E1"/>
    <w:rsid w:val="75FF573D"/>
    <w:rsid w:val="75FFB2C0"/>
    <w:rsid w:val="760245DF"/>
    <w:rsid w:val="761B0255"/>
    <w:rsid w:val="762272ED"/>
    <w:rsid w:val="76548BFB"/>
    <w:rsid w:val="7659D22A"/>
    <w:rsid w:val="765FC10D"/>
    <w:rsid w:val="766F3ED5"/>
    <w:rsid w:val="767CD72B"/>
    <w:rsid w:val="767F29B1"/>
    <w:rsid w:val="7698975F"/>
    <w:rsid w:val="76A3A913"/>
    <w:rsid w:val="76A7F04C"/>
    <w:rsid w:val="76ABCD11"/>
    <w:rsid w:val="76AD9A03"/>
    <w:rsid w:val="76AE200A"/>
    <w:rsid w:val="76B40A45"/>
    <w:rsid w:val="76B7CA2B"/>
    <w:rsid w:val="76BF039C"/>
    <w:rsid w:val="76BF0DCC"/>
    <w:rsid w:val="76DD7202"/>
    <w:rsid w:val="76DE68C5"/>
    <w:rsid w:val="76DE80E5"/>
    <w:rsid w:val="76DF31F2"/>
    <w:rsid w:val="76DF8235"/>
    <w:rsid w:val="76E94852"/>
    <w:rsid w:val="76EDB598"/>
    <w:rsid w:val="76EE82CF"/>
    <w:rsid w:val="76EF7BC6"/>
    <w:rsid w:val="76EF7CE3"/>
    <w:rsid w:val="76F5BDC6"/>
    <w:rsid w:val="76F69B6E"/>
    <w:rsid w:val="76F7DC77"/>
    <w:rsid w:val="76FAC1FA"/>
    <w:rsid w:val="76FB58E2"/>
    <w:rsid w:val="76FF623F"/>
    <w:rsid w:val="76FFA304"/>
    <w:rsid w:val="77075592"/>
    <w:rsid w:val="772F3EB3"/>
    <w:rsid w:val="772FFD7A"/>
    <w:rsid w:val="773FD625"/>
    <w:rsid w:val="7743D126"/>
    <w:rsid w:val="77572B20"/>
    <w:rsid w:val="775B1D63"/>
    <w:rsid w:val="775F58F1"/>
    <w:rsid w:val="7773362B"/>
    <w:rsid w:val="77742C96"/>
    <w:rsid w:val="7777BCF1"/>
    <w:rsid w:val="77783D8B"/>
    <w:rsid w:val="777C37C8"/>
    <w:rsid w:val="777E49D0"/>
    <w:rsid w:val="777F16DA"/>
    <w:rsid w:val="777F4C50"/>
    <w:rsid w:val="777F9EEE"/>
    <w:rsid w:val="778F0AE1"/>
    <w:rsid w:val="7797A785"/>
    <w:rsid w:val="779B1C04"/>
    <w:rsid w:val="77AE39D3"/>
    <w:rsid w:val="77AF8F60"/>
    <w:rsid w:val="77BD6C0F"/>
    <w:rsid w:val="77BE8B60"/>
    <w:rsid w:val="77BF640A"/>
    <w:rsid w:val="77BFDD4D"/>
    <w:rsid w:val="77C919DA"/>
    <w:rsid w:val="77D605DF"/>
    <w:rsid w:val="77DA4E21"/>
    <w:rsid w:val="77DAABCE"/>
    <w:rsid w:val="77DAF369"/>
    <w:rsid w:val="77DB0DA2"/>
    <w:rsid w:val="77DCA1FD"/>
    <w:rsid w:val="77DE0C5B"/>
    <w:rsid w:val="77DEE580"/>
    <w:rsid w:val="77DEF9A0"/>
    <w:rsid w:val="77DF67ED"/>
    <w:rsid w:val="77E53932"/>
    <w:rsid w:val="77E735B8"/>
    <w:rsid w:val="77E752BD"/>
    <w:rsid w:val="77EB2018"/>
    <w:rsid w:val="77EB4012"/>
    <w:rsid w:val="77EDCE88"/>
    <w:rsid w:val="77EDE429"/>
    <w:rsid w:val="77EE48C4"/>
    <w:rsid w:val="77EFBD1B"/>
    <w:rsid w:val="77F24640"/>
    <w:rsid w:val="77F4AEC6"/>
    <w:rsid w:val="77F76211"/>
    <w:rsid w:val="77F7BCF1"/>
    <w:rsid w:val="77F7FEBC"/>
    <w:rsid w:val="77F9C7C0"/>
    <w:rsid w:val="77FD8C32"/>
    <w:rsid w:val="77FE922E"/>
    <w:rsid w:val="77FEDA87"/>
    <w:rsid w:val="77FEE763"/>
    <w:rsid w:val="77FF007E"/>
    <w:rsid w:val="77FF0C05"/>
    <w:rsid w:val="77FF299E"/>
    <w:rsid w:val="77FF2CA8"/>
    <w:rsid w:val="77FF90FE"/>
    <w:rsid w:val="77FFA073"/>
    <w:rsid w:val="77FFAB29"/>
    <w:rsid w:val="77FFDC4C"/>
    <w:rsid w:val="783FA6EE"/>
    <w:rsid w:val="78A3AFFD"/>
    <w:rsid w:val="78BE66CC"/>
    <w:rsid w:val="78D334A2"/>
    <w:rsid w:val="78D7CF70"/>
    <w:rsid w:val="78EBA900"/>
    <w:rsid w:val="78EE3BC5"/>
    <w:rsid w:val="78F7D99B"/>
    <w:rsid w:val="78FDC933"/>
    <w:rsid w:val="78FE3972"/>
    <w:rsid w:val="78FF2EFA"/>
    <w:rsid w:val="795F2435"/>
    <w:rsid w:val="795FEDE4"/>
    <w:rsid w:val="797A2F22"/>
    <w:rsid w:val="797F389F"/>
    <w:rsid w:val="797F94C9"/>
    <w:rsid w:val="798BEC09"/>
    <w:rsid w:val="7999CA58"/>
    <w:rsid w:val="79AF6FF5"/>
    <w:rsid w:val="79B554C1"/>
    <w:rsid w:val="79D22DA2"/>
    <w:rsid w:val="79D676DB"/>
    <w:rsid w:val="79DAC33B"/>
    <w:rsid w:val="79DBF5DF"/>
    <w:rsid w:val="79DCCFE2"/>
    <w:rsid w:val="79DEA2A6"/>
    <w:rsid w:val="79DF003A"/>
    <w:rsid w:val="79DF4BE2"/>
    <w:rsid w:val="79E329F3"/>
    <w:rsid w:val="79E55861"/>
    <w:rsid w:val="79EE297F"/>
    <w:rsid w:val="79EF0602"/>
    <w:rsid w:val="79F71457"/>
    <w:rsid w:val="79FAA623"/>
    <w:rsid w:val="79FB4780"/>
    <w:rsid w:val="79FE5CED"/>
    <w:rsid w:val="79FF1EE5"/>
    <w:rsid w:val="79FFBD74"/>
    <w:rsid w:val="79FFC651"/>
    <w:rsid w:val="7A77EA5C"/>
    <w:rsid w:val="7A7BD364"/>
    <w:rsid w:val="7A7E68C0"/>
    <w:rsid w:val="7AAF6CD2"/>
    <w:rsid w:val="7AB769D8"/>
    <w:rsid w:val="7ABFB168"/>
    <w:rsid w:val="7ACD6925"/>
    <w:rsid w:val="7ACDD141"/>
    <w:rsid w:val="7ACEB05F"/>
    <w:rsid w:val="7ACF23E6"/>
    <w:rsid w:val="7AD4848C"/>
    <w:rsid w:val="7ADB3DAD"/>
    <w:rsid w:val="7ADEA436"/>
    <w:rsid w:val="7ADF1E29"/>
    <w:rsid w:val="7ADF83D9"/>
    <w:rsid w:val="7AE7A5B2"/>
    <w:rsid w:val="7AEB7DAA"/>
    <w:rsid w:val="7AEFC9D3"/>
    <w:rsid w:val="7AF467C0"/>
    <w:rsid w:val="7AF793EA"/>
    <w:rsid w:val="7AF7B2CF"/>
    <w:rsid w:val="7AFA2536"/>
    <w:rsid w:val="7AFB249B"/>
    <w:rsid w:val="7AFD3D54"/>
    <w:rsid w:val="7AFE4330"/>
    <w:rsid w:val="7AFF5D48"/>
    <w:rsid w:val="7AFFDE4F"/>
    <w:rsid w:val="7B1E86AA"/>
    <w:rsid w:val="7B1EBB05"/>
    <w:rsid w:val="7B1F32A3"/>
    <w:rsid w:val="7B275854"/>
    <w:rsid w:val="7B2BF636"/>
    <w:rsid w:val="7B378FE1"/>
    <w:rsid w:val="7B3E5CDE"/>
    <w:rsid w:val="7B3FAF0B"/>
    <w:rsid w:val="7B446360"/>
    <w:rsid w:val="7B5FB0A2"/>
    <w:rsid w:val="7B5FC6DB"/>
    <w:rsid w:val="7B6DD947"/>
    <w:rsid w:val="7B6F5C7D"/>
    <w:rsid w:val="7B750FB1"/>
    <w:rsid w:val="7B7744C3"/>
    <w:rsid w:val="7B7A45BD"/>
    <w:rsid w:val="7B7B37D7"/>
    <w:rsid w:val="7B7C6697"/>
    <w:rsid w:val="7B7F55A6"/>
    <w:rsid w:val="7B7F6AAC"/>
    <w:rsid w:val="7B7FE135"/>
    <w:rsid w:val="7B8872AC"/>
    <w:rsid w:val="7B8E7DD2"/>
    <w:rsid w:val="7B9EC0B7"/>
    <w:rsid w:val="7B9FACFD"/>
    <w:rsid w:val="7B9FF84C"/>
    <w:rsid w:val="7BABFAE7"/>
    <w:rsid w:val="7BADF811"/>
    <w:rsid w:val="7BAFDD52"/>
    <w:rsid w:val="7BB72620"/>
    <w:rsid w:val="7BB7E6EB"/>
    <w:rsid w:val="7BC7C63F"/>
    <w:rsid w:val="7BD9893D"/>
    <w:rsid w:val="7BDB1A5B"/>
    <w:rsid w:val="7BDD5EBD"/>
    <w:rsid w:val="7BDF10DD"/>
    <w:rsid w:val="7BDF128F"/>
    <w:rsid w:val="7BDF3769"/>
    <w:rsid w:val="7BDF3A98"/>
    <w:rsid w:val="7BDF5C5A"/>
    <w:rsid w:val="7BDF86A2"/>
    <w:rsid w:val="7BDFD592"/>
    <w:rsid w:val="7BE32445"/>
    <w:rsid w:val="7BE7D416"/>
    <w:rsid w:val="7BEBFB97"/>
    <w:rsid w:val="7BED1CEC"/>
    <w:rsid w:val="7BEE2618"/>
    <w:rsid w:val="7BEF41C6"/>
    <w:rsid w:val="7BEF5985"/>
    <w:rsid w:val="7BEF9954"/>
    <w:rsid w:val="7BF56F8A"/>
    <w:rsid w:val="7BF72B0B"/>
    <w:rsid w:val="7BF7315D"/>
    <w:rsid w:val="7BF75F79"/>
    <w:rsid w:val="7BF77663"/>
    <w:rsid w:val="7BF7E450"/>
    <w:rsid w:val="7BF91CC1"/>
    <w:rsid w:val="7BF95226"/>
    <w:rsid w:val="7BFB03DA"/>
    <w:rsid w:val="7BFB3216"/>
    <w:rsid w:val="7BFBC412"/>
    <w:rsid w:val="7BFD2876"/>
    <w:rsid w:val="7BFDCCF3"/>
    <w:rsid w:val="7BFDFA08"/>
    <w:rsid w:val="7BFED97E"/>
    <w:rsid w:val="7BFF1C65"/>
    <w:rsid w:val="7BFF2703"/>
    <w:rsid w:val="7BFF2DCA"/>
    <w:rsid w:val="7BFF2EB0"/>
    <w:rsid w:val="7BFF6BC5"/>
    <w:rsid w:val="7BFF924D"/>
    <w:rsid w:val="7BFFD83C"/>
    <w:rsid w:val="7BFFE739"/>
    <w:rsid w:val="7C0D33A0"/>
    <w:rsid w:val="7C3E9B72"/>
    <w:rsid w:val="7C4CBC89"/>
    <w:rsid w:val="7C57CA1C"/>
    <w:rsid w:val="7C646209"/>
    <w:rsid w:val="7C75CA8E"/>
    <w:rsid w:val="7C7A82FB"/>
    <w:rsid w:val="7C919D17"/>
    <w:rsid w:val="7CA50AAA"/>
    <w:rsid w:val="7CB4BDE1"/>
    <w:rsid w:val="7CB6F3E0"/>
    <w:rsid w:val="7CC7E77E"/>
    <w:rsid w:val="7CCA3437"/>
    <w:rsid w:val="7CCF85FB"/>
    <w:rsid w:val="7CDDA498"/>
    <w:rsid w:val="7CDECB7C"/>
    <w:rsid w:val="7CDFFA28"/>
    <w:rsid w:val="7CED493F"/>
    <w:rsid w:val="7CEF2E98"/>
    <w:rsid w:val="7CEF91D4"/>
    <w:rsid w:val="7CEF9C81"/>
    <w:rsid w:val="7CF7928C"/>
    <w:rsid w:val="7CF91B72"/>
    <w:rsid w:val="7CFAA8D9"/>
    <w:rsid w:val="7CFD21BE"/>
    <w:rsid w:val="7CFDE05B"/>
    <w:rsid w:val="7CFEABE1"/>
    <w:rsid w:val="7CFF4790"/>
    <w:rsid w:val="7CFFB46B"/>
    <w:rsid w:val="7D3E583D"/>
    <w:rsid w:val="7D57E2AB"/>
    <w:rsid w:val="7D5D7DF1"/>
    <w:rsid w:val="7D5DD509"/>
    <w:rsid w:val="7D5E6713"/>
    <w:rsid w:val="7D6F5864"/>
    <w:rsid w:val="7D6FE386"/>
    <w:rsid w:val="7D70C8EA"/>
    <w:rsid w:val="7D770DF9"/>
    <w:rsid w:val="7D7B015B"/>
    <w:rsid w:val="7D7B6C6D"/>
    <w:rsid w:val="7D7DD08B"/>
    <w:rsid w:val="7D7F1D2B"/>
    <w:rsid w:val="7D7FBAA4"/>
    <w:rsid w:val="7D7FCA6F"/>
    <w:rsid w:val="7D7FE9AF"/>
    <w:rsid w:val="7D972E3E"/>
    <w:rsid w:val="7D9F2117"/>
    <w:rsid w:val="7D9FC573"/>
    <w:rsid w:val="7DAAED9F"/>
    <w:rsid w:val="7DAB7343"/>
    <w:rsid w:val="7DAF0F5B"/>
    <w:rsid w:val="7DAF537E"/>
    <w:rsid w:val="7DB32ADE"/>
    <w:rsid w:val="7DB7D4EE"/>
    <w:rsid w:val="7DBF367C"/>
    <w:rsid w:val="7DBF56A8"/>
    <w:rsid w:val="7DBFC024"/>
    <w:rsid w:val="7DC9C6E6"/>
    <w:rsid w:val="7DD7EB81"/>
    <w:rsid w:val="7DDEB9FC"/>
    <w:rsid w:val="7DDF98A4"/>
    <w:rsid w:val="7DEBC09F"/>
    <w:rsid w:val="7DEF08CB"/>
    <w:rsid w:val="7DEF72BD"/>
    <w:rsid w:val="7DEF7CE6"/>
    <w:rsid w:val="7DEFECB1"/>
    <w:rsid w:val="7DF12DB6"/>
    <w:rsid w:val="7DF2D993"/>
    <w:rsid w:val="7DF31EB6"/>
    <w:rsid w:val="7DF3BDA4"/>
    <w:rsid w:val="7DF69C86"/>
    <w:rsid w:val="7DF723F3"/>
    <w:rsid w:val="7DFA4AF2"/>
    <w:rsid w:val="7DFAD83E"/>
    <w:rsid w:val="7DFAF7F9"/>
    <w:rsid w:val="7DFB16BB"/>
    <w:rsid w:val="7DFB218B"/>
    <w:rsid w:val="7DFC03EC"/>
    <w:rsid w:val="7DFD49C9"/>
    <w:rsid w:val="7DFDF6DC"/>
    <w:rsid w:val="7DFE65BB"/>
    <w:rsid w:val="7DFE7598"/>
    <w:rsid w:val="7DFEC013"/>
    <w:rsid w:val="7DFF00FB"/>
    <w:rsid w:val="7DFF15EF"/>
    <w:rsid w:val="7DFF2916"/>
    <w:rsid w:val="7DFF2929"/>
    <w:rsid w:val="7DFF60FF"/>
    <w:rsid w:val="7DFF9AA2"/>
    <w:rsid w:val="7DFFBC05"/>
    <w:rsid w:val="7E1FE06C"/>
    <w:rsid w:val="7E2C1B25"/>
    <w:rsid w:val="7E333104"/>
    <w:rsid w:val="7E37F961"/>
    <w:rsid w:val="7E3E0B6E"/>
    <w:rsid w:val="7E3E8F51"/>
    <w:rsid w:val="7E567177"/>
    <w:rsid w:val="7E5F0069"/>
    <w:rsid w:val="7E5F8355"/>
    <w:rsid w:val="7E5FBD46"/>
    <w:rsid w:val="7E6F1BC0"/>
    <w:rsid w:val="7E76F9CD"/>
    <w:rsid w:val="7E778F2E"/>
    <w:rsid w:val="7E7BB028"/>
    <w:rsid w:val="7E7C910A"/>
    <w:rsid w:val="7E7EA806"/>
    <w:rsid w:val="7E7F1E0F"/>
    <w:rsid w:val="7E7F52DE"/>
    <w:rsid w:val="7E7F77FB"/>
    <w:rsid w:val="7E7FD011"/>
    <w:rsid w:val="7E8BE701"/>
    <w:rsid w:val="7E8E8D30"/>
    <w:rsid w:val="7E97F961"/>
    <w:rsid w:val="7E98DE11"/>
    <w:rsid w:val="7E9A499F"/>
    <w:rsid w:val="7E9CEE97"/>
    <w:rsid w:val="7E9D1DBB"/>
    <w:rsid w:val="7EA12BDC"/>
    <w:rsid w:val="7EA6731F"/>
    <w:rsid w:val="7EA7E675"/>
    <w:rsid w:val="7EA7FFB0"/>
    <w:rsid w:val="7EA907C1"/>
    <w:rsid w:val="7EADAC2E"/>
    <w:rsid w:val="7EB62F5C"/>
    <w:rsid w:val="7EB86791"/>
    <w:rsid w:val="7EBA5A85"/>
    <w:rsid w:val="7EBB6BF7"/>
    <w:rsid w:val="7EBBAECD"/>
    <w:rsid w:val="7EBBFD9D"/>
    <w:rsid w:val="7EBBFF65"/>
    <w:rsid w:val="7EBDC495"/>
    <w:rsid w:val="7EBDCC43"/>
    <w:rsid w:val="7EBF6611"/>
    <w:rsid w:val="7EDB65FA"/>
    <w:rsid w:val="7EDF0995"/>
    <w:rsid w:val="7EDFE8E8"/>
    <w:rsid w:val="7EDFEC23"/>
    <w:rsid w:val="7EE7A62B"/>
    <w:rsid w:val="7EE82CF8"/>
    <w:rsid w:val="7EE93B94"/>
    <w:rsid w:val="7EEF1757"/>
    <w:rsid w:val="7EF68BC1"/>
    <w:rsid w:val="7EF7BE90"/>
    <w:rsid w:val="7EF9DE75"/>
    <w:rsid w:val="7EFB50C3"/>
    <w:rsid w:val="7EFBF876"/>
    <w:rsid w:val="7EFCF9DA"/>
    <w:rsid w:val="7EFD25FA"/>
    <w:rsid w:val="7EFD7D9B"/>
    <w:rsid w:val="7EFD88B5"/>
    <w:rsid w:val="7EFDAD43"/>
    <w:rsid w:val="7EFF03F6"/>
    <w:rsid w:val="7EFF1EED"/>
    <w:rsid w:val="7EFF5DE9"/>
    <w:rsid w:val="7EFF761C"/>
    <w:rsid w:val="7EFF9C25"/>
    <w:rsid w:val="7EFFBD51"/>
    <w:rsid w:val="7EFFF029"/>
    <w:rsid w:val="7EFFF302"/>
    <w:rsid w:val="7F0DD09E"/>
    <w:rsid w:val="7F2F826F"/>
    <w:rsid w:val="7F346187"/>
    <w:rsid w:val="7F3681E6"/>
    <w:rsid w:val="7F371993"/>
    <w:rsid w:val="7F37533F"/>
    <w:rsid w:val="7F3CC567"/>
    <w:rsid w:val="7F3D2996"/>
    <w:rsid w:val="7F3F867C"/>
    <w:rsid w:val="7F3FCBA7"/>
    <w:rsid w:val="7F3FEC65"/>
    <w:rsid w:val="7F471CCB"/>
    <w:rsid w:val="7F48EDE7"/>
    <w:rsid w:val="7F4A6031"/>
    <w:rsid w:val="7F4C1F70"/>
    <w:rsid w:val="7F4EE63F"/>
    <w:rsid w:val="7F57870C"/>
    <w:rsid w:val="7F5B7F5B"/>
    <w:rsid w:val="7F5BF52F"/>
    <w:rsid w:val="7F5CCE02"/>
    <w:rsid w:val="7F5E521A"/>
    <w:rsid w:val="7F677621"/>
    <w:rsid w:val="7F69ADC3"/>
    <w:rsid w:val="7F6CA4B3"/>
    <w:rsid w:val="7F6CD427"/>
    <w:rsid w:val="7F6D82EB"/>
    <w:rsid w:val="7F73FFD9"/>
    <w:rsid w:val="7F76D677"/>
    <w:rsid w:val="7F773EEC"/>
    <w:rsid w:val="7F779390"/>
    <w:rsid w:val="7F77AB32"/>
    <w:rsid w:val="7F77DCDA"/>
    <w:rsid w:val="7F79A6FA"/>
    <w:rsid w:val="7F7BA7B0"/>
    <w:rsid w:val="7F7BEFF6"/>
    <w:rsid w:val="7F7CBA93"/>
    <w:rsid w:val="7F7D6495"/>
    <w:rsid w:val="7F7DC623"/>
    <w:rsid w:val="7F7EA5AA"/>
    <w:rsid w:val="7F7EB44C"/>
    <w:rsid w:val="7F7F0A53"/>
    <w:rsid w:val="7F7F152D"/>
    <w:rsid w:val="7F7F26EB"/>
    <w:rsid w:val="7F7F4C93"/>
    <w:rsid w:val="7F7F50BA"/>
    <w:rsid w:val="7F7F6475"/>
    <w:rsid w:val="7F7F67B2"/>
    <w:rsid w:val="7F7F68EB"/>
    <w:rsid w:val="7F7F6B44"/>
    <w:rsid w:val="7F7FB9C1"/>
    <w:rsid w:val="7F947F5A"/>
    <w:rsid w:val="7F97BCF0"/>
    <w:rsid w:val="7F994C92"/>
    <w:rsid w:val="7F9DA31F"/>
    <w:rsid w:val="7F9DE047"/>
    <w:rsid w:val="7F9FB0DB"/>
    <w:rsid w:val="7F9FC1AD"/>
    <w:rsid w:val="7FA7A812"/>
    <w:rsid w:val="7FAAD0AC"/>
    <w:rsid w:val="7FAD8961"/>
    <w:rsid w:val="7FAD9BCA"/>
    <w:rsid w:val="7FAFE232"/>
    <w:rsid w:val="7FAFF143"/>
    <w:rsid w:val="7FB16625"/>
    <w:rsid w:val="7FB445AB"/>
    <w:rsid w:val="7FB523B9"/>
    <w:rsid w:val="7FB78A0F"/>
    <w:rsid w:val="7FB7EC57"/>
    <w:rsid w:val="7FB9336D"/>
    <w:rsid w:val="7FB948CB"/>
    <w:rsid w:val="7FB9C255"/>
    <w:rsid w:val="7FBBE709"/>
    <w:rsid w:val="7FBC6030"/>
    <w:rsid w:val="7FBD63B6"/>
    <w:rsid w:val="7FBEA538"/>
    <w:rsid w:val="7FBECA8B"/>
    <w:rsid w:val="7FBEDC61"/>
    <w:rsid w:val="7FBF25C2"/>
    <w:rsid w:val="7FBF2ACA"/>
    <w:rsid w:val="7FBF6312"/>
    <w:rsid w:val="7FBF7EEE"/>
    <w:rsid w:val="7FBF9E9D"/>
    <w:rsid w:val="7FBFC857"/>
    <w:rsid w:val="7FBFDB48"/>
    <w:rsid w:val="7FBFF8AD"/>
    <w:rsid w:val="7FC533DE"/>
    <w:rsid w:val="7FC56791"/>
    <w:rsid w:val="7FCD4047"/>
    <w:rsid w:val="7FCF1D05"/>
    <w:rsid w:val="7FCF2CE8"/>
    <w:rsid w:val="7FCF4170"/>
    <w:rsid w:val="7FCF64C6"/>
    <w:rsid w:val="7FD99899"/>
    <w:rsid w:val="7FD9D7B6"/>
    <w:rsid w:val="7FDA34DB"/>
    <w:rsid w:val="7FDB078B"/>
    <w:rsid w:val="7FDB0FEC"/>
    <w:rsid w:val="7FDB9132"/>
    <w:rsid w:val="7FDDEB4D"/>
    <w:rsid w:val="7FDE8D17"/>
    <w:rsid w:val="7FDE9144"/>
    <w:rsid w:val="7FDEF5E0"/>
    <w:rsid w:val="7FDF0CFE"/>
    <w:rsid w:val="7FDF7E3B"/>
    <w:rsid w:val="7FDF85FB"/>
    <w:rsid w:val="7FDFD9D9"/>
    <w:rsid w:val="7FE1FCF9"/>
    <w:rsid w:val="7FE294F5"/>
    <w:rsid w:val="7FE3F7ED"/>
    <w:rsid w:val="7FE41DA8"/>
    <w:rsid w:val="7FE731CB"/>
    <w:rsid w:val="7FE7B3A1"/>
    <w:rsid w:val="7FEAA6BE"/>
    <w:rsid w:val="7FEB13A8"/>
    <w:rsid w:val="7FEB18FF"/>
    <w:rsid w:val="7FEB2E71"/>
    <w:rsid w:val="7FEB906D"/>
    <w:rsid w:val="7FEBC99D"/>
    <w:rsid w:val="7FEBE740"/>
    <w:rsid w:val="7FED3AA0"/>
    <w:rsid w:val="7FED7105"/>
    <w:rsid w:val="7FEDB9E1"/>
    <w:rsid w:val="7FEF2082"/>
    <w:rsid w:val="7FEF37FA"/>
    <w:rsid w:val="7FEF4BC5"/>
    <w:rsid w:val="7FEFE58B"/>
    <w:rsid w:val="7FEFF903"/>
    <w:rsid w:val="7FF10089"/>
    <w:rsid w:val="7FF4157B"/>
    <w:rsid w:val="7FF4C5B9"/>
    <w:rsid w:val="7FF551E8"/>
    <w:rsid w:val="7FF57E66"/>
    <w:rsid w:val="7FF6CBFD"/>
    <w:rsid w:val="7FF722E3"/>
    <w:rsid w:val="7FF73947"/>
    <w:rsid w:val="7FF74FAF"/>
    <w:rsid w:val="7FF7D403"/>
    <w:rsid w:val="7FF7E102"/>
    <w:rsid w:val="7FF88306"/>
    <w:rsid w:val="7FF914F3"/>
    <w:rsid w:val="7FFA9552"/>
    <w:rsid w:val="7FFB4AC7"/>
    <w:rsid w:val="7FFBC578"/>
    <w:rsid w:val="7FFBE056"/>
    <w:rsid w:val="7FFBEFF7"/>
    <w:rsid w:val="7FFBFB15"/>
    <w:rsid w:val="7FFC9010"/>
    <w:rsid w:val="7FFCA984"/>
    <w:rsid w:val="7FFCC8E5"/>
    <w:rsid w:val="7FFD0957"/>
    <w:rsid w:val="7FFD1D91"/>
    <w:rsid w:val="7FFD1DA1"/>
    <w:rsid w:val="7FFD3492"/>
    <w:rsid w:val="7FFD4691"/>
    <w:rsid w:val="7FFD7E10"/>
    <w:rsid w:val="7FFD88AA"/>
    <w:rsid w:val="7FFDA763"/>
    <w:rsid w:val="7FFDD160"/>
    <w:rsid w:val="7FFDF779"/>
    <w:rsid w:val="7FFE90A5"/>
    <w:rsid w:val="7FFEEAA6"/>
    <w:rsid w:val="7FFF1C0C"/>
    <w:rsid w:val="7FFF250F"/>
    <w:rsid w:val="7FFF31B0"/>
    <w:rsid w:val="7FFF3DC8"/>
    <w:rsid w:val="7FFF487E"/>
    <w:rsid w:val="7FFF4A90"/>
    <w:rsid w:val="7FFF5457"/>
    <w:rsid w:val="7FFF5E75"/>
    <w:rsid w:val="7FFFA240"/>
    <w:rsid w:val="7FFFA4EB"/>
    <w:rsid w:val="7FFFE444"/>
    <w:rsid w:val="7FFFFEB1"/>
    <w:rsid w:val="83E59360"/>
    <w:rsid w:val="83FDB215"/>
    <w:rsid w:val="83FF39F3"/>
    <w:rsid w:val="87B39FA3"/>
    <w:rsid w:val="8B7F122A"/>
    <w:rsid w:val="8B964181"/>
    <w:rsid w:val="8CBF3FFF"/>
    <w:rsid w:val="8CF9EAAB"/>
    <w:rsid w:val="8D9F1C4F"/>
    <w:rsid w:val="8DEF505F"/>
    <w:rsid w:val="8DF78FBC"/>
    <w:rsid w:val="8DFF1255"/>
    <w:rsid w:val="8DFFD420"/>
    <w:rsid w:val="8EDD2E02"/>
    <w:rsid w:val="8EE5317F"/>
    <w:rsid w:val="8F6739F7"/>
    <w:rsid w:val="8F9F77B3"/>
    <w:rsid w:val="8FDD0C49"/>
    <w:rsid w:val="8FDFC024"/>
    <w:rsid w:val="8FDFD254"/>
    <w:rsid w:val="8FEFFAE0"/>
    <w:rsid w:val="8FF8CF25"/>
    <w:rsid w:val="8FFF0EB1"/>
    <w:rsid w:val="931715F9"/>
    <w:rsid w:val="936F7455"/>
    <w:rsid w:val="94EF5256"/>
    <w:rsid w:val="94F68FDF"/>
    <w:rsid w:val="94FF11FF"/>
    <w:rsid w:val="955F4313"/>
    <w:rsid w:val="95E3C2E6"/>
    <w:rsid w:val="95FB417D"/>
    <w:rsid w:val="95FF6CCF"/>
    <w:rsid w:val="96BD9DFA"/>
    <w:rsid w:val="96E7B58A"/>
    <w:rsid w:val="97774202"/>
    <w:rsid w:val="9797DF7D"/>
    <w:rsid w:val="97BE4502"/>
    <w:rsid w:val="97E7A86D"/>
    <w:rsid w:val="97FFBF98"/>
    <w:rsid w:val="995F49D6"/>
    <w:rsid w:val="998CC71A"/>
    <w:rsid w:val="9AB1854D"/>
    <w:rsid w:val="9AFA896A"/>
    <w:rsid w:val="9AFB4E60"/>
    <w:rsid w:val="9B294156"/>
    <w:rsid w:val="9B2A2C36"/>
    <w:rsid w:val="9B5FA97E"/>
    <w:rsid w:val="9BDF2FFD"/>
    <w:rsid w:val="9BF12DD7"/>
    <w:rsid w:val="9BF5ED61"/>
    <w:rsid w:val="9C7F7377"/>
    <w:rsid w:val="9C7FC703"/>
    <w:rsid w:val="9CEED8AE"/>
    <w:rsid w:val="9D1C44B0"/>
    <w:rsid w:val="9D6F223C"/>
    <w:rsid w:val="9D7AB100"/>
    <w:rsid w:val="9DAFD2F0"/>
    <w:rsid w:val="9DDD55F2"/>
    <w:rsid w:val="9DDEB802"/>
    <w:rsid w:val="9DEF2BB9"/>
    <w:rsid w:val="9DFD264D"/>
    <w:rsid w:val="9E2641FE"/>
    <w:rsid w:val="9E77F02B"/>
    <w:rsid w:val="9E975E76"/>
    <w:rsid w:val="9E9BAEC3"/>
    <w:rsid w:val="9EF66036"/>
    <w:rsid w:val="9EFF7D23"/>
    <w:rsid w:val="9EFFD2C1"/>
    <w:rsid w:val="9F3F6BBA"/>
    <w:rsid w:val="9F3FA6BC"/>
    <w:rsid w:val="9F5F8E23"/>
    <w:rsid w:val="9F7B616A"/>
    <w:rsid w:val="9F7CBDDF"/>
    <w:rsid w:val="9F7EC533"/>
    <w:rsid w:val="9F7FA46F"/>
    <w:rsid w:val="9F9BF04E"/>
    <w:rsid w:val="9F9FB17D"/>
    <w:rsid w:val="9FAFAC11"/>
    <w:rsid w:val="9FAFF109"/>
    <w:rsid w:val="9FB67F2A"/>
    <w:rsid w:val="9FB7A1A2"/>
    <w:rsid w:val="9FBE17CD"/>
    <w:rsid w:val="9FD5041F"/>
    <w:rsid w:val="9FD6FD4C"/>
    <w:rsid w:val="9FEA024F"/>
    <w:rsid w:val="9FEE5271"/>
    <w:rsid w:val="9FEF0377"/>
    <w:rsid w:val="9FEF61E3"/>
    <w:rsid w:val="9FF67C87"/>
    <w:rsid w:val="9FF751C2"/>
    <w:rsid w:val="9FFB0A46"/>
    <w:rsid w:val="9FFB2DDB"/>
    <w:rsid w:val="9FFDBF0F"/>
    <w:rsid w:val="9FFF0180"/>
    <w:rsid w:val="9FFF1C28"/>
    <w:rsid w:val="9FFF43CE"/>
    <w:rsid w:val="9FFF5C9A"/>
    <w:rsid w:val="9FFF8ED2"/>
    <w:rsid w:val="9FFF9276"/>
    <w:rsid w:val="A1FF95C0"/>
    <w:rsid w:val="A4FDF8B2"/>
    <w:rsid w:val="A56E6DE0"/>
    <w:rsid w:val="A5D69D04"/>
    <w:rsid w:val="A5FDAB9C"/>
    <w:rsid w:val="A5FFF134"/>
    <w:rsid w:val="A6DE1C43"/>
    <w:rsid w:val="A6F7262E"/>
    <w:rsid w:val="A6FF0C60"/>
    <w:rsid w:val="A76A2D53"/>
    <w:rsid w:val="A777B02A"/>
    <w:rsid w:val="A7D7051C"/>
    <w:rsid w:val="A7DE9F8C"/>
    <w:rsid w:val="A7E7B3AF"/>
    <w:rsid w:val="A7EECA55"/>
    <w:rsid w:val="A7F7BB64"/>
    <w:rsid w:val="A7FCA32C"/>
    <w:rsid w:val="A7FF4975"/>
    <w:rsid w:val="A7FF993D"/>
    <w:rsid w:val="A8A6850F"/>
    <w:rsid w:val="AA1B686C"/>
    <w:rsid w:val="AB557C2A"/>
    <w:rsid w:val="AB6B38B7"/>
    <w:rsid w:val="ABB6DB26"/>
    <w:rsid w:val="ABB71C30"/>
    <w:rsid w:val="ABDB74BF"/>
    <w:rsid w:val="ABF72BAA"/>
    <w:rsid w:val="ABF92DA4"/>
    <w:rsid w:val="ABF9C06A"/>
    <w:rsid w:val="ABFBA41A"/>
    <w:rsid w:val="ABFF7F87"/>
    <w:rsid w:val="AC7376B2"/>
    <w:rsid w:val="ACFB8E6D"/>
    <w:rsid w:val="ACFE2AF2"/>
    <w:rsid w:val="AD5F7576"/>
    <w:rsid w:val="AD9FBD7E"/>
    <w:rsid w:val="ADB32626"/>
    <w:rsid w:val="ADBD1249"/>
    <w:rsid w:val="ADBD136E"/>
    <w:rsid w:val="ADFFC9A1"/>
    <w:rsid w:val="AE3F1A9A"/>
    <w:rsid w:val="AEDBFA7B"/>
    <w:rsid w:val="AEF33391"/>
    <w:rsid w:val="AEF6FA11"/>
    <w:rsid w:val="AF3FE0A9"/>
    <w:rsid w:val="AF7706DD"/>
    <w:rsid w:val="AF77254C"/>
    <w:rsid w:val="AF7B9456"/>
    <w:rsid w:val="AFCF1F82"/>
    <w:rsid w:val="AFDA5302"/>
    <w:rsid w:val="AFDE2058"/>
    <w:rsid w:val="AFF757BE"/>
    <w:rsid w:val="AFFD202E"/>
    <w:rsid w:val="B1BB17C1"/>
    <w:rsid w:val="B1FF2202"/>
    <w:rsid w:val="B267941B"/>
    <w:rsid w:val="B2EF65AE"/>
    <w:rsid w:val="B35F0F9B"/>
    <w:rsid w:val="B3BF5673"/>
    <w:rsid w:val="B3CFDA2C"/>
    <w:rsid w:val="B3F70E21"/>
    <w:rsid w:val="B3F8EDF6"/>
    <w:rsid w:val="B3FB0237"/>
    <w:rsid w:val="B3FB72EF"/>
    <w:rsid w:val="B41E6A9D"/>
    <w:rsid w:val="B4DF08D4"/>
    <w:rsid w:val="B4E55ADA"/>
    <w:rsid w:val="B4EC3F5F"/>
    <w:rsid w:val="B4ED73D1"/>
    <w:rsid w:val="B53B0932"/>
    <w:rsid w:val="B53DADE9"/>
    <w:rsid w:val="B5AF6BDA"/>
    <w:rsid w:val="B5BAD1AD"/>
    <w:rsid w:val="B5BEC459"/>
    <w:rsid w:val="B5BF45A6"/>
    <w:rsid w:val="B5BFC98A"/>
    <w:rsid w:val="B5D3C75D"/>
    <w:rsid w:val="B5DB6C91"/>
    <w:rsid w:val="B5DD178B"/>
    <w:rsid w:val="B5DECE72"/>
    <w:rsid w:val="B5DF086F"/>
    <w:rsid w:val="B67D2059"/>
    <w:rsid w:val="B67FC84B"/>
    <w:rsid w:val="B6AFC210"/>
    <w:rsid w:val="B6B368C2"/>
    <w:rsid w:val="B6D78AB9"/>
    <w:rsid w:val="B6F394A4"/>
    <w:rsid w:val="B6F7B730"/>
    <w:rsid w:val="B6FF92FF"/>
    <w:rsid w:val="B737A024"/>
    <w:rsid w:val="B73FAA22"/>
    <w:rsid w:val="B757FF24"/>
    <w:rsid w:val="B76B60E2"/>
    <w:rsid w:val="B7ACE797"/>
    <w:rsid w:val="B7BBA3A8"/>
    <w:rsid w:val="B7BD0A18"/>
    <w:rsid w:val="B7BFA3CF"/>
    <w:rsid w:val="B7C6EDCF"/>
    <w:rsid w:val="B7CB7B1D"/>
    <w:rsid w:val="B7DAF56C"/>
    <w:rsid w:val="B7DD0DB8"/>
    <w:rsid w:val="B7DEE547"/>
    <w:rsid w:val="B7DF0E21"/>
    <w:rsid w:val="B7EFD3E2"/>
    <w:rsid w:val="B7F2EFCD"/>
    <w:rsid w:val="B7F74EA6"/>
    <w:rsid w:val="B7F98CC8"/>
    <w:rsid w:val="B7F99515"/>
    <w:rsid w:val="B7FBACDC"/>
    <w:rsid w:val="B7FC9A18"/>
    <w:rsid w:val="B7FD03FC"/>
    <w:rsid w:val="B7FD2F84"/>
    <w:rsid w:val="B7FD3B7D"/>
    <w:rsid w:val="B7FE0708"/>
    <w:rsid w:val="B7FE4841"/>
    <w:rsid w:val="B7FE744E"/>
    <w:rsid w:val="B7FEF8CE"/>
    <w:rsid w:val="B7FFE184"/>
    <w:rsid w:val="B8DC2CB3"/>
    <w:rsid w:val="B9B37872"/>
    <w:rsid w:val="B9D12C80"/>
    <w:rsid w:val="B9DDF53E"/>
    <w:rsid w:val="B9E78C5E"/>
    <w:rsid w:val="B9ED25D0"/>
    <w:rsid w:val="B9F7A3B8"/>
    <w:rsid w:val="B9FB4F89"/>
    <w:rsid w:val="BA4651ED"/>
    <w:rsid w:val="BA7F3884"/>
    <w:rsid w:val="BAB71E37"/>
    <w:rsid w:val="BAEF27EB"/>
    <w:rsid w:val="BAF141BC"/>
    <w:rsid w:val="BAF7DC3E"/>
    <w:rsid w:val="BAFAF203"/>
    <w:rsid w:val="BAFC25E0"/>
    <w:rsid w:val="BAFF2045"/>
    <w:rsid w:val="BAFFAFDC"/>
    <w:rsid w:val="BB360D08"/>
    <w:rsid w:val="BB3F5291"/>
    <w:rsid w:val="BB47DE59"/>
    <w:rsid w:val="BB572791"/>
    <w:rsid w:val="BB5D3999"/>
    <w:rsid w:val="BB6D91F2"/>
    <w:rsid w:val="BB774697"/>
    <w:rsid w:val="BB7F3B17"/>
    <w:rsid w:val="BB943487"/>
    <w:rsid w:val="BBB76DF4"/>
    <w:rsid w:val="BBBE2AEB"/>
    <w:rsid w:val="BBBF8A35"/>
    <w:rsid w:val="BBC595C1"/>
    <w:rsid w:val="BBD50D46"/>
    <w:rsid w:val="BBD72C90"/>
    <w:rsid w:val="BBD73A1A"/>
    <w:rsid w:val="BBDB51A7"/>
    <w:rsid w:val="BBDBFEE2"/>
    <w:rsid w:val="BBDFABEE"/>
    <w:rsid w:val="BBDFDA47"/>
    <w:rsid w:val="BBDFE950"/>
    <w:rsid w:val="BBE1C08A"/>
    <w:rsid w:val="BBE7AB3B"/>
    <w:rsid w:val="BBEB7DB0"/>
    <w:rsid w:val="BBEF43D6"/>
    <w:rsid w:val="BBFA4733"/>
    <w:rsid w:val="BBFCDA8A"/>
    <w:rsid w:val="BBFCDFDF"/>
    <w:rsid w:val="BBFD4013"/>
    <w:rsid w:val="BBFDC474"/>
    <w:rsid w:val="BBFDD411"/>
    <w:rsid w:val="BBFFD33E"/>
    <w:rsid w:val="BC4F5338"/>
    <w:rsid w:val="BC7FEAD6"/>
    <w:rsid w:val="BCFFF29B"/>
    <w:rsid w:val="BD6F74BB"/>
    <w:rsid w:val="BD7B39E0"/>
    <w:rsid w:val="BDAD0F2E"/>
    <w:rsid w:val="BDB74512"/>
    <w:rsid w:val="BDBD4BDD"/>
    <w:rsid w:val="BDBDAACD"/>
    <w:rsid w:val="BDBE26D6"/>
    <w:rsid w:val="BDCC67FF"/>
    <w:rsid w:val="BDCFC426"/>
    <w:rsid w:val="BDCFDA67"/>
    <w:rsid w:val="BDD53BB8"/>
    <w:rsid w:val="BDDAB90B"/>
    <w:rsid w:val="BDDF72F2"/>
    <w:rsid w:val="BDDFF735"/>
    <w:rsid w:val="BDE71836"/>
    <w:rsid w:val="BDF8E5A8"/>
    <w:rsid w:val="BDF904EA"/>
    <w:rsid w:val="BDF9A271"/>
    <w:rsid w:val="BDFEBDDC"/>
    <w:rsid w:val="BDFF7BC1"/>
    <w:rsid w:val="BE2EC49F"/>
    <w:rsid w:val="BE3BDBAE"/>
    <w:rsid w:val="BE5F346C"/>
    <w:rsid w:val="BE6B1CBD"/>
    <w:rsid w:val="BE7580C3"/>
    <w:rsid w:val="BE7E8399"/>
    <w:rsid w:val="BE7F9D9C"/>
    <w:rsid w:val="BE7FC33C"/>
    <w:rsid w:val="BEAD0A71"/>
    <w:rsid w:val="BEBDACE8"/>
    <w:rsid w:val="BEBFC497"/>
    <w:rsid w:val="BEBFDB68"/>
    <w:rsid w:val="BEDE5F64"/>
    <w:rsid w:val="BEEF0341"/>
    <w:rsid w:val="BEEF251D"/>
    <w:rsid w:val="BEEF3269"/>
    <w:rsid w:val="BEFF58EF"/>
    <w:rsid w:val="BEFFF216"/>
    <w:rsid w:val="BF0A6711"/>
    <w:rsid w:val="BF1F7393"/>
    <w:rsid w:val="BF25BA91"/>
    <w:rsid w:val="BF3343E5"/>
    <w:rsid w:val="BF5D2697"/>
    <w:rsid w:val="BF6FB6B2"/>
    <w:rsid w:val="BF75A9A5"/>
    <w:rsid w:val="BF78FBFD"/>
    <w:rsid w:val="BF7B4B07"/>
    <w:rsid w:val="BF7B9D8D"/>
    <w:rsid w:val="BF7BE57E"/>
    <w:rsid w:val="BF7BF5CA"/>
    <w:rsid w:val="BF7CECDC"/>
    <w:rsid w:val="BF7D6BF1"/>
    <w:rsid w:val="BF7E2C07"/>
    <w:rsid w:val="BF7E6B93"/>
    <w:rsid w:val="BF7F0C0B"/>
    <w:rsid w:val="BF7F6831"/>
    <w:rsid w:val="BF7F8072"/>
    <w:rsid w:val="BF7FB128"/>
    <w:rsid w:val="BF7FF65A"/>
    <w:rsid w:val="BF9F1542"/>
    <w:rsid w:val="BF9F58D7"/>
    <w:rsid w:val="BFA77635"/>
    <w:rsid w:val="BFAB60BF"/>
    <w:rsid w:val="BFAD531D"/>
    <w:rsid w:val="BFB70C84"/>
    <w:rsid w:val="BFB7371E"/>
    <w:rsid w:val="BFB9C019"/>
    <w:rsid w:val="BFBB4E97"/>
    <w:rsid w:val="BFBD83D3"/>
    <w:rsid w:val="BFBDAC19"/>
    <w:rsid w:val="BFBE5BD7"/>
    <w:rsid w:val="BFBF48AA"/>
    <w:rsid w:val="BFBFA1C1"/>
    <w:rsid w:val="BFBFBF27"/>
    <w:rsid w:val="BFC33D45"/>
    <w:rsid w:val="BFD6E57A"/>
    <w:rsid w:val="BFE74C08"/>
    <w:rsid w:val="BFE7A46F"/>
    <w:rsid w:val="BFEA6DC9"/>
    <w:rsid w:val="BFEB0AD3"/>
    <w:rsid w:val="BFEB2C42"/>
    <w:rsid w:val="BFEB53F7"/>
    <w:rsid w:val="BFEF26BE"/>
    <w:rsid w:val="BFEF6313"/>
    <w:rsid w:val="BFEFBFC7"/>
    <w:rsid w:val="BFF2D1A8"/>
    <w:rsid w:val="BFF33667"/>
    <w:rsid w:val="BFF41435"/>
    <w:rsid w:val="BFF653F4"/>
    <w:rsid w:val="BFF71C7E"/>
    <w:rsid w:val="BFF74E39"/>
    <w:rsid w:val="BFF76816"/>
    <w:rsid w:val="BFF942F8"/>
    <w:rsid w:val="BFF95543"/>
    <w:rsid w:val="BFFA27EE"/>
    <w:rsid w:val="BFFB0BEF"/>
    <w:rsid w:val="BFFB7AA8"/>
    <w:rsid w:val="BFFB854A"/>
    <w:rsid w:val="BFFBD36D"/>
    <w:rsid w:val="BFFD39FF"/>
    <w:rsid w:val="BFFD4E78"/>
    <w:rsid w:val="BFFD72B0"/>
    <w:rsid w:val="BFFDEEC0"/>
    <w:rsid w:val="BFFEE067"/>
    <w:rsid w:val="BFFF0C87"/>
    <w:rsid w:val="BFFF2DC4"/>
    <w:rsid w:val="BFFFB9A0"/>
    <w:rsid w:val="BFFFBA01"/>
    <w:rsid w:val="C13D46F6"/>
    <w:rsid w:val="C2731D21"/>
    <w:rsid w:val="C3752CDD"/>
    <w:rsid w:val="C37F8915"/>
    <w:rsid w:val="C39FFF79"/>
    <w:rsid w:val="C4F7A977"/>
    <w:rsid w:val="C5AFFB17"/>
    <w:rsid w:val="C5FF0B95"/>
    <w:rsid w:val="C6B9C59D"/>
    <w:rsid w:val="C6FF1E32"/>
    <w:rsid w:val="C6FFABDF"/>
    <w:rsid w:val="C75E2051"/>
    <w:rsid w:val="C7BE55DB"/>
    <w:rsid w:val="C7CA8611"/>
    <w:rsid w:val="C7E40AAC"/>
    <w:rsid w:val="C7EBB6FD"/>
    <w:rsid w:val="C7F76CB8"/>
    <w:rsid w:val="C7FA8390"/>
    <w:rsid w:val="C7FF8C09"/>
    <w:rsid w:val="C8BE061E"/>
    <w:rsid w:val="C97EC343"/>
    <w:rsid w:val="C9BE5A04"/>
    <w:rsid w:val="C9DE2A5F"/>
    <w:rsid w:val="C9F7AD69"/>
    <w:rsid w:val="CAEC67DC"/>
    <w:rsid w:val="CAFF0F27"/>
    <w:rsid w:val="CB7F0FBF"/>
    <w:rsid w:val="CB7FA3CB"/>
    <w:rsid w:val="CB7FF9E3"/>
    <w:rsid w:val="CBA5DD9A"/>
    <w:rsid w:val="CD22791A"/>
    <w:rsid w:val="CD5D761D"/>
    <w:rsid w:val="CD7641BC"/>
    <w:rsid w:val="CDBF85D2"/>
    <w:rsid w:val="CDD7D95E"/>
    <w:rsid w:val="CDDFE49C"/>
    <w:rsid w:val="CDF3D995"/>
    <w:rsid w:val="CDF95FB5"/>
    <w:rsid w:val="CDFD5F8A"/>
    <w:rsid w:val="CDFF620B"/>
    <w:rsid w:val="CE0D2BBE"/>
    <w:rsid w:val="CE0E6FAD"/>
    <w:rsid w:val="CE2FF17F"/>
    <w:rsid w:val="CE5DED78"/>
    <w:rsid w:val="CE7EA83F"/>
    <w:rsid w:val="CE7FF52E"/>
    <w:rsid w:val="CEA301C2"/>
    <w:rsid w:val="CECC6066"/>
    <w:rsid w:val="CEEBDD0A"/>
    <w:rsid w:val="CF2ACEB1"/>
    <w:rsid w:val="CF4B0F12"/>
    <w:rsid w:val="CF571E4B"/>
    <w:rsid w:val="CF5FE804"/>
    <w:rsid w:val="CF775517"/>
    <w:rsid w:val="CFACF9BC"/>
    <w:rsid w:val="CFB69433"/>
    <w:rsid w:val="CFB7CDC7"/>
    <w:rsid w:val="CFBEA803"/>
    <w:rsid w:val="CFD4183B"/>
    <w:rsid w:val="CFD7F72C"/>
    <w:rsid w:val="CFDD10F7"/>
    <w:rsid w:val="CFE7AA4D"/>
    <w:rsid w:val="CFE7FC4B"/>
    <w:rsid w:val="CFFA2499"/>
    <w:rsid w:val="CFFD24D6"/>
    <w:rsid w:val="CFFF5C11"/>
    <w:rsid w:val="CFFF640A"/>
    <w:rsid w:val="CFFF7326"/>
    <w:rsid w:val="CFFF75C8"/>
    <w:rsid w:val="D0F934DC"/>
    <w:rsid w:val="D17511AA"/>
    <w:rsid w:val="D1BF2CE1"/>
    <w:rsid w:val="D1FD4A3B"/>
    <w:rsid w:val="D1FF79E9"/>
    <w:rsid w:val="D2DF0EBC"/>
    <w:rsid w:val="D37BB188"/>
    <w:rsid w:val="D37F1CDB"/>
    <w:rsid w:val="D3A772F3"/>
    <w:rsid w:val="D3CF7867"/>
    <w:rsid w:val="D3DF86E6"/>
    <w:rsid w:val="D3F5CD87"/>
    <w:rsid w:val="D3FA8346"/>
    <w:rsid w:val="D3FFE441"/>
    <w:rsid w:val="D4EE833E"/>
    <w:rsid w:val="D4F3FD1A"/>
    <w:rsid w:val="D5578B26"/>
    <w:rsid w:val="D55D6020"/>
    <w:rsid w:val="D57D768F"/>
    <w:rsid w:val="D5A7EE1D"/>
    <w:rsid w:val="D5DBF5D2"/>
    <w:rsid w:val="D5EF278D"/>
    <w:rsid w:val="D5FAA8F5"/>
    <w:rsid w:val="D5FE1320"/>
    <w:rsid w:val="D5FF3551"/>
    <w:rsid w:val="D67B6AF0"/>
    <w:rsid w:val="D67F26EE"/>
    <w:rsid w:val="D68FC395"/>
    <w:rsid w:val="D6B7398E"/>
    <w:rsid w:val="D6DF94FD"/>
    <w:rsid w:val="D6DFEE0D"/>
    <w:rsid w:val="D717DCC8"/>
    <w:rsid w:val="D71A3079"/>
    <w:rsid w:val="D75F1977"/>
    <w:rsid w:val="D76E2F1E"/>
    <w:rsid w:val="D7724A82"/>
    <w:rsid w:val="D77F483D"/>
    <w:rsid w:val="D77FED32"/>
    <w:rsid w:val="D7AF958E"/>
    <w:rsid w:val="D7BD2CE9"/>
    <w:rsid w:val="D7BF2FC6"/>
    <w:rsid w:val="D7CFC362"/>
    <w:rsid w:val="D7DB6DCC"/>
    <w:rsid w:val="D7DD78D7"/>
    <w:rsid w:val="D7DF50F0"/>
    <w:rsid w:val="D7DF7E8E"/>
    <w:rsid w:val="D7DF8643"/>
    <w:rsid w:val="D7E93BB7"/>
    <w:rsid w:val="D7EAC0F7"/>
    <w:rsid w:val="D7EDD2A9"/>
    <w:rsid w:val="D7EF23C3"/>
    <w:rsid w:val="D7EFA52F"/>
    <w:rsid w:val="D7EFC391"/>
    <w:rsid w:val="D7F7F2AB"/>
    <w:rsid w:val="D7F85B1D"/>
    <w:rsid w:val="D7FCBE7C"/>
    <w:rsid w:val="D7FD586E"/>
    <w:rsid w:val="D7FDCD90"/>
    <w:rsid w:val="D7FE0932"/>
    <w:rsid w:val="D7FF708F"/>
    <w:rsid w:val="D89CC2A3"/>
    <w:rsid w:val="D8F34E58"/>
    <w:rsid w:val="D8FA2061"/>
    <w:rsid w:val="D8FEFF63"/>
    <w:rsid w:val="D95FD199"/>
    <w:rsid w:val="D9BF04F9"/>
    <w:rsid w:val="D9E7511B"/>
    <w:rsid w:val="D9E754ED"/>
    <w:rsid w:val="D9F516A5"/>
    <w:rsid w:val="D9F6EB6F"/>
    <w:rsid w:val="D9FE2277"/>
    <w:rsid w:val="D9FEE863"/>
    <w:rsid w:val="D9FF4756"/>
    <w:rsid w:val="D9FFDE06"/>
    <w:rsid w:val="DA579354"/>
    <w:rsid w:val="DA7F3442"/>
    <w:rsid w:val="DAB23866"/>
    <w:rsid w:val="DAB29172"/>
    <w:rsid w:val="DAC7524A"/>
    <w:rsid w:val="DAFBDD48"/>
    <w:rsid w:val="DAFBFBCF"/>
    <w:rsid w:val="DAFFAC6B"/>
    <w:rsid w:val="DAFFDFC8"/>
    <w:rsid w:val="DB2F6085"/>
    <w:rsid w:val="DB3E09C5"/>
    <w:rsid w:val="DB5C873D"/>
    <w:rsid w:val="DB5F6419"/>
    <w:rsid w:val="DB6F1A21"/>
    <w:rsid w:val="DB749F5A"/>
    <w:rsid w:val="DB78E05B"/>
    <w:rsid w:val="DB7B1CB4"/>
    <w:rsid w:val="DB9A6A83"/>
    <w:rsid w:val="DB9F00E5"/>
    <w:rsid w:val="DB9F4B65"/>
    <w:rsid w:val="DBAECAA0"/>
    <w:rsid w:val="DBB97026"/>
    <w:rsid w:val="DBBE5396"/>
    <w:rsid w:val="DBCCE519"/>
    <w:rsid w:val="DBDB38D7"/>
    <w:rsid w:val="DBDB6DC8"/>
    <w:rsid w:val="DBDF2405"/>
    <w:rsid w:val="DBEEF701"/>
    <w:rsid w:val="DBEFCD45"/>
    <w:rsid w:val="DBFCA1A2"/>
    <w:rsid w:val="DBFF1D17"/>
    <w:rsid w:val="DBFF8E89"/>
    <w:rsid w:val="DBFF9AE7"/>
    <w:rsid w:val="DBFFD7BD"/>
    <w:rsid w:val="DC4C70FF"/>
    <w:rsid w:val="DC67DF90"/>
    <w:rsid w:val="DC7D43D7"/>
    <w:rsid w:val="DC91B064"/>
    <w:rsid w:val="DCBF65CD"/>
    <w:rsid w:val="DCDE69B8"/>
    <w:rsid w:val="DCEA6D7F"/>
    <w:rsid w:val="DCF6F144"/>
    <w:rsid w:val="DCFA8FD8"/>
    <w:rsid w:val="DCFF2C51"/>
    <w:rsid w:val="DCFF5EEC"/>
    <w:rsid w:val="DD35914E"/>
    <w:rsid w:val="DD5D6725"/>
    <w:rsid w:val="DD665B96"/>
    <w:rsid w:val="DD67001D"/>
    <w:rsid w:val="DD735960"/>
    <w:rsid w:val="DD765C36"/>
    <w:rsid w:val="DD7F54D6"/>
    <w:rsid w:val="DD9DF61B"/>
    <w:rsid w:val="DDAF865F"/>
    <w:rsid w:val="DDB69F4E"/>
    <w:rsid w:val="DDBFDE32"/>
    <w:rsid w:val="DDD65746"/>
    <w:rsid w:val="DDDD0AA7"/>
    <w:rsid w:val="DDDF64EC"/>
    <w:rsid w:val="DDEBC9A9"/>
    <w:rsid w:val="DDFA3672"/>
    <w:rsid w:val="DDFB9388"/>
    <w:rsid w:val="DDFE6B3E"/>
    <w:rsid w:val="DDFEB2DD"/>
    <w:rsid w:val="DE3649B8"/>
    <w:rsid w:val="DE3FFB6D"/>
    <w:rsid w:val="DE472184"/>
    <w:rsid w:val="DE7504DF"/>
    <w:rsid w:val="DE750903"/>
    <w:rsid w:val="DE75E3F8"/>
    <w:rsid w:val="DE768D51"/>
    <w:rsid w:val="DE7F0BEC"/>
    <w:rsid w:val="DE9EFDFF"/>
    <w:rsid w:val="DEAB16AC"/>
    <w:rsid w:val="DEB68154"/>
    <w:rsid w:val="DEBF2B78"/>
    <w:rsid w:val="DECFB6F9"/>
    <w:rsid w:val="DED78786"/>
    <w:rsid w:val="DEDBC2A5"/>
    <w:rsid w:val="DEDE8F5B"/>
    <w:rsid w:val="DEEAB81A"/>
    <w:rsid w:val="DEEB1CFF"/>
    <w:rsid w:val="DEEED69C"/>
    <w:rsid w:val="DEF65DE9"/>
    <w:rsid w:val="DEFB46A8"/>
    <w:rsid w:val="DEFDFBA4"/>
    <w:rsid w:val="DEFF1AD2"/>
    <w:rsid w:val="DEFFA533"/>
    <w:rsid w:val="DEFFA625"/>
    <w:rsid w:val="DEFFC284"/>
    <w:rsid w:val="DF1F2D30"/>
    <w:rsid w:val="DF27F0B0"/>
    <w:rsid w:val="DF32462A"/>
    <w:rsid w:val="DF4FE8C3"/>
    <w:rsid w:val="DF4FFAAA"/>
    <w:rsid w:val="DF57CC50"/>
    <w:rsid w:val="DF5933F7"/>
    <w:rsid w:val="DF5FE1D6"/>
    <w:rsid w:val="DF67F927"/>
    <w:rsid w:val="DF6BB96C"/>
    <w:rsid w:val="DF6E094D"/>
    <w:rsid w:val="DF6F41EA"/>
    <w:rsid w:val="DF7915B7"/>
    <w:rsid w:val="DF797530"/>
    <w:rsid w:val="DF7A6A64"/>
    <w:rsid w:val="DF7A926B"/>
    <w:rsid w:val="DF7B6BB3"/>
    <w:rsid w:val="DF7D1B7C"/>
    <w:rsid w:val="DF7F095C"/>
    <w:rsid w:val="DF7F31D9"/>
    <w:rsid w:val="DF7FB390"/>
    <w:rsid w:val="DF85398A"/>
    <w:rsid w:val="DF8B06D9"/>
    <w:rsid w:val="DF96D4FE"/>
    <w:rsid w:val="DF9AA96F"/>
    <w:rsid w:val="DF9F3019"/>
    <w:rsid w:val="DF9FCAF8"/>
    <w:rsid w:val="DFAF7798"/>
    <w:rsid w:val="DFB66CE7"/>
    <w:rsid w:val="DFB73750"/>
    <w:rsid w:val="DFBD77ED"/>
    <w:rsid w:val="DFBDA7F0"/>
    <w:rsid w:val="DFBFBFE9"/>
    <w:rsid w:val="DFC9BC33"/>
    <w:rsid w:val="DFD7D1A0"/>
    <w:rsid w:val="DFDBD44C"/>
    <w:rsid w:val="DFDE3236"/>
    <w:rsid w:val="DFDE74BA"/>
    <w:rsid w:val="DFDFA71A"/>
    <w:rsid w:val="DFE387D4"/>
    <w:rsid w:val="DFE4284F"/>
    <w:rsid w:val="DFEB9B3D"/>
    <w:rsid w:val="DFED19E0"/>
    <w:rsid w:val="DFEE57CF"/>
    <w:rsid w:val="DFEECC9B"/>
    <w:rsid w:val="DFEFB452"/>
    <w:rsid w:val="DFEFBFAF"/>
    <w:rsid w:val="DFF1FD59"/>
    <w:rsid w:val="DFF3C95C"/>
    <w:rsid w:val="DFF50829"/>
    <w:rsid w:val="DFF752D7"/>
    <w:rsid w:val="DFF948E9"/>
    <w:rsid w:val="DFFA4849"/>
    <w:rsid w:val="DFFB0C54"/>
    <w:rsid w:val="DFFB146C"/>
    <w:rsid w:val="DFFBF5F9"/>
    <w:rsid w:val="DFFE81F4"/>
    <w:rsid w:val="DFFE8885"/>
    <w:rsid w:val="DFFEC56E"/>
    <w:rsid w:val="DFFF06F0"/>
    <w:rsid w:val="DFFF17FB"/>
    <w:rsid w:val="DFFF25A5"/>
    <w:rsid w:val="DFFF5C9B"/>
    <w:rsid w:val="DFFF6062"/>
    <w:rsid w:val="DFFF7EE4"/>
    <w:rsid w:val="DFFF8106"/>
    <w:rsid w:val="DFFFBFF2"/>
    <w:rsid w:val="DFFFC836"/>
    <w:rsid w:val="DFFFEF93"/>
    <w:rsid w:val="DFFFEFC5"/>
    <w:rsid w:val="DFFFF22A"/>
    <w:rsid w:val="E0DE7974"/>
    <w:rsid w:val="E196290A"/>
    <w:rsid w:val="E1EF9DFE"/>
    <w:rsid w:val="E2F926BB"/>
    <w:rsid w:val="E2FF7EE8"/>
    <w:rsid w:val="E337A866"/>
    <w:rsid w:val="E345EEB8"/>
    <w:rsid w:val="E3679A36"/>
    <w:rsid w:val="E377C2C3"/>
    <w:rsid w:val="E37C921D"/>
    <w:rsid w:val="E37DDC42"/>
    <w:rsid w:val="E3BBF84A"/>
    <w:rsid w:val="E3DF0CA4"/>
    <w:rsid w:val="E3DF52B1"/>
    <w:rsid w:val="E3DFFB7F"/>
    <w:rsid w:val="E3FF38A0"/>
    <w:rsid w:val="E43FBA99"/>
    <w:rsid w:val="E57FB85D"/>
    <w:rsid w:val="E59FDEBF"/>
    <w:rsid w:val="E5BB5F97"/>
    <w:rsid w:val="E5DD01D9"/>
    <w:rsid w:val="E5E30141"/>
    <w:rsid w:val="E5E47677"/>
    <w:rsid w:val="E5ED474B"/>
    <w:rsid w:val="E5FCD7F3"/>
    <w:rsid w:val="E5FF0CC1"/>
    <w:rsid w:val="E5FFCA07"/>
    <w:rsid w:val="E5FFEF29"/>
    <w:rsid w:val="E62FA252"/>
    <w:rsid w:val="E6E7FE9C"/>
    <w:rsid w:val="E6FF7478"/>
    <w:rsid w:val="E74DC7C3"/>
    <w:rsid w:val="E77BAE1C"/>
    <w:rsid w:val="E7AD4E93"/>
    <w:rsid w:val="E7BA9530"/>
    <w:rsid w:val="E7BE7DB3"/>
    <w:rsid w:val="E7C77C75"/>
    <w:rsid w:val="E7D9E382"/>
    <w:rsid w:val="E7EF950A"/>
    <w:rsid w:val="E7F74A5C"/>
    <w:rsid w:val="E7F76C4E"/>
    <w:rsid w:val="E7F79FA8"/>
    <w:rsid w:val="E7FA9622"/>
    <w:rsid w:val="E7FD6B97"/>
    <w:rsid w:val="E7FDAB03"/>
    <w:rsid w:val="E7FDDBF5"/>
    <w:rsid w:val="E7FDEEEE"/>
    <w:rsid w:val="E7FFD9D6"/>
    <w:rsid w:val="E8DF86EE"/>
    <w:rsid w:val="E8F7F1F0"/>
    <w:rsid w:val="E97120CE"/>
    <w:rsid w:val="E99F5413"/>
    <w:rsid w:val="E9BF1D36"/>
    <w:rsid w:val="E9CF5F7B"/>
    <w:rsid w:val="E9DF001A"/>
    <w:rsid w:val="E9FE44BC"/>
    <w:rsid w:val="EA5F4718"/>
    <w:rsid w:val="EA93BB3E"/>
    <w:rsid w:val="EA9F598B"/>
    <w:rsid w:val="EABFBB69"/>
    <w:rsid w:val="EAF71CA6"/>
    <w:rsid w:val="EAFECF8A"/>
    <w:rsid w:val="EAFF95CD"/>
    <w:rsid w:val="EB07C82F"/>
    <w:rsid w:val="EB4FFAFC"/>
    <w:rsid w:val="EB6FB7BD"/>
    <w:rsid w:val="EB73CECC"/>
    <w:rsid w:val="EB7E2A18"/>
    <w:rsid w:val="EB7F1BCF"/>
    <w:rsid w:val="EB8FE47C"/>
    <w:rsid w:val="EB9F62E6"/>
    <w:rsid w:val="EBB736AE"/>
    <w:rsid w:val="EBBE190A"/>
    <w:rsid w:val="EBD75843"/>
    <w:rsid w:val="EBE7A41E"/>
    <w:rsid w:val="EBF51BAB"/>
    <w:rsid w:val="EBF7795D"/>
    <w:rsid w:val="EBFD1589"/>
    <w:rsid w:val="EBFDDB1D"/>
    <w:rsid w:val="EBFEBFD6"/>
    <w:rsid w:val="EBFF4947"/>
    <w:rsid w:val="EBFFB803"/>
    <w:rsid w:val="EC5B6C08"/>
    <w:rsid w:val="EC5D5850"/>
    <w:rsid w:val="EC9B763A"/>
    <w:rsid w:val="ECCF9110"/>
    <w:rsid w:val="ECD4ACF8"/>
    <w:rsid w:val="ECDBE75A"/>
    <w:rsid w:val="ECF51DD2"/>
    <w:rsid w:val="ECF75E6A"/>
    <w:rsid w:val="ED5F9D67"/>
    <w:rsid w:val="ED761092"/>
    <w:rsid w:val="ED9EDE5A"/>
    <w:rsid w:val="EDA4120F"/>
    <w:rsid w:val="EDA73382"/>
    <w:rsid w:val="EDB521D0"/>
    <w:rsid w:val="EDBF274B"/>
    <w:rsid w:val="EDBF9E3D"/>
    <w:rsid w:val="EDCF3F3C"/>
    <w:rsid w:val="EDDBF8FD"/>
    <w:rsid w:val="EDDDDC5F"/>
    <w:rsid w:val="EDDE0704"/>
    <w:rsid w:val="EDDF6B5A"/>
    <w:rsid w:val="EDE21B0F"/>
    <w:rsid w:val="EDEB55D7"/>
    <w:rsid w:val="EDEBAAED"/>
    <w:rsid w:val="EDF58937"/>
    <w:rsid w:val="EDF7E27A"/>
    <w:rsid w:val="EDF894A9"/>
    <w:rsid w:val="EDF9BC2E"/>
    <w:rsid w:val="EDFB1E57"/>
    <w:rsid w:val="EDFC28F7"/>
    <w:rsid w:val="EDFD6001"/>
    <w:rsid w:val="EDFD65F0"/>
    <w:rsid w:val="EDFE53A6"/>
    <w:rsid w:val="EDFEB9B8"/>
    <w:rsid w:val="EDFFE13D"/>
    <w:rsid w:val="EE3B67C5"/>
    <w:rsid w:val="EE6F606D"/>
    <w:rsid w:val="EE7612A2"/>
    <w:rsid w:val="EE77412B"/>
    <w:rsid w:val="EE7BCF01"/>
    <w:rsid w:val="EE7F3F9B"/>
    <w:rsid w:val="EE7FB600"/>
    <w:rsid w:val="EE7FD042"/>
    <w:rsid w:val="EE95114D"/>
    <w:rsid w:val="EEA36037"/>
    <w:rsid w:val="EEA74941"/>
    <w:rsid w:val="EEABD305"/>
    <w:rsid w:val="EEAF6956"/>
    <w:rsid w:val="EEB7A7DA"/>
    <w:rsid w:val="EEBB6346"/>
    <w:rsid w:val="EEBE212B"/>
    <w:rsid w:val="EEBFDD34"/>
    <w:rsid w:val="EEEFE554"/>
    <w:rsid w:val="EEF3FB0E"/>
    <w:rsid w:val="EEF3FEBC"/>
    <w:rsid w:val="EEF75386"/>
    <w:rsid w:val="EEFE7AAC"/>
    <w:rsid w:val="EEFE83A8"/>
    <w:rsid w:val="EEFF1112"/>
    <w:rsid w:val="EEFF634B"/>
    <w:rsid w:val="EEFFDE94"/>
    <w:rsid w:val="EF0E4E87"/>
    <w:rsid w:val="EF1EE17D"/>
    <w:rsid w:val="EF3B83F3"/>
    <w:rsid w:val="EF3E2675"/>
    <w:rsid w:val="EF3FACC1"/>
    <w:rsid w:val="EF52B055"/>
    <w:rsid w:val="EF5E1872"/>
    <w:rsid w:val="EF5E5C68"/>
    <w:rsid w:val="EF5F5D99"/>
    <w:rsid w:val="EF6D7CCD"/>
    <w:rsid w:val="EF6F2685"/>
    <w:rsid w:val="EF6F2796"/>
    <w:rsid w:val="EF7779AB"/>
    <w:rsid w:val="EF7B0E19"/>
    <w:rsid w:val="EF7BEBB5"/>
    <w:rsid w:val="EF7D5968"/>
    <w:rsid w:val="EF7ED8F4"/>
    <w:rsid w:val="EF7F0C98"/>
    <w:rsid w:val="EF7F3E34"/>
    <w:rsid w:val="EF7F4B4D"/>
    <w:rsid w:val="EF7FE76A"/>
    <w:rsid w:val="EF9A0829"/>
    <w:rsid w:val="EF9E3F1D"/>
    <w:rsid w:val="EF9FB113"/>
    <w:rsid w:val="EFADB054"/>
    <w:rsid w:val="EFAF0D5B"/>
    <w:rsid w:val="EFAFE7AA"/>
    <w:rsid w:val="EFB1E0F1"/>
    <w:rsid w:val="EFBC39C5"/>
    <w:rsid w:val="EFBE6158"/>
    <w:rsid w:val="EFBF9B86"/>
    <w:rsid w:val="EFCF48DA"/>
    <w:rsid w:val="EFD576DA"/>
    <w:rsid w:val="EFDFBEC1"/>
    <w:rsid w:val="EFDFC412"/>
    <w:rsid w:val="EFDFE6A3"/>
    <w:rsid w:val="EFE64A47"/>
    <w:rsid w:val="EFE72690"/>
    <w:rsid w:val="EFE7DB9C"/>
    <w:rsid w:val="EFE7FB10"/>
    <w:rsid w:val="EFE929AC"/>
    <w:rsid w:val="EFEBF740"/>
    <w:rsid w:val="EFEC6E2A"/>
    <w:rsid w:val="EFED98E0"/>
    <w:rsid w:val="EFEF2A30"/>
    <w:rsid w:val="EFEF885C"/>
    <w:rsid w:val="EFEFFF02"/>
    <w:rsid w:val="EFF3AE5B"/>
    <w:rsid w:val="EFF3E4DE"/>
    <w:rsid w:val="EFF7F24E"/>
    <w:rsid w:val="EFFB68E2"/>
    <w:rsid w:val="EFFB9FFE"/>
    <w:rsid w:val="EFFC6378"/>
    <w:rsid w:val="EFFC8DD2"/>
    <w:rsid w:val="EFFD985F"/>
    <w:rsid w:val="EFFDB1CF"/>
    <w:rsid w:val="EFFDC54F"/>
    <w:rsid w:val="EFFDCB7A"/>
    <w:rsid w:val="EFFE3FD4"/>
    <w:rsid w:val="EFFF04E9"/>
    <w:rsid w:val="EFFF98CD"/>
    <w:rsid w:val="EFFFAAA2"/>
    <w:rsid w:val="EFFFB38B"/>
    <w:rsid w:val="EFFFB6AE"/>
    <w:rsid w:val="EFFFCBC8"/>
    <w:rsid w:val="EFFFEB73"/>
    <w:rsid w:val="EFFFEFCA"/>
    <w:rsid w:val="F015EB2D"/>
    <w:rsid w:val="F07D493F"/>
    <w:rsid w:val="F0D705C9"/>
    <w:rsid w:val="F0DFDB71"/>
    <w:rsid w:val="F0FF208C"/>
    <w:rsid w:val="F1CDE2EF"/>
    <w:rsid w:val="F1D70BF8"/>
    <w:rsid w:val="F1FF4655"/>
    <w:rsid w:val="F1FF8BD2"/>
    <w:rsid w:val="F26593BB"/>
    <w:rsid w:val="F2AF3611"/>
    <w:rsid w:val="F2AF77B3"/>
    <w:rsid w:val="F2B874C0"/>
    <w:rsid w:val="F2BB49C3"/>
    <w:rsid w:val="F2BEB065"/>
    <w:rsid w:val="F2FBBB1A"/>
    <w:rsid w:val="F2FD4143"/>
    <w:rsid w:val="F339977A"/>
    <w:rsid w:val="F35B05C3"/>
    <w:rsid w:val="F37D6018"/>
    <w:rsid w:val="F3979036"/>
    <w:rsid w:val="F39CB9F9"/>
    <w:rsid w:val="F3BF743E"/>
    <w:rsid w:val="F3BF8BF9"/>
    <w:rsid w:val="F3CD3966"/>
    <w:rsid w:val="F3DB0299"/>
    <w:rsid w:val="F3DFADCA"/>
    <w:rsid w:val="F3E5C3F0"/>
    <w:rsid w:val="F3EFF826"/>
    <w:rsid w:val="F3F532D2"/>
    <w:rsid w:val="F3FBA869"/>
    <w:rsid w:val="F3FD7437"/>
    <w:rsid w:val="F3FE7A32"/>
    <w:rsid w:val="F3FFD75F"/>
    <w:rsid w:val="F43FDE54"/>
    <w:rsid w:val="F473A4B6"/>
    <w:rsid w:val="F4778063"/>
    <w:rsid w:val="F49F002C"/>
    <w:rsid w:val="F4B7F2C6"/>
    <w:rsid w:val="F4C36AE0"/>
    <w:rsid w:val="F4C75959"/>
    <w:rsid w:val="F4DBA36B"/>
    <w:rsid w:val="F4EF3413"/>
    <w:rsid w:val="F4F9719C"/>
    <w:rsid w:val="F4FF2F68"/>
    <w:rsid w:val="F4FF366A"/>
    <w:rsid w:val="F4FF4B60"/>
    <w:rsid w:val="F4FF547D"/>
    <w:rsid w:val="F53F5DAB"/>
    <w:rsid w:val="F5703A16"/>
    <w:rsid w:val="F57B3BC0"/>
    <w:rsid w:val="F57EC80B"/>
    <w:rsid w:val="F57EFD26"/>
    <w:rsid w:val="F596CD85"/>
    <w:rsid w:val="F5BD07DF"/>
    <w:rsid w:val="F5BF5BD0"/>
    <w:rsid w:val="F5C62EC6"/>
    <w:rsid w:val="F5C748AB"/>
    <w:rsid w:val="F5D27501"/>
    <w:rsid w:val="F5DA79DD"/>
    <w:rsid w:val="F5DF0321"/>
    <w:rsid w:val="F5E38D88"/>
    <w:rsid w:val="F5E7E93C"/>
    <w:rsid w:val="F5EB03F1"/>
    <w:rsid w:val="F5EB0E28"/>
    <w:rsid w:val="F5EEC27A"/>
    <w:rsid w:val="F5EF69D0"/>
    <w:rsid w:val="F5F5CA0C"/>
    <w:rsid w:val="F5F948B6"/>
    <w:rsid w:val="F5FB034A"/>
    <w:rsid w:val="F5FB8552"/>
    <w:rsid w:val="F5FEE626"/>
    <w:rsid w:val="F5FFB775"/>
    <w:rsid w:val="F659FFA5"/>
    <w:rsid w:val="F65F01AB"/>
    <w:rsid w:val="F67D8C6B"/>
    <w:rsid w:val="F67EDAB6"/>
    <w:rsid w:val="F694008F"/>
    <w:rsid w:val="F696BDDF"/>
    <w:rsid w:val="F6BC0EE0"/>
    <w:rsid w:val="F6BFE770"/>
    <w:rsid w:val="F6CF6D28"/>
    <w:rsid w:val="F6CFF706"/>
    <w:rsid w:val="F6DE0348"/>
    <w:rsid w:val="F6E27B48"/>
    <w:rsid w:val="F6E97DB8"/>
    <w:rsid w:val="F6EB9582"/>
    <w:rsid w:val="F6EBEF60"/>
    <w:rsid w:val="F6EF5BFB"/>
    <w:rsid w:val="F6F375BD"/>
    <w:rsid w:val="F6F3BBA7"/>
    <w:rsid w:val="F6F9E451"/>
    <w:rsid w:val="F6FC6CE4"/>
    <w:rsid w:val="F6FFE955"/>
    <w:rsid w:val="F721BB13"/>
    <w:rsid w:val="F72559CA"/>
    <w:rsid w:val="F72F7D30"/>
    <w:rsid w:val="F73550C9"/>
    <w:rsid w:val="F739E75D"/>
    <w:rsid w:val="F73CA25A"/>
    <w:rsid w:val="F73F1D98"/>
    <w:rsid w:val="F73F7029"/>
    <w:rsid w:val="F755A15C"/>
    <w:rsid w:val="F757340F"/>
    <w:rsid w:val="F7595FA6"/>
    <w:rsid w:val="F75B6D70"/>
    <w:rsid w:val="F75D3F7E"/>
    <w:rsid w:val="F75DC377"/>
    <w:rsid w:val="F75F9CEE"/>
    <w:rsid w:val="F76A78A6"/>
    <w:rsid w:val="F76BDDF3"/>
    <w:rsid w:val="F76D6409"/>
    <w:rsid w:val="F76F98FC"/>
    <w:rsid w:val="F76FA53F"/>
    <w:rsid w:val="F76FD604"/>
    <w:rsid w:val="F775B352"/>
    <w:rsid w:val="F779F31F"/>
    <w:rsid w:val="F779FC9E"/>
    <w:rsid w:val="F77A2D62"/>
    <w:rsid w:val="F77F21CC"/>
    <w:rsid w:val="F77F4D87"/>
    <w:rsid w:val="F77FDB61"/>
    <w:rsid w:val="F79F016E"/>
    <w:rsid w:val="F7A75E8E"/>
    <w:rsid w:val="F7AD3BB9"/>
    <w:rsid w:val="F7ADAF8A"/>
    <w:rsid w:val="F7AF55CF"/>
    <w:rsid w:val="F7B3CB50"/>
    <w:rsid w:val="F7B5FECB"/>
    <w:rsid w:val="F7B7860C"/>
    <w:rsid w:val="F7B8C4F9"/>
    <w:rsid w:val="F7BBEBDC"/>
    <w:rsid w:val="F7BD2855"/>
    <w:rsid w:val="F7BDA6FE"/>
    <w:rsid w:val="F7BF37E2"/>
    <w:rsid w:val="F7CDD0D2"/>
    <w:rsid w:val="F7D79E07"/>
    <w:rsid w:val="F7DD00F0"/>
    <w:rsid w:val="F7DDA7E0"/>
    <w:rsid w:val="F7DDC196"/>
    <w:rsid w:val="F7DEA9BD"/>
    <w:rsid w:val="F7DF357A"/>
    <w:rsid w:val="F7DF7703"/>
    <w:rsid w:val="F7E9DEBA"/>
    <w:rsid w:val="F7EEE66C"/>
    <w:rsid w:val="F7EFFE7D"/>
    <w:rsid w:val="F7F192FC"/>
    <w:rsid w:val="F7F32CCB"/>
    <w:rsid w:val="F7F34219"/>
    <w:rsid w:val="F7F7EACE"/>
    <w:rsid w:val="F7FA812A"/>
    <w:rsid w:val="F7FB4BA3"/>
    <w:rsid w:val="F7FC4DEC"/>
    <w:rsid w:val="F7FD99AB"/>
    <w:rsid w:val="F7FDEC17"/>
    <w:rsid w:val="F7FE11B8"/>
    <w:rsid w:val="F7FE4E29"/>
    <w:rsid w:val="F7FEEFF4"/>
    <w:rsid w:val="F7FF0A84"/>
    <w:rsid w:val="F7FF592A"/>
    <w:rsid w:val="F7FF5D9B"/>
    <w:rsid w:val="F7FF775E"/>
    <w:rsid w:val="F7FFEBAD"/>
    <w:rsid w:val="F7FFF685"/>
    <w:rsid w:val="F87BFF15"/>
    <w:rsid w:val="F87E0E99"/>
    <w:rsid w:val="F8828D9B"/>
    <w:rsid w:val="F8BBE0B5"/>
    <w:rsid w:val="F8F70281"/>
    <w:rsid w:val="F8F792E0"/>
    <w:rsid w:val="F8FB43BC"/>
    <w:rsid w:val="F8FF950A"/>
    <w:rsid w:val="F8FFBCEB"/>
    <w:rsid w:val="F8FFF7E5"/>
    <w:rsid w:val="F92FB623"/>
    <w:rsid w:val="F94FA4AB"/>
    <w:rsid w:val="F973C8FE"/>
    <w:rsid w:val="F97A6304"/>
    <w:rsid w:val="F97B17A7"/>
    <w:rsid w:val="F99EB409"/>
    <w:rsid w:val="F9A832FA"/>
    <w:rsid w:val="F9B39373"/>
    <w:rsid w:val="F9BC6619"/>
    <w:rsid w:val="F9D665EE"/>
    <w:rsid w:val="F9DE9933"/>
    <w:rsid w:val="F9DF2339"/>
    <w:rsid w:val="F9EBAE04"/>
    <w:rsid w:val="F9EE87F1"/>
    <w:rsid w:val="F9EEE499"/>
    <w:rsid w:val="F9FBE6B1"/>
    <w:rsid w:val="F9FCBA95"/>
    <w:rsid w:val="F9FEE992"/>
    <w:rsid w:val="F9FF637D"/>
    <w:rsid w:val="F9FF7994"/>
    <w:rsid w:val="F9FFA6B2"/>
    <w:rsid w:val="F9FFD5E9"/>
    <w:rsid w:val="FA5F0480"/>
    <w:rsid w:val="FA671845"/>
    <w:rsid w:val="FA79CBF3"/>
    <w:rsid w:val="FABB6B18"/>
    <w:rsid w:val="FABD52A3"/>
    <w:rsid w:val="FABFDF05"/>
    <w:rsid w:val="FADE495E"/>
    <w:rsid w:val="FADFBD0E"/>
    <w:rsid w:val="FADFF173"/>
    <w:rsid w:val="FAE11E62"/>
    <w:rsid w:val="FAE64757"/>
    <w:rsid w:val="FAE9BB93"/>
    <w:rsid w:val="FAEAE6F4"/>
    <w:rsid w:val="FAF7F702"/>
    <w:rsid w:val="FAFC613B"/>
    <w:rsid w:val="FAFD41BD"/>
    <w:rsid w:val="FAFE154E"/>
    <w:rsid w:val="FAFEC97F"/>
    <w:rsid w:val="FAFF27BD"/>
    <w:rsid w:val="FAFF4FE3"/>
    <w:rsid w:val="FB0EDDB5"/>
    <w:rsid w:val="FB37A002"/>
    <w:rsid w:val="FB3EDB51"/>
    <w:rsid w:val="FB3F496D"/>
    <w:rsid w:val="FB56246A"/>
    <w:rsid w:val="FB562937"/>
    <w:rsid w:val="FB5B36CD"/>
    <w:rsid w:val="FB5D5295"/>
    <w:rsid w:val="FB5E11F8"/>
    <w:rsid w:val="FB5E5ED5"/>
    <w:rsid w:val="FB5F3939"/>
    <w:rsid w:val="FB5F8520"/>
    <w:rsid w:val="FB66B6BC"/>
    <w:rsid w:val="FB79C85F"/>
    <w:rsid w:val="FB7AD835"/>
    <w:rsid w:val="FB7F0ABC"/>
    <w:rsid w:val="FB7F5DD6"/>
    <w:rsid w:val="FB7F652A"/>
    <w:rsid w:val="FB7F870E"/>
    <w:rsid w:val="FB951F01"/>
    <w:rsid w:val="FBA7EC19"/>
    <w:rsid w:val="FBAD4609"/>
    <w:rsid w:val="FBAF1FD1"/>
    <w:rsid w:val="FBAF52D4"/>
    <w:rsid w:val="FBAF52E4"/>
    <w:rsid w:val="FBAFECC6"/>
    <w:rsid w:val="FBB5EB38"/>
    <w:rsid w:val="FBB7A04C"/>
    <w:rsid w:val="FBBF2AF7"/>
    <w:rsid w:val="FBBF51B6"/>
    <w:rsid w:val="FBD38076"/>
    <w:rsid w:val="FBD54724"/>
    <w:rsid w:val="FBD7D242"/>
    <w:rsid w:val="FBDB8B69"/>
    <w:rsid w:val="FBDFB951"/>
    <w:rsid w:val="FBE32F49"/>
    <w:rsid w:val="FBE62A81"/>
    <w:rsid w:val="FBEDCBE6"/>
    <w:rsid w:val="FBEE4404"/>
    <w:rsid w:val="FBEF4AA9"/>
    <w:rsid w:val="FBEF56C9"/>
    <w:rsid w:val="FBEFABE6"/>
    <w:rsid w:val="FBEFB1EF"/>
    <w:rsid w:val="FBF260FA"/>
    <w:rsid w:val="FBF290BA"/>
    <w:rsid w:val="FBF34DCF"/>
    <w:rsid w:val="FBF6D536"/>
    <w:rsid w:val="FBF75C32"/>
    <w:rsid w:val="FBF7CD8C"/>
    <w:rsid w:val="FBF9190D"/>
    <w:rsid w:val="FBF9DD62"/>
    <w:rsid w:val="FBF9E57A"/>
    <w:rsid w:val="FBFB4DE3"/>
    <w:rsid w:val="FBFC22FC"/>
    <w:rsid w:val="FBFD0EF4"/>
    <w:rsid w:val="FBFE081A"/>
    <w:rsid w:val="FBFE52DA"/>
    <w:rsid w:val="FBFE9489"/>
    <w:rsid w:val="FBFEB932"/>
    <w:rsid w:val="FBFF10B9"/>
    <w:rsid w:val="FBFF17E5"/>
    <w:rsid w:val="FBFF1EF3"/>
    <w:rsid w:val="FBFF24B9"/>
    <w:rsid w:val="FBFF5370"/>
    <w:rsid w:val="FBFF945E"/>
    <w:rsid w:val="FBFFCFC9"/>
    <w:rsid w:val="FC5F032E"/>
    <w:rsid w:val="FC6E6283"/>
    <w:rsid w:val="FC7747CB"/>
    <w:rsid w:val="FC7BC053"/>
    <w:rsid w:val="FC7D5569"/>
    <w:rsid w:val="FC7E0B5C"/>
    <w:rsid w:val="FC7F3BC4"/>
    <w:rsid w:val="FC7FB730"/>
    <w:rsid w:val="FC8F5739"/>
    <w:rsid w:val="FC9FD6B2"/>
    <w:rsid w:val="FCB6AD8F"/>
    <w:rsid w:val="FCBFC082"/>
    <w:rsid w:val="FCC6A7CD"/>
    <w:rsid w:val="FCCC2984"/>
    <w:rsid w:val="FCE5BE1F"/>
    <w:rsid w:val="FCEF435D"/>
    <w:rsid w:val="FCEFE24A"/>
    <w:rsid w:val="FCF1DEBA"/>
    <w:rsid w:val="FCF3199A"/>
    <w:rsid w:val="FCF7149B"/>
    <w:rsid w:val="FCFA9D44"/>
    <w:rsid w:val="FCFECE0D"/>
    <w:rsid w:val="FCFF05C1"/>
    <w:rsid w:val="FCFF9BD5"/>
    <w:rsid w:val="FCFFAC06"/>
    <w:rsid w:val="FD3722FC"/>
    <w:rsid w:val="FD374CDF"/>
    <w:rsid w:val="FD37E26E"/>
    <w:rsid w:val="FD37F091"/>
    <w:rsid w:val="FD3D0E73"/>
    <w:rsid w:val="FD3E638D"/>
    <w:rsid w:val="FD3E7485"/>
    <w:rsid w:val="FD458315"/>
    <w:rsid w:val="FD4DACA2"/>
    <w:rsid w:val="FD5D9EB9"/>
    <w:rsid w:val="FD5F6177"/>
    <w:rsid w:val="FD651874"/>
    <w:rsid w:val="FD6749DE"/>
    <w:rsid w:val="FD67AE51"/>
    <w:rsid w:val="FD6D4D74"/>
    <w:rsid w:val="FD6E643D"/>
    <w:rsid w:val="FD6F7AB7"/>
    <w:rsid w:val="FD73A3DC"/>
    <w:rsid w:val="FD7AFF16"/>
    <w:rsid w:val="FD7BE909"/>
    <w:rsid w:val="FD7D2198"/>
    <w:rsid w:val="FD7F07FE"/>
    <w:rsid w:val="FD7FA399"/>
    <w:rsid w:val="FD7FF8D1"/>
    <w:rsid w:val="FD980BBE"/>
    <w:rsid w:val="FD9F98D8"/>
    <w:rsid w:val="FDA35F2E"/>
    <w:rsid w:val="FDBDCC19"/>
    <w:rsid w:val="FDBEC1F8"/>
    <w:rsid w:val="FDBF38F3"/>
    <w:rsid w:val="FDBF54C7"/>
    <w:rsid w:val="FDC98E2E"/>
    <w:rsid w:val="FDD5E44E"/>
    <w:rsid w:val="FDD7A2B8"/>
    <w:rsid w:val="FDDA5D7E"/>
    <w:rsid w:val="FDDDDFDE"/>
    <w:rsid w:val="FDDDEF04"/>
    <w:rsid w:val="FDDF74CA"/>
    <w:rsid w:val="FDE4F706"/>
    <w:rsid w:val="FDE53629"/>
    <w:rsid w:val="FDEB066F"/>
    <w:rsid w:val="FDEF0CA7"/>
    <w:rsid w:val="FDEF37BA"/>
    <w:rsid w:val="FDEF7061"/>
    <w:rsid w:val="FDEF87BC"/>
    <w:rsid w:val="FDF3AD60"/>
    <w:rsid w:val="FDF73459"/>
    <w:rsid w:val="FDF7ADA8"/>
    <w:rsid w:val="FDF942D0"/>
    <w:rsid w:val="FDF98BDA"/>
    <w:rsid w:val="FDF9A2CB"/>
    <w:rsid w:val="FDF9F429"/>
    <w:rsid w:val="FDFA0509"/>
    <w:rsid w:val="FDFA2FCF"/>
    <w:rsid w:val="FDFAD313"/>
    <w:rsid w:val="FDFB3044"/>
    <w:rsid w:val="FDFBBAF4"/>
    <w:rsid w:val="FDFC4B69"/>
    <w:rsid w:val="FDFCADCA"/>
    <w:rsid w:val="FDFD1912"/>
    <w:rsid w:val="FDFD66E5"/>
    <w:rsid w:val="FDFD971D"/>
    <w:rsid w:val="FDFE185D"/>
    <w:rsid w:val="FDFE2351"/>
    <w:rsid w:val="FDFE74CA"/>
    <w:rsid w:val="FDFF59D2"/>
    <w:rsid w:val="FDFFAABF"/>
    <w:rsid w:val="FDFFC291"/>
    <w:rsid w:val="FDFFC8A9"/>
    <w:rsid w:val="FDFFCC07"/>
    <w:rsid w:val="FDFFE61B"/>
    <w:rsid w:val="FE199AE2"/>
    <w:rsid w:val="FE2744CB"/>
    <w:rsid w:val="FE3DA8DF"/>
    <w:rsid w:val="FE3F7829"/>
    <w:rsid w:val="FE550DEA"/>
    <w:rsid w:val="FE59D855"/>
    <w:rsid w:val="FE5DD2E4"/>
    <w:rsid w:val="FE5DED2C"/>
    <w:rsid w:val="FE5F5E79"/>
    <w:rsid w:val="FE64F5AB"/>
    <w:rsid w:val="FE6F1302"/>
    <w:rsid w:val="FE6F4479"/>
    <w:rsid w:val="FE776666"/>
    <w:rsid w:val="FE7B68E6"/>
    <w:rsid w:val="FE7D7B01"/>
    <w:rsid w:val="FE7DA149"/>
    <w:rsid w:val="FE7EDD41"/>
    <w:rsid w:val="FE7F3FB5"/>
    <w:rsid w:val="FE7F9498"/>
    <w:rsid w:val="FE7FAA33"/>
    <w:rsid w:val="FE954384"/>
    <w:rsid w:val="FE9E8FDF"/>
    <w:rsid w:val="FE9F7F65"/>
    <w:rsid w:val="FE9F808E"/>
    <w:rsid w:val="FEAF8328"/>
    <w:rsid w:val="FEBF3692"/>
    <w:rsid w:val="FEBF6FBB"/>
    <w:rsid w:val="FEBF87D8"/>
    <w:rsid w:val="FEBFB14B"/>
    <w:rsid w:val="FECF19FC"/>
    <w:rsid w:val="FED685C3"/>
    <w:rsid w:val="FEDABB1F"/>
    <w:rsid w:val="FEDDF8BE"/>
    <w:rsid w:val="FEE7291B"/>
    <w:rsid w:val="FEE7AF29"/>
    <w:rsid w:val="FEE7C8D8"/>
    <w:rsid w:val="FEEB145B"/>
    <w:rsid w:val="FEEB2A5C"/>
    <w:rsid w:val="FEEB55A2"/>
    <w:rsid w:val="FEEF3CC2"/>
    <w:rsid w:val="FEEF9A7A"/>
    <w:rsid w:val="FEF16536"/>
    <w:rsid w:val="FEF32B61"/>
    <w:rsid w:val="FEF6BDA2"/>
    <w:rsid w:val="FEFE8294"/>
    <w:rsid w:val="FEFEB50F"/>
    <w:rsid w:val="FEFF1C56"/>
    <w:rsid w:val="FEFF2DB8"/>
    <w:rsid w:val="FEFF336C"/>
    <w:rsid w:val="FEFF4584"/>
    <w:rsid w:val="FEFF5D85"/>
    <w:rsid w:val="FEFF7B77"/>
    <w:rsid w:val="FEFF7E41"/>
    <w:rsid w:val="FEFF9918"/>
    <w:rsid w:val="FEFF9A5A"/>
    <w:rsid w:val="FEFF9B19"/>
    <w:rsid w:val="FEFFBF6A"/>
    <w:rsid w:val="FEFFF0EB"/>
    <w:rsid w:val="FF1C1AD6"/>
    <w:rsid w:val="FF2CE3E3"/>
    <w:rsid w:val="FF2DA9A6"/>
    <w:rsid w:val="FF3B398F"/>
    <w:rsid w:val="FF3D4481"/>
    <w:rsid w:val="FF3E500E"/>
    <w:rsid w:val="FF3E680A"/>
    <w:rsid w:val="FF3F6870"/>
    <w:rsid w:val="FF3F88FD"/>
    <w:rsid w:val="FF3F952D"/>
    <w:rsid w:val="FF3FDC6A"/>
    <w:rsid w:val="FF4F0501"/>
    <w:rsid w:val="FF56C9F8"/>
    <w:rsid w:val="FF57C7C7"/>
    <w:rsid w:val="FF5B15C0"/>
    <w:rsid w:val="FF5B72BD"/>
    <w:rsid w:val="FF5B9DBC"/>
    <w:rsid w:val="FF5F0765"/>
    <w:rsid w:val="FF5F91E7"/>
    <w:rsid w:val="FF5FE0E1"/>
    <w:rsid w:val="FF6481E1"/>
    <w:rsid w:val="FF671435"/>
    <w:rsid w:val="FF67E798"/>
    <w:rsid w:val="FF692B21"/>
    <w:rsid w:val="FF696D7B"/>
    <w:rsid w:val="FF6AB21A"/>
    <w:rsid w:val="FF6CE2C7"/>
    <w:rsid w:val="FF6D573B"/>
    <w:rsid w:val="FF6EAD52"/>
    <w:rsid w:val="FF6F509A"/>
    <w:rsid w:val="FF6F74B3"/>
    <w:rsid w:val="FF6F7B19"/>
    <w:rsid w:val="FF751BC8"/>
    <w:rsid w:val="FF76966C"/>
    <w:rsid w:val="FF78BE7E"/>
    <w:rsid w:val="FF7A43BB"/>
    <w:rsid w:val="FF7B3FFF"/>
    <w:rsid w:val="FF7B8808"/>
    <w:rsid w:val="FF7BA39D"/>
    <w:rsid w:val="FF7CB4D3"/>
    <w:rsid w:val="FF7D0BA6"/>
    <w:rsid w:val="FF7E264A"/>
    <w:rsid w:val="FF7E7A89"/>
    <w:rsid w:val="FF7E855C"/>
    <w:rsid w:val="FF7E95A2"/>
    <w:rsid w:val="FF7EA1C5"/>
    <w:rsid w:val="FF7F4844"/>
    <w:rsid w:val="FF7F95FF"/>
    <w:rsid w:val="FF7F9D05"/>
    <w:rsid w:val="FF7FC548"/>
    <w:rsid w:val="FF7FD7E7"/>
    <w:rsid w:val="FF7FFEFA"/>
    <w:rsid w:val="FF8D8293"/>
    <w:rsid w:val="FF8DB9AF"/>
    <w:rsid w:val="FF8F5AB4"/>
    <w:rsid w:val="FF98C9DF"/>
    <w:rsid w:val="FF9F7554"/>
    <w:rsid w:val="FFA7152A"/>
    <w:rsid w:val="FFAB3989"/>
    <w:rsid w:val="FFAB5C29"/>
    <w:rsid w:val="FFABC861"/>
    <w:rsid w:val="FFAF97CF"/>
    <w:rsid w:val="FFAFA0A1"/>
    <w:rsid w:val="FFB0BAEC"/>
    <w:rsid w:val="FFB5C899"/>
    <w:rsid w:val="FFB6A8F2"/>
    <w:rsid w:val="FFB71392"/>
    <w:rsid w:val="FFB780B7"/>
    <w:rsid w:val="FFB7877B"/>
    <w:rsid w:val="FFB88B0C"/>
    <w:rsid w:val="FFB99453"/>
    <w:rsid w:val="FFB9DF4F"/>
    <w:rsid w:val="FFB9F8C7"/>
    <w:rsid w:val="FFBA9CCF"/>
    <w:rsid w:val="FFBB08A9"/>
    <w:rsid w:val="FFBB616A"/>
    <w:rsid w:val="FFBB898A"/>
    <w:rsid w:val="FFBBA585"/>
    <w:rsid w:val="FFBC70E1"/>
    <w:rsid w:val="FFBD0B92"/>
    <w:rsid w:val="FFBD891C"/>
    <w:rsid w:val="FFBE094E"/>
    <w:rsid w:val="FFBE09CE"/>
    <w:rsid w:val="FFBE304E"/>
    <w:rsid w:val="FFBE9CAA"/>
    <w:rsid w:val="FFBECB5B"/>
    <w:rsid w:val="FFBF0407"/>
    <w:rsid w:val="FFBF1B6A"/>
    <w:rsid w:val="FFBF48A7"/>
    <w:rsid w:val="FFBF9834"/>
    <w:rsid w:val="FFBFB342"/>
    <w:rsid w:val="FFBFD284"/>
    <w:rsid w:val="FFBFF891"/>
    <w:rsid w:val="FFC61425"/>
    <w:rsid w:val="FFC7DA29"/>
    <w:rsid w:val="FFC7FF38"/>
    <w:rsid w:val="FFCD5932"/>
    <w:rsid w:val="FFCE6100"/>
    <w:rsid w:val="FFCF7064"/>
    <w:rsid w:val="FFCF9443"/>
    <w:rsid w:val="FFCFD9BF"/>
    <w:rsid w:val="FFCFF030"/>
    <w:rsid w:val="FFD2D2C6"/>
    <w:rsid w:val="FFD4A91A"/>
    <w:rsid w:val="FFD7022D"/>
    <w:rsid w:val="FFD7B0C2"/>
    <w:rsid w:val="FFD7DE79"/>
    <w:rsid w:val="FFD83BC3"/>
    <w:rsid w:val="FFDA6EFD"/>
    <w:rsid w:val="FFDA9EBE"/>
    <w:rsid w:val="FFDF06AB"/>
    <w:rsid w:val="FFDF1F02"/>
    <w:rsid w:val="FFDF48AA"/>
    <w:rsid w:val="FFDF64EF"/>
    <w:rsid w:val="FFDFB22D"/>
    <w:rsid w:val="FFDFCA6C"/>
    <w:rsid w:val="FFDFFD17"/>
    <w:rsid w:val="FFEB0396"/>
    <w:rsid w:val="FFEB9D76"/>
    <w:rsid w:val="FFEBB76E"/>
    <w:rsid w:val="FFED559D"/>
    <w:rsid w:val="FFEDB795"/>
    <w:rsid w:val="FFEDFA1D"/>
    <w:rsid w:val="FFEE0F6D"/>
    <w:rsid w:val="FFEE0FDA"/>
    <w:rsid w:val="FFEF3803"/>
    <w:rsid w:val="FFEF559E"/>
    <w:rsid w:val="FFEF6698"/>
    <w:rsid w:val="FFEF6F4B"/>
    <w:rsid w:val="FFEFC10F"/>
    <w:rsid w:val="FFEFE73B"/>
    <w:rsid w:val="FFEFF86A"/>
    <w:rsid w:val="FFF14206"/>
    <w:rsid w:val="FFF26A60"/>
    <w:rsid w:val="FFF320FC"/>
    <w:rsid w:val="FFF32E9B"/>
    <w:rsid w:val="FFF34DDF"/>
    <w:rsid w:val="FFF3C8EF"/>
    <w:rsid w:val="FFF3E8A5"/>
    <w:rsid w:val="FFF3F32C"/>
    <w:rsid w:val="FFF57FF1"/>
    <w:rsid w:val="FFF61FA6"/>
    <w:rsid w:val="FFF69935"/>
    <w:rsid w:val="FFF6B8E1"/>
    <w:rsid w:val="FFF70AEE"/>
    <w:rsid w:val="FFF72A8D"/>
    <w:rsid w:val="FFF74C6A"/>
    <w:rsid w:val="FFF76BF9"/>
    <w:rsid w:val="FFF76D8E"/>
    <w:rsid w:val="FFF79AB4"/>
    <w:rsid w:val="FFF7A85E"/>
    <w:rsid w:val="FFF7AEEB"/>
    <w:rsid w:val="FFF7B766"/>
    <w:rsid w:val="FFF7D355"/>
    <w:rsid w:val="FFF7F94A"/>
    <w:rsid w:val="FFF875F6"/>
    <w:rsid w:val="FFF9D721"/>
    <w:rsid w:val="FFFAF080"/>
    <w:rsid w:val="FFFB252C"/>
    <w:rsid w:val="FFFB37F6"/>
    <w:rsid w:val="FFFB3F8B"/>
    <w:rsid w:val="FFFB42AE"/>
    <w:rsid w:val="FFFB6374"/>
    <w:rsid w:val="FFFB6E5C"/>
    <w:rsid w:val="FFFB91AC"/>
    <w:rsid w:val="FFFB9646"/>
    <w:rsid w:val="FFFBC22C"/>
    <w:rsid w:val="FFFC3DF9"/>
    <w:rsid w:val="FFFCC834"/>
    <w:rsid w:val="FFFCE016"/>
    <w:rsid w:val="FFFD45C5"/>
    <w:rsid w:val="FFFD6884"/>
    <w:rsid w:val="FFFDB0FD"/>
    <w:rsid w:val="FFFDC6B2"/>
    <w:rsid w:val="FFFDC82B"/>
    <w:rsid w:val="FFFDCA42"/>
    <w:rsid w:val="FFFDEB96"/>
    <w:rsid w:val="FFFDEE5F"/>
    <w:rsid w:val="FFFDEEB8"/>
    <w:rsid w:val="FFFE1CFC"/>
    <w:rsid w:val="FFFE522E"/>
    <w:rsid w:val="FFFE915B"/>
    <w:rsid w:val="FFFEC151"/>
    <w:rsid w:val="FFFF0671"/>
    <w:rsid w:val="FFFF0BF8"/>
    <w:rsid w:val="FFFF0FB6"/>
    <w:rsid w:val="FFFF104E"/>
    <w:rsid w:val="FFFF2FB7"/>
    <w:rsid w:val="FFFF3B9D"/>
    <w:rsid w:val="FFFF4C18"/>
    <w:rsid w:val="FFFF57C7"/>
    <w:rsid w:val="FFFF59F0"/>
    <w:rsid w:val="FFFF5B91"/>
    <w:rsid w:val="FFFF7847"/>
    <w:rsid w:val="FFFF7A89"/>
    <w:rsid w:val="FFFF7F29"/>
    <w:rsid w:val="FFFF84B2"/>
    <w:rsid w:val="FFFF96D2"/>
    <w:rsid w:val="FFFFB6FA"/>
    <w:rsid w:val="FFFFCC48"/>
    <w:rsid w:val="FFFFE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nhideWhenUsed="0" w:uiPriority="0" w:semiHidden="0" w:name="List 2"/>
    <w:lsdException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outlineLvl w:val="0"/>
    </w:pPr>
    <w:rPr>
      <w:rFonts w:ascii="Arial" w:hAnsi="Arial"/>
      <w:b/>
      <w:bCs/>
      <w:kern w:val="32"/>
      <w:sz w:val="32"/>
      <w:szCs w:val="32"/>
    </w:rPr>
  </w:style>
  <w:style w:type="paragraph" w:styleId="3">
    <w:name w:val="heading 2"/>
    <w:basedOn w:val="2"/>
    <w:next w:val="1"/>
    <w:link w:val="29"/>
    <w:qFormat/>
    <w:uiPriority w:val="9"/>
    <w:pPr>
      <w:keepNext/>
      <w:numPr>
        <w:ilvl w:val="1"/>
      </w:numPr>
      <w:tabs>
        <w:tab w:val="clear" w:pos="432"/>
      </w:tabs>
      <w:spacing w:before="240" w:after="50"/>
      <w:outlineLvl w:val="1"/>
    </w:pPr>
    <w:rPr>
      <w:b w:val="0"/>
      <w:bCs w:val="0"/>
      <w:iCs/>
      <w:sz w:val="24"/>
      <w:szCs w:val="28"/>
    </w:rPr>
  </w:style>
  <w:style w:type="paragraph" w:styleId="4">
    <w:name w:val="heading 3"/>
    <w:basedOn w:val="1"/>
    <w:next w:val="1"/>
    <w:link w:val="30"/>
    <w:qFormat/>
    <w:uiPriority w:val="0"/>
    <w:pPr>
      <w:keepNext/>
      <w:numPr>
        <w:ilvl w:val="2"/>
        <w:numId w:val="1"/>
      </w:numPr>
      <w:tabs>
        <w:tab w:val="left" w:pos="720"/>
      </w:tabs>
      <w:spacing w:before="240" w:after="60"/>
      <w:outlineLvl w:val="2"/>
    </w:pPr>
    <w:rPr>
      <w:rFonts w:ascii="Arial" w:hAnsi="Arial"/>
      <w:b/>
      <w:bCs/>
      <w:szCs w:val="26"/>
    </w:rPr>
  </w:style>
  <w:style w:type="paragraph" w:styleId="5">
    <w:name w:val="heading 4"/>
    <w:basedOn w:val="4"/>
    <w:next w:val="1"/>
    <w:link w:val="31"/>
    <w:qFormat/>
    <w:uiPriority w:val="9"/>
    <w:pPr>
      <w:numPr>
        <w:ilvl w:val="3"/>
      </w:numPr>
      <w:tabs>
        <w:tab w:val="clear" w:pos="0"/>
      </w:tabs>
      <w:outlineLvl w:val="3"/>
    </w:pPr>
    <w:rPr>
      <w:i/>
    </w:rPr>
  </w:style>
  <w:style w:type="paragraph" w:styleId="6">
    <w:name w:val="heading 5"/>
    <w:basedOn w:val="5"/>
    <w:next w:val="1"/>
    <w:link w:val="32"/>
    <w:qFormat/>
    <w:uiPriority w:val="9"/>
    <w:pPr>
      <w:numPr>
        <w:ilvl w:val="4"/>
      </w:numPr>
      <w:ind w:left="864" w:hanging="864"/>
      <w:outlineLvl w:val="4"/>
    </w:pPr>
    <w:rPr>
      <w:bCs w:val="0"/>
      <w:i w:val="0"/>
      <w:iCs/>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qFormat/>
    <w:uiPriority w:val="0"/>
    <w:pPr>
      <w:tabs>
        <w:tab w:val="left" w:pos="1440"/>
      </w:tabs>
      <w:spacing w:after="120"/>
    </w:pPr>
    <w:rPr>
      <w:lang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8"/>
    <w:semiHidden/>
    <w:unhideWhenUsed/>
    <w:uiPriority w:val="99"/>
    <w:pPr>
      <w:jc w:val="left"/>
    </w:pPr>
  </w:style>
  <w:style w:type="paragraph" w:styleId="17">
    <w:name w:val="annotation subject"/>
    <w:basedOn w:val="16"/>
    <w:next w:val="16"/>
    <w:link w:val="59"/>
    <w:semiHidden/>
    <w:unhideWhenUsed/>
    <w:uiPriority w:val="99"/>
    <w:pPr>
      <w:jc w:val="both"/>
    </w:pPr>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8"/>
    <w:unhideWhenUsed/>
    <w:uiPriority w:val="99"/>
    <w:pPr>
      <w:tabs>
        <w:tab w:val="center" w:pos="4680"/>
        <w:tab w:val="right" w:pos="9360"/>
      </w:tabs>
    </w:pPr>
  </w:style>
  <w:style w:type="paragraph" w:styleId="21">
    <w:name w:val="header"/>
    <w:basedOn w:val="1"/>
    <w:link w:val="39"/>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List 2"/>
    <w:basedOn w:val="1"/>
    <w:uiPriority w:val="0"/>
    <w:pPr>
      <w:ind w:left="851"/>
    </w:pPr>
  </w:style>
  <w:style w:type="paragraph" w:styleId="25">
    <w:name w:val="List 3"/>
    <w:basedOn w:val="24"/>
    <w:uiPriority w:val="0"/>
    <w:pPr>
      <w:ind w:left="1135"/>
    </w:p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Arial" w:hAnsi="Arial"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0"/>
    <w:uiPriority w:val="99"/>
    <w:rPr>
      <w:rFonts w:ascii="Times" w:hAnsi="Times" w:eastAsia="Batang"/>
      <w:szCs w:val="24"/>
      <w:lang w:val="en-GB" w:eastAsia="en-US"/>
    </w:rPr>
  </w:style>
  <w:style w:type="character" w:customStyle="1" w:styleId="39">
    <w:name w:val="Header Char"/>
    <w:link w:val="21"/>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8"/>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3"/>
    <w:qFormat/>
    <w:uiPriority w:val="0"/>
    <w:pPr>
      <w:spacing w:after="180"/>
      <w:ind w:left="568" w:hanging="284"/>
    </w:pPr>
    <w:rPr>
      <w:rFonts w:eastAsia="宋体"/>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24"/>
    <w:qFormat/>
    <w:uiPriority w:val="0"/>
    <w:pPr>
      <w:ind w:hanging="284"/>
    </w:pPr>
  </w:style>
  <w:style w:type="paragraph" w:customStyle="1" w:styleId="51">
    <w:name w:val="B3"/>
    <w:basedOn w:val="25"/>
    <w:qFormat/>
    <w:uiPriority w:val="0"/>
    <w:pPr>
      <w:ind w:hanging="284"/>
    </w:pPr>
  </w:style>
  <w:style w:type="paragraph" w:customStyle="1" w:styleId="5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uiPriority w:val="0"/>
    <w:pPr>
      <w:keepNext/>
      <w:keepLines/>
      <w:spacing w:after="0"/>
    </w:pPr>
    <w:rPr>
      <w:rFonts w:ascii="Arial" w:hAnsi="Arial"/>
      <w:sz w:val="18"/>
    </w:rPr>
  </w:style>
  <w:style w:type="paragraph" w:styleId="56">
    <w:name w:val="List Paragraph"/>
    <w:basedOn w:val="1"/>
    <w:qFormat/>
    <w:uiPriority w:val="34"/>
    <w:pPr>
      <w:tabs>
        <w:tab w:val="left" w:pos="1440"/>
      </w:tabs>
      <w:ind w:left="840" w:leftChars="400"/>
    </w:pPr>
    <w:rPr>
      <w:lang w:eastAsia="zh-CN"/>
    </w:rPr>
  </w:style>
  <w:style w:type="paragraph" w:customStyle="1" w:styleId="57">
    <w:name w:val="목록 단락1"/>
    <w:basedOn w:val="1"/>
    <w:qFormat/>
    <w:uiPriority w:val="34"/>
    <w:pPr>
      <w:spacing w:after="180" w:line="276" w:lineRule="auto"/>
      <w:ind w:left="800" w:leftChars="400"/>
    </w:pPr>
    <w:rPr>
      <w:rFonts w:eastAsia="Malgun Gothic"/>
    </w:rPr>
  </w:style>
  <w:style w:type="character" w:customStyle="1" w:styleId="58">
    <w:name w:val="Comment Text Char"/>
    <w:basedOn w:val="11"/>
    <w:link w:val="16"/>
    <w:semiHidden/>
    <w:uiPriority w:val="99"/>
    <w:rPr>
      <w:rFonts w:eastAsia="Batang"/>
      <w:lang w:val="en-GB" w:eastAsia="en-US"/>
    </w:rPr>
  </w:style>
  <w:style w:type="character" w:customStyle="1" w:styleId="59">
    <w:name w:val="Comment Subject Char"/>
    <w:basedOn w:val="58"/>
    <w:link w:val="17"/>
    <w:semiHidden/>
    <w:uiPriority w:val="99"/>
    <w:rPr>
      <w:rFonts w:eastAsia="Batang"/>
      <w:b/>
      <w:bCs/>
      <w:lang w:val="en-GB" w:eastAsia="en-US"/>
    </w:rPr>
  </w:style>
  <w:style w:type="paragraph" w:customStyle="1" w:styleId="60">
    <w:name w:val="Revision1"/>
    <w:hidden/>
    <w:unhideWhenUsed/>
    <w:uiPriority w:val="99"/>
    <w:rPr>
      <w:rFonts w:ascii="Times New Roman" w:hAnsi="Times New Roman" w:eastAsia="Batang" w:cs="Times New Roman"/>
      <w:lang w:val="en-GB" w:eastAsia="en-US" w:bidi="ar-SA"/>
    </w:rPr>
  </w:style>
  <w:style w:type="paragraph" w:customStyle="1" w:styleId="61">
    <w:name w:val="Revision2"/>
    <w:hidden/>
    <w:unhideWhenUsed/>
    <w:uiPriority w:val="99"/>
    <w:rPr>
      <w:rFonts w:ascii="Times New Roman" w:hAnsi="Times New Roman" w:eastAsia="Batang" w:cs="Times New Roman"/>
      <w:lang w:val="en-GB" w:eastAsia="en-US" w:bidi="ar-SA"/>
    </w:rPr>
  </w:style>
  <w:style w:type="paragraph" w:customStyle="1" w:styleId="62">
    <w:name w:val="Revision3"/>
    <w:hidden/>
    <w:unhideWhenUsed/>
    <w:uiPriority w:val="99"/>
    <w:rPr>
      <w:rFonts w:ascii="Times New Roman" w:hAnsi="Times New Roman" w:eastAsia="Batang" w:cs="Times New Roman"/>
      <w:lang w:val="en-GB" w:eastAsia="en-US" w:bidi="ar-SA"/>
    </w:rPr>
  </w:style>
  <w:style w:type="paragraph" w:customStyle="1" w:styleId="63">
    <w:name w:val="Revision4"/>
    <w:hidden/>
    <w:unhideWhenUsed/>
    <w:uiPriority w:val="99"/>
    <w:rPr>
      <w:rFonts w:ascii="Times New Roman" w:hAnsi="Times New Roman" w:eastAsia="Batang" w:cs="Times New Roman"/>
      <w:lang w:val="en-GB" w:eastAsia="en-US" w:bidi="ar-SA"/>
    </w:rPr>
  </w:style>
  <w:style w:type="paragraph" w:customStyle="1" w:styleId="64">
    <w:name w:val="Revision"/>
    <w:hidden/>
    <w:unhideWhenUsed/>
    <w:uiPriority w:val="99"/>
    <w:rPr>
      <w:rFonts w:ascii="Times New Roman" w:hAnsi="Times New Roman" w:eastAsia="Batang" w:cs="Times New Roman"/>
      <w:lang w:val="en-GB" w:eastAsia="en-US" w:bidi="ar-SA"/>
    </w:rPr>
  </w:style>
  <w:style w:type="paragraph" w:customStyle="1" w:styleId="65">
    <w:name w:val="EQ"/>
    <w:basedOn w:val="1"/>
    <w:next w:val="1"/>
    <w:qFormat/>
    <w:uiPriority w:val="0"/>
    <w:pPr>
      <w:keepLines/>
      <w:tabs>
        <w:tab w:val="center" w:pos="4536"/>
        <w:tab w:val="right" w:pos="9072"/>
      </w:tabs>
    </w:pPr>
  </w:style>
  <w:style w:type="paragraph" w:customStyle="1" w:styleId="66">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4863</Words>
  <Characters>27724</Characters>
  <Lines>231</Lines>
  <Paragraphs>65</Paragraphs>
  <TotalTime>0</TotalTime>
  <ScaleCrop>false</ScaleCrop>
  <LinksUpToDate>false</LinksUpToDate>
  <CharactersWithSpaces>32522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2025-03-30T11:52:00Z</dcterms:created>
  <dc:creator>김윤선/표준연구팀(SR)/Master/삼성전자</dc:creator>
  <cp:lastModifiedBy>Dan Wu</cp:lastModifiedBy>
  <dcterms:modified xsi:type="dcterms:W3CDTF">2025-05-09T17:53:48Z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1033-7.2.2.8955</vt:lpwstr>
  </property>
  <property fmtid="{D5CDD505-2E9C-101B-9397-08002B2CF9AE}" pid="4" name="ICV">
    <vt:lpwstr>8920196AB2E2D3E7EDD3A1674843D39C_43</vt:lpwstr>
  </property>
</Properties>
</file>