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D83" w:rsidRPr="00461FC0" w:rsidRDefault="009E6572" w:rsidP="00BA6D83">
      <w:pPr>
        <w:autoSpaceDE/>
        <w:autoSpaceDN/>
        <w:adjustRightInd/>
        <w:snapToGrid/>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hidden="1" allowOverlap="1" wp14:anchorId="3B369A2A" wp14:editId="38C51DE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76094B6"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63532">
        <w:rPr>
          <w:b/>
          <w:kern w:val="2"/>
          <w:lang w:eastAsia="zh-CN"/>
        </w:rPr>
        <w:t>3GPP TSG RAN WG1 Meeting #121</w:t>
      </w:r>
      <w:r>
        <w:rPr>
          <w:b/>
          <w:kern w:val="2"/>
          <w:lang w:eastAsia="zh-CN"/>
        </w:rPr>
        <w:t xml:space="preserve">                                      </w:t>
      </w:r>
      <w:r w:rsidR="00363532">
        <w:rPr>
          <w:b/>
          <w:kern w:val="2"/>
          <w:lang w:eastAsia="zh-CN"/>
        </w:rPr>
        <w:t xml:space="preserve">                               </w:t>
      </w:r>
      <w:r w:rsidR="00461FC0" w:rsidRPr="00461FC0">
        <w:rPr>
          <w:b/>
          <w:kern w:val="2"/>
          <w:lang w:eastAsia="zh-CN"/>
        </w:rPr>
        <w:t>R1-2503629</w:t>
      </w:r>
    </w:p>
    <w:p w:rsidR="009E6572" w:rsidRDefault="00875E1C" w:rsidP="0060415F">
      <w:pPr>
        <w:autoSpaceDE/>
        <w:autoSpaceDN/>
        <w:adjustRightInd/>
        <w:snapToGrid/>
        <w:spacing w:after="0"/>
        <w:jc w:val="left"/>
        <w:rPr>
          <w:b/>
          <w:kern w:val="2"/>
          <w:lang w:eastAsia="zh-CN"/>
        </w:rPr>
      </w:pPr>
      <w:r w:rsidRPr="00875E1C">
        <w:rPr>
          <w:b/>
          <w:kern w:val="2"/>
          <w:lang w:eastAsia="zh-CN"/>
        </w:rPr>
        <w:t>St Julian’s, Malta</w:t>
      </w:r>
      <w:r w:rsidR="009E6572" w:rsidRPr="00FA5628">
        <w:rPr>
          <w:b/>
          <w:kern w:val="2"/>
          <w:lang w:eastAsia="zh-CN"/>
        </w:rPr>
        <w:t xml:space="preserve">, </w:t>
      </w:r>
      <w:r w:rsidR="00363532">
        <w:rPr>
          <w:b/>
          <w:kern w:val="2"/>
          <w:lang w:eastAsia="zh-CN"/>
        </w:rPr>
        <w:t>May 19</w:t>
      </w:r>
      <w:r w:rsidR="00363532" w:rsidRPr="00875E1C">
        <w:rPr>
          <w:b/>
          <w:kern w:val="2"/>
          <w:lang w:eastAsia="zh-CN"/>
        </w:rPr>
        <w:t xml:space="preserve"> </w:t>
      </w:r>
      <w:r w:rsidR="00363532">
        <w:rPr>
          <w:b/>
          <w:kern w:val="2"/>
          <w:lang w:eastAsia="zh-CN"/>
        </w:rPr>
        <w:t>– May 23</w:t>
      </w:r>
      <w:r w:rsidR="00746726">
        <w:rPr>
          <w:b/>
          <w:kern w:val="2"/>
          <w:lang w:eastAsia="zh-CN"/>
        </w:rPr>
        <w:t xml:space="preserve"> </w:t>
      </w:r>
      <w:r w:rsidR="00D37CFE">
        <w:rPr>
          <w:b/>
          <w:kern w:val="2"/>
          <w:lang w:eastAsia="zh-CN"/>
        </w:rPr>
        <w:t>2025</w:t>
      </w:r>
    </w:p>
    <w:p w:rsidR="00FF425C" w:rsidRDefault="00FF425C">
      <w:pPr>
        <w:pBdr>
          <w:top w:val="single" w:sz="4" w:space="1" w:color="auto"/>
        </w:pBdr>
        <w:spacing w:after="0"/>
        <w:jc w:val="left"/>
        <w:rPr>
          <w:b/>
          <w:kern w:val="2"/>
          <w:sz w:val="16"/>
          <w:szCs w:val="16"/>
          <w:lang w:eastAsia="zh-CN"/>
        </w:rPr>
      </w:pPr>
    </w:p>
    <w:p w:rsidR="00FF425C" w:rsidRDefault="00177658">
      <w:pPr>
        <w:spacing w:after="60"/>
        <w:ind w:left="1555" w:hanging="1555"/>
        <w:jc w:val="left"/>
        <w:rPr>
          <w:b/>
          <w:kern w:val="2"/>
          <w:lang w:eastAsia="zh-CN"/>
        </w:rPr>
      </w:pPr>
      <w:r>
        <w:rPr>
          <w:b/>
          <w:kern w:val="2"/>
          <w:lang w:eastAsia="zh-CN"/>
        </w:rPr>
        <w:t>Agenda Item:</w:t>
      </w:r>
      <w:r>
        <w:rPr>
          <w:b/>
          <w:kern w:val="2"/>
          <w:lang w:eastAsia="zh-CN"/>
        </w:rPr>
        <w:tab/>
        <w:t xml:space="preserve">9.3.1 </w:t>
      </w:r>
    </w:p>
    <w:p w:rsidR="00FF425C" w:rsidRDefault="00F3458E">
      <w:pPr>
        <w:spacing w:after="60"/>
        <w:ind w:left="1555" w:hanging="1555"/>
        <w:jc w:val="left"/>
        <w:rPr>
          <w:b/>
          <w:kern w:val="2"/>
          <w:lang w:eastAsia="zh-CN"/>
        </w:rPr>
      </w:pPr>
      <w:r>
        <w:rPr>
          <w:b/>
          <w:kern w:val="2"/>
          <w:lang w:eastAsia="zh-CN"/>
        </w:rPr>
        <w:t>Source:</w:t>
      </w:r>
      <w:r>
        <w:rPr>
          <w:b/>
          <w:kern w:val="2"/>
          <w:lang w:eastAsia="zh-CN"/>
        </w:rPr>
        <w:tab/>
        <w:t xml:space="preserve">TCL </w:t>
      </w:r>
    </w:p>
    <w:p w:rsidR="00FF425C" w:rsidRDefault="00CB5978">
      <w:pPr>
        <w:spacing w:after="60"/>
        <w:ind w:left="1555" w:hanging="1555"/>
        <w:jc w:val="left"/>
        <w:rPr>
          <w:b/>
          <w:kern w:val="2"/>
          <w:lang w:eastAsia="zh-CN"/>
        </w:rPr>
      </w:pPr>
      <w:r>
        <w:rPr>
          <w:b/>
          <w:kern w:val="2"/>
          <w:lang w:eastAsia="zh-CN"/>
        </w:rPr>
        <w:t>Title:</w:t>
      </w:r>
      <w:r>
        <w:rPr>
          <w:b/>
          <w:kern w:val="2"/>
          <w:lang w:eastAsia="zh-CN"/>
        </w:rPr>
        <w:tab/>
        <w:t xml:space="preserve">Discussion </w:t>
      </w:r>
      <w:r w:rsidR="00177658">
        <w:rPr>
          <w:b/>
          <w:kern w:val="2"/>
          <w:lang w:eastAsia="zh-CN"/>
        </w:rPr>
        <w:t xml:space="preserve">SBFD TX/RX/measurement procedures </w:t>
      </w:r>
    </w:p>
    <w:p w:rsidR="00FF425C" w:rsidRDefault="00F3458E">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FF425C" w:rsidRDefault="00FF425C">
      <w:pPr>
        <w:pBdr>
          <w:bottom w:val="single" w:sz="4" w:space="1" w:color="auto"/>
        </w:pBdr>
        <w:spacing w:after="0"/>
        <w:jc w:val="left"/>
        <w:rPr>
          <w:b/>
          <w:kern w:val="2"/>
          <w:sz w:val="16"/>
          <w:szCs w:val="16"/>
          <w:lang w:eastAsia="zh-CN"/>
        </w:rPr>
      </w:pPr>
    </w:p>
    <w:p w:rsidR="00FF425C" w:rsidRPr="003E1ED8" w:rsidRDefault="00F3458E">
      <w:pPr>
        <w:pStyle w:val="Heading1"/>
      </w:pPr>
      <w:bookmarkStart w:id="0" w:name="_Ref129681862"/>
      <w:bookmarkStart w:id="1" w:name="_Ref124589705"/>
      <w:r w:rsidRPr="003E1ED8">
        <w:t>Introduction</w:t>
      </w:r>
      <w:bookmarkEnd w:id="0"/>
      <w:bookmarkEnd w:id="1"/>
    </w:p>
    <w:p w:rsidR="00727F9F" w:rsidRPr="00187202" w:rsidRDefault="00A071F0" w:rsidP="00253CDC">
      <w:pPr>
        <w:rPr>
          <w:bCs/>
          <w:szCs w:val="28"/>
        </w:rPr>
      </w:pPr>
      <w:r>
        <w:rPr>
          <w:bCs/>
          <w:szCs w:val="28"/>
        </w:rPr>
        <w:t xml:space="preserve">In </w:t>
      </w:r>
      <w:r w:rsidR="008F3823">
        <w:rPr>
          <w:bCs/>
          <w:szCs w:val="28"/>
        </w:rPr>
        <w:t>3GPP RAN1#120</w:t>
      </w:r>
      <w:r w:rsidR="00901978">
        <w:rPr>
          <w:bCs/>
          <w:szCs w:val="28"/>
        </w:rPr>
        <w:t>bis meeting</w:t>
      </w:r>
      <w:r w:rsidR="00BE6FF4">
        <w:rPr>
          <w:bCs/>
          <w:szCs w:val="28"/>
        </w:rPr>
        <w:t xml:space="preserve"> [</w:t>
      </w:r>
      <w:r w:rsidR="000F3B0F">
        <w:rPr>
          <w:bCs/>
          <w:szCs w:val="28"/>
        </w:rPr>
        <w:t>3</w:t>
      </w:r>
      <w:r w:rsidR="00B417D7">
        <w:rPr>
          <w:bCs/>
          <w:szCs w:val="28"/>
        </w:rPr>
        <w:t>]</w:t>
      </w:r>
      <w:r w:rsidR="00FD074F" w:rsidRPr="00FD074F">
        <w:rPr>
          <w:bCs/>
          <w:szCs w:val="28"/>
        </w:rPr>
        <w:t>, several issues</w:t>
      </w:r>
      <w:r w:rsidR="00180CB7">
        <w:rPr>
          <w:bCs/>
          <w:szCs w:val="28"/>
        </w:rPr>
        <w:t xml:space="preserve"> </w:t>
      </w:r>
      <w:r w:rsidR="000F3B0F">
        <w:rPr>
          <w:bCs/>
          <w:szCs w:val="28"/>
        </w:rPr>
        <w:t xml:space="preserve">regarding </w:t>
      </w:r>
      <w:r w:rsidR="00BA5D32">
        <w:rPr>
          <w:bCs/>
          <w:szCs w:val="28"/>
        </w:rPr>
        <w:t>PUSCH transmission enhancement in SBFD symbols were agreed</w:t>
      </w:r>
      <w:r w:rsidR="00180CB7">
        <w:rPr>
          <w:bCs/>
          <w:szCs w:val="28"/>
        </w:rPr>
        <w:t xml:space="preserve">. In </w:t>
      </w:r>
      <w:r w:rsidR="00FD074F" w:rsidRPr="00FD074F">
        <w:rPr>
          <w:bCs/>
          <w:szCs w:val="28"/>
        </w:rPr>
        <w:t xml:space="preserve">this contribution, we provide our views on the remaining issues </w:t>
      </w:r>
      <w:r w:rsidR="00AC49D9">
        <w:rPr>
          <w:bCs/>
          <w:szCs w:val="28"/>
        </w:rPr>
        <w:t xml:space="preserve">of </w:t>
      </w:r>
      <w:r w:rsidR="00FD074F" w:rsidRPr="00FD074F">
        <w:rPr>
          <w:bCs/>
          <w:szCs w:val="28"/>
        </w:rPr>
        <w:t>SBFD operation.</w:t>
      </w:r>
    </w:p>
    <w:p w:rsidR="001F6901" w:rsidRDefault="00842B7A" w:rsidP="001F6901">
      <w:pPr>
        <w:pStyle w:val="Heading1"/>
        <w:rPr>
          <w:lang w:eastAsia="zh-CN"/>
        </w:rPr>
      </w:pPr>
      <w:r>
        <w:rPr>
          <w:lang w:eastAsia="zh-CN"/>
        </w:rPr>
        <w:t xml:space="preserve">Discussion </w:t>
      </w:r>
      <w:r w:rsidR="001F6901">
        <w:rPr>
          <w:lang w:eastAsia="zh-CN"/>
        </w:rPr>
        <w:t xml:space="preserve"> </w:t>
      </w:r>
    </w:p>
    <w:p w:rsidR="001F6901" w:rsidRDefault="00070F67" w:rsidP="001F6901">
      <w:pPr>
        <w:pStyle w:val="Heading2"/>
        <w:tabs>
          <w:tab w:val="clear" w:pos="666"/>
        </w:tabs>
      </w:pPr>
      <w:r>
        <w:t>UE specific time/frequency configuration of SBFD subbands</w:t>
      </w:r>
    </w:p>
    <w:p w:rsidR="00070F67" w:rsidRDefault="001B0EDA" w:rsidP="00070F67">
      <w:r w:rsidRPr="001B0EDA">
        <w:t>During the RAN1#120 meeting, an issue regarding the UE-specific frequency location of subbands, which had previously been discussed in the RAN1#116 meeting, was reconsidered.</w:t>
      </w:r>
      <w:r w:rsidR="00BA5D32">
        <w:t xml:space="preserve"> However, </w:t>
      </w:r>
      <w:r w:rsidR="00770DB0">
        <w:t>this issue was no</w:t>
      </w:r>
      <w:r w:rsidR="004F7FDF">
        <w:t>t</w:t>
      </w:r>
      <w:r w:rsidR="00770DB0">
        <w:t xml:space="preserve"> further addressed in the subsequent RAN1#120bis meeting.</w:t>
      </w:r>
    </w:p>
    <w:tbl>
      <w:tblPr>
        <w:tblStyle w:val="TableGrid"/>
        <w:tblW w:w="0" w:type="auto"/>
        <w:tblLook w:val="04A0" w:firstRow="1" w:lastRow="0" w:firstColumn="1" w:lastColumn="0" w:noHBand="0" w:noVBand="1"/>
      </w:tblPr>
      <w:tblGrid>
        <w:gridCol w:w="9307"/>
      </w:tblGrid>
      <w:tr w:rsidR="00070F67" w:rsidTr="00070F67">
        <w:tc>
          <w:tcPr>
            <w:tcW w:w="9307" w:type="dxa"/>
          </w:tcPr>
          <w:p w:rsidR="00070F67" w:rsidRDefault="00070F67" w:rsidP="00070F67">
            <w:pPr>
              <w:spacing w:after="0"/>
              <w:rPr>
                <w:rFonts w:ascii="Times" w:eastAsiaTheme="minorEastAsia" w:hAnsi="Times"/>
                <w:b/>
                <w:highlight w:val="green"/>
                <w:lang w:val="en-GB" w:eastAsia="zh-CN"/>
              </w:rPr>
            </w:pPr>
            <w:r>
              <w:rPr>
                <w:rFonts w:ascii="Times" w:eastAsia="Malgun Gothic" w:hAnsi="Times"/>
                <w:b/>
                <w:highlight w:val="green"/>
                <w:lang w:val="en-GB" w:eastAsia="zh-CN"/>
              </w:rPr>
              <w:t>Agreement</w:t>
            </w:r>
            <w:r>
              <w:rPr>
                <w:rFonts w:ascii="Times" w:eastAsiaTheme="minorEastAsia" w:hAnsi="Times" w:hint="eastAsia"/>
                <w:b/>
                <w:highlight w:val="green"/>
                <w:lang w:val="en-GB" w:eastAsia="zh-CN"/>
              </w:rPr>
              <w:t xml:space="preserve"> </w:t>
            </w:r>
          </w:p>
          <w:p w:rsidR="00070F67" w:rsidRDefault="00070F67" w:rsidP="00070F67">
            <w:pPr>
              <w:tabs>
                <w:tab w:val="left" w:pos="0"/>
              </w:tabs>
              <w:spacing w:after="0"/>
              <w:rPr>
                <w:rFonts w:eastAsia="Malgun Gothic"/>
                <w:lang w:val="en-GB" w:eastAsia="zh-CN"/>
              </w:rPr>
            </w:pPr>
            <w:r>
              <w:rPr>
                <w:rFonts w:eastAsia="Malgun Gothic"/>
                <w:lang w:val="en-GB" w:eastAsia="zh-CN"/>
              </w:rPr>
              <w:t xml:space="preserve">For RRC connected mode UEs, at least cell-specific configuration on time </w:t>
            </w:r>
            <w:r>
              <w:rPr>
                <w:rFonts w:eastAsia="Malgun Gothic"/>
                <w:highlight w:val="darkYellow"/>
                <w:lang w:val="en-GB" w:eastAsia="zh-CN"/>
              </w:rPr>
              <w:t xml:space="preserve">and frequency(working assumption) </w:t>
            </w:r>
            <w:r>
              <w:rPr>
                <w:rFonts w:eastAsia="Malgun Gothic"/>
                <w:lang w:val="en-GB" w:eastAsia="zh-CN"/>
              </w:rPr>
              <w:t>location of SBFD subbands is supported within a TDD carrier.</w:t>
            </w:r>
          </w:p>
          <w:p w:rsidR="00070F67" w:rsidRDefault="00070F67" w:rsidP="00070F67">
            <w:pPr>
              <w:numPr>
                <w:ilvl w:val="0"/>
                <w:numId w:val="17"/>
              </w:numPr>
              <w:autoSpaceDE/>
              <w:autoSpaceDN/>
              <w:adjustRightInd/>
              <w:snapToGrid/>
              <w:spacing w:after="0"/>
              <w:rPr>
                <w:rFonts w:eastAsia="Malgun Gothic"/>
                <w:lang w:val="en-GB" w:eastAsia="zh-CN"/>
              </w:rPr>
            </w:pPr>
            <w:r>
              <w:rPr>
                <w:rFonts w:eastAsia="Malgun Gothic"/>
                <w:lang w:val="en-GB" w:eastAsia="zh-CN"/>
              </w:rPr>
              <w:t>FFS: Additional support of UE-specific configuration on time and/or frequency locations of SBFD subbands</w:t>
            </w:r>
          </w:p>
          <w:p w:rsidR="00070F67" w:rsidRPr="00070F67" w:rsidRDefault="00070F67" w:rsidP="00070F67">
            <w:pPr>
              <w:rPr>
                <w:lang w:val="en-GB"/>
              </w:rPr>
            </w:pPr>
          </w:p>
        </w:tc>
      </w:tr>
    </w:tbl>
    <w:p w:rsidR="00BE6FF4" w:rsidRDefault="00BE6FF4" w:rsidP="00070F67"/>
    <w:p w:rsidR="00070F67" w:rsidRDefault="004F7FDF" w:rsidP="00070F67">
      <w:r>
        <w:t>In our view, t</w:t>
      </w:r>
      <w:r w:rsidR="00070F67" w:rsidRPr="00070F67">
        <w:t>he</w:t>
      </w:r>
      <w:r w:rsidR="00B71779">
        <w:t xml:space="preserve"> configuration of</w:t>
      </w:r>
      <w:r w:rsidR="00070F67" w:rsidRPr="00070F67">
        <w:t xml:space="preserve"> time and frequency locations of SBFD subbands on a per-UE basis would unnecessarily increase signaling overhead. If the frequency location of an SBFD subband is specified for UEs, it would require at least two </w:t>
      </w:r>
      <w:r w:rsidR="00BE3830">
        <w:t xml:space="preserve">separate configurations to </w:t>
      </w:r>
      <w:r w:rsidR="00B71779">
        <w:t>determine</w:t>
      </w:r>
      <w:r w:rsidR="00070F67" w:rsidRPr="00070F67">
        <w:t xml:space="preserve"> the frequency location of the subband to the UEs. Similarly, specifying the time location of subbands on a per-UE basis would also contribute to </w:t>
      </w:r>
      <w:r w:rsidR="00BE3830" w:rsidRPr="00070F67">
        <w:t>increase</w:t>
      </w:r>
      <w:r w:rsidR="00070F67" w:rsidRPr="00070F67">
        <w:t xml:space="preserve"> signaling overhead. Therefore, we believe that supporting UE-specific configurations for the time and frequency locations of subbands is not a practical approach.</w:t>
      </w:r>
    </w:p>
    <w:p w:rsidR="00DB163C" w:rsidRPr="00DB163C" w:rsidRDefault="00DB163C" w:rsidP="00070F67">
      <w:pPr>
        <w:rPr>
          <w:b/>
          <w:i/>
        </w:rPr>
      </w:pPr>
      <w:r w:rsidRPr="00DB163C">
        <w:rPr>
          <w:b/>
          <w:i/>
        </w:rPr>
        <w:t>Observation</w:t>
      </w:r>
      <w:r w:rsidR="003E1ED8">
        <w:rPr>
          <w:b/>
          <w:i/>
        </w:rPr>
        <w:t xml:space="preserve"> 1</w:t>
      </w:r>
      <w:r w:rsidRPr="00DB163C">
        <w:rPr>
          <w:b/>
          <w:i/>
        </w:rPr>
        <w:t>: UE-specific configurations for the time and freque</w:t>
      </w:r>
      <w:r w:rsidR="00B71779">
        <w:rPr>
          <w:b/>
          <w:i/>
        </w:rPr>
        <w:t xml:space="preserve">ncy locations of SBFD subbands </w:t>
      </w:r>
      <w:r w:rsidRPr="00DB163C">
        <w:rPr>
          <w:b/>
          <w:i/>
        </w:rPr>
        <w:t xml:space="preserve">would unnecessarily increase signaling overhead. </w:t>
      </w:r>
    </w:p>
    <w:p w:rsidR="00070F67" w:rsidRPr="00DB163C" w:rsidRDefault="00DB163C" w:rsidP="00070F67">
      <w:pPr>
        <w:rPr>
          <w:b/>
        </w:rPr>
      </w:pPr>
      <w:r w:rsidRPr="00DB163C">
        <w:rPr>
          <w:b/>
          <w:bCs/>
        </w:rPr>
        <w:t>Proposal</w:t>
      </w:r>
      <w:r w:rsidR="003E1ED8">
        <w:rPr>
          <w:b/>
          <w:bCs/>
        </w:rPr>
        <w:t xml:space="preserve"> 1</w:t>
      </w:r>
      <w:r w:rsidRPr="00DB163C">
        <w:rPr>
          <w:b/>
          <w:bCs/>
        </w:rPr>
        <w:t>:</w:t>
      </w:r>
      <w:r>
        <w:rPr>
          <w:b/>
        </w:rPr>
        <w:t> UE</w:t>
      </w:r>
      <w:r w:rsidRPr="00DB163C">
        <w:rPr>
          <w:b/>
        </w:rPr>
        <w:t>-specific configurations for the time and frequency locations of SBFD subbands</w:t>
      </w:r>
      <w:r>
        <w:rPr>
          <w:b/>
        </w:rPr>
        <w:t xml:space="preserve"> is not supported</w:t>
      </w:r>
      <w:r w:rsidR="00FD4726">
        <w:rPr>
          <w:b/>
        </w:rPr>
        <w:t xml:space="preserve"> for Rel-19</w:t>
      </w:r>
      <w:r w:rsidRPr="00DB163C">
        <w:rPr>
          <w:b/>
        </w:rPr>
        <w:t>.</w:t>
      </w:r>
    </w:p>
    <w:p w:rsidR="001F6901" w:rsidRPr="003E1ED8" w:rsidRDefault="001F6901" w:rsidP="001F6901">
      <w:pPr>
        <w:pStyle w:val="Heading2"/>
        <w:tabs>
          <w:tab w:val="clear" w:pos="666"/>
        </w:tabs>
      </w:pPr>
      <w:r w:rsidRPr="003E1ED8">
        <w:t xml:space="preserve">Guard period Configuration </w:t>
      </w:r>
    </w:p>
    <w:p w:rsidR="00F00D82" w:rsidRDefault="00F00D82" w:rsidP="005F5520">
      <w:r>
        <w:t xml:space="preserve">Regarding the guard period between SBFD and non-SBFD symbols the following RAN4 agreement were discussed during RAN1#120 meeting. </w:t>
      </w:r>
      <w:r w:rsidR="002C64EB">
        <w:t>However, no further discussion was carried regarding this issue</w:t>
      </w:r>
      <w:r w:rsidR="00103F21">
        <w:t xml:space="preserve"> in RAN1#120bis meeting</w:t>
      </w:r>
      <w:r w:rsidR="002C64EB">
        <w:t xml:space="preserve">. </w:t>
      </w:r>
    </w:p>
    <w:tbl>
      <w:tblPr>
        <w:tblStyle w:val="TableGrid"/>
        <w:tblW w:w="0" w:type="auto"/>
        <w:tblLook w:val="04A0" w:firstRow="1" w:lastRow="0" w:firstColumn="1" w:lastColumn="0" w:noHBand="0" w:noVBand="1"/>
      </w:tblPr>
      <w:tblGrid>
        <w:gridCol w:w="9307"/>
      </w:tblGrid>
      <w:tr w:rsidR="00F00D82" w:rsidTr="00F00D82">
        <w:tc>
          <w:tcPr>
            <w:tcW w:w="9307" w:type="dxa"/>
          </w:tcPr>
          <w:p w:rsidR="00F00D82" w:rsidRDefault="00F00D82" w:rsidP="00F00D82">
            <w:pPr>
              <w:spacing w:after="0"/>
              <w:rPr>
                <w:highlight w:val="green"/>
              </w:rPr>
            </w:pPr>
            <w:r>
              <w:rPr>
                <w:highlight w:val="green"/>
              </w:rPr>
              <w:t xml:space="preserve">Agreement: </w:t>
            </w:r>
          </w:p>
          <w:p w:rsidR="00F00D82" w:rsidRPr="00F00D82" w:rsidRDefault="00F00D82" w:rsidP="00F00D82">
            <w:pPr>
              <w:pStyle w:val="ListParagraph"/>
              <w:numPr>
                <w:ilvl w:val="0"/>
                <w:numId w:val="36"/>
              </w:numPr>
              <w:jc w:val="both"/>
              <w:rPr>
                <w:rFonts w:ascii="Times New Roman" w:hAnsi="Times New Roman"/>
                <w:sz w:val="22"/>
                <w:szCs w:val="22"/>
              </w:rPr>
            </w:pPr>
            <w:r w:rsidRPr="00F00D82">
              <w:rPr>
                <w:rFonts w:ascii="Times New Roman" w:hAnsi="Times New Roman"/>
                <w:sz w:val="22"/>
                <w:szCs w:val="22"/>
              </w:rPr>
              <w:t xml:space="preserve">Transient period length between SBFD and non-SBFD: </w:t>
            </w:r>
          </w:p>
          <w:p w:rsidR="00F00D82" w:rsidRPr="00F00D82" w:rsidRDefault="00F00D82" w:rsidP="00F00D82">
            <w:pPr>
              <w:pStyle w:val="ListParagraph"/>
              <w:numPr>
                <w:ilvl w:val="1"/>
                <w:numId w:val="36"/>
              </w:numPr>
              <w:tabs>
                <w:tab w:val="left" w:pos="992"/>
              </w:tabs>
              <w:jc w:val="both"/>
              <w:rPr>
                <w:rFonts w:ascii="Times New Roman" w:hAnsi="Times New Roman"/>
                <w:sz w:val="22"/>
                <w:szCs w:val="22"/>
              </w:rPr>
            </w:pPr>
            <w:r w:rsidRPr="00F00D82">
              <w:rPr>
                <w:rFonts w:ascii="Times New Roman" w:hAnsi="Times New Roman"/>
                <w:sz w:val="22"/>
                <w:szCs w:val="22"/>
              </w:rPr>
              <w:t>The existing TDD BS transmitter transient period reused, i.e., 10us for FR1 and 3us for FR2-1.</w:t>
            </w:r>
          </w:p>
          <w:p w:rsidR="00F00D82" w:rsidRDefault="00F00D82" w:rsidP="00F00D82">
            <w:pPr>
              <w:spacing w:after="0"/>
              <w:rPr>
                <w:highlight w:val="green"/>
              </w:rPr>
            </w:pPr>
            <w:r>
              <w:rPr>
                <w:highlight w:val="green"/>
              </w:rPr>
              <w:t xml:space="preserve">Agreement: </w:t>
            </w:r>
          </w:p>
          <w:p w:rsidR="00F00D82" w:rsidRPr="00F00D82" w:rsidRDefault="00F00D82" w:rsidP="00F00D82">
            <w:pPr>
              <w:pStyle w:val="ListParagraph"/>
              <w:numPr>
                <w:ilvl w:val="0"/>
                <w:numId w:val="36"/>
              </w:numPr>
              <w:jc w:val="both"/>
              <w:rPr>
                <w:rFonts w:ascii="Times New Roman" w:hAnsi="Times New Roman"/>
                <w:sz w:val="22"/>
                <w:szCs w:val="22"/>
              </w:rPr>
            </w:pPr>
            <w:r w:rsidRPr="00F00D82">
              <w:rPr>
                <w:rFonts w:ascii="Times New Roman" w:hAnsi="Times New Roman"/>
                <w:sz w:val="22"/>
                <w:szCs w:val="22"/>
              </w:rPr>
              <w:t xml:space="preserve">Location of transient period between SBFD and non-SBFD in RAN4 RF requirement: </w:t>
            </w:r>
          </w:p>
          <w:p w:rsidR="00F00D82" w:rsidRDefault="00F00D82" w:rsidP="005F5520">
            <w:pPr>
              <w:pStyle w:val="ListParagraph"/>
              <w:numPr>
                <w:ilvl w:val="0"/>
                <w:numId w:val="36"/>
              </w:numPr>
              <w:jc w:val="both"/>
            </w:pPr>
            <w:r w:rsidRPr="00F00D82">
              <w:rPr>
                <w:rFonts w:ascii="Times New Roman" w:hAnsi="Times New Roman"/>
                <w:sz w:val="22"/>
                <w:szCs w:val="22"/>
              </w:rPr>
              <w:t>FFS the location of transient period between SBFD and non-SBFD shall be located within the SBFD slot/symbol if it needs to be decided.</w:t>
            </w:r>
          </w:p>
        </w:tc>
      </w:tr>
    </w:tbl>
    <w:p w:rsidR="00F00D82" w:rsidRDefault="00F00D82" w:rsidP="005F5520"/>
    <w:p w:rsidR="00F00D82" w:rsidRDefault="00F00D82" w:rsidP="005F5520"/>
    <w:p w:rsidR="005F5520" w:rsidRDefault="00F00D82" w:rsidP="005F5520">
      <w:pPr>
        <w:rPr>
          <w:szCs w:val="20"/>
          <w:lang w:eastAsia="x-none"/>
        </w:rPr>
      </w:pPr>
      <w:r>
        <w:rPr>
          <w:szCs w:val="20"/>
          <w:lang w:eastAsia="x-none"/>
        </w:rPr>
        <w:t>A guard period</w:t>
      </w:r>
      <w:r w:rsidR="005F5520" w:rsidRPr="00FF58B9">
        <w:rPr>
          <w:szCs w:val="20"/>
          <w:lang w:eastAsia="x-none"/>
        </w:rPr>
        <w:t xml:space="preserve"> may only be necessary on the gNB side when switching between SBFD and non-SBFD symbols. This is because the gNB may need to switch some antenna ports or RF chains from DL transmission to UL reception when switching from non-SBFD to SBFD operation. Therefore, a proper Rx-Tx and Tx-Rx swit</w:t>
      </w:r>
      <w:r w:rsidR="00AA0369">
        <w:rPr>
          <w:szCs w:val="20"/>
          <w:lang w:eastAsia="x-none"/>
        </w:rPr>
        <w:t>ching time needs to be considered as agreed in RAN4. However, in our view the issue of guard period can be handled by gNB implementation. For instance, the gNB can reserve</w:t>
      </w:r>
      <w:r w:rsidR="005F5520">
        <w:rPr>
          <w:szCs w:val="20"/>
          <w:lang w:eastAsia="x-none"/>
        </w:rPr>
        <w:t xml:space="preserve"> </w:t>
      </w:r>
      <w:r w:rsidR="005F5520" w:rsidRPr="00C4357D">
        <w:rPr>
          <w:szCs w:val="20"/>
          <w:lang w:eastAsia="x-none"/>
        </w:rPr>
        <w:t xml:space="preserve">a set of antenna ports/RF chains for Tx transmission and another set for Rx reception for a </w:t>
      </w:r>
      <w:r w:rsidR="00AA0369">
        <w:rPr>
          <w:szCs w:val="20"/>
          <w:lang w:eastAsia="x-none"/>
        </w:rPr>
        <w:t>SBFD time period</w:t>
      </w:r>
      <w:r w:rsidR="005F5520">
        <w:rPr>
          <w:szCs w:val="20"/>
          <w:lang w:eastAsia="x-none"/>
        </w:rPr>
        <w:t xml:space="preserve">. </w:t>
      </w:r>
      <w:r w:rsidR="005F5520" w:rsidRPr="00C4357D">
        <w:rPr>
          <w:szCs w:val="20"/>
          <w:lang w:eastAsia="x-none"/>
        </w:rPr>
        <w:t xml:space="preserve">This may eliminate the need for </w:t>
      </w:r>
      <w:r>
        <w:rPr>
          <w:szCs w:val="20"/>
          <w:lang w:eastAsia="x-none"/>
        </w:rPr>
        <w:t xml:space="preserve">(guard period) </w:t>
      </w:r>
      <w:r w:rsidR="005F5520" w:rsidRPr="00C4357D">
        <w:rPr>
          <w:szCs w:val="20"/>
          <w:lang w:eastAsia="x-none"/>
        </w:rPr>
        <w:t>transition time to switch between non-SBFD and SBFD operation</w:t>
      </w:r>
      <w:r w:rsidR="005F5520">
        <w:rPr>
          <w:szCs w:val="20"/>
          <w:lang w:eastAsia="x-none"/>
        </w:rPr>
        <w:t xml:space="preserve"> in both semi static SBFD and dynamic SBFD</w:t>
      </w:r>
      <w:r w:rsidR="005F5520" w:rsidRPr="00C4357D">
        <w:rPr>
          <w:szCs w:val="20"/>
          <w:lang w:eastAsia="x-none"/>
        </w:rPr>
        <w:t xml:space="preserve">. </w:t>
      </w:r>
      <w:r w:rsidR="005F5520" w:rsidRPr="00D05C09">
        <w:rPr>
          <w:szCs w:val="20"/>
          <w:lang w:eastAsia="x-none"/>
        </w:rPr>
        <w:t xml:space="preserve">An alternative solution could be to use the TA offset as a </w:t>
      </w:r>
      <w:r w:rsidR="00AA0369">
        <w:rPr>
          <w:szCs w:val="20"/>
          <w:lang w:eastAsia="x-none"/>
        </w:rPr>
        <w:t xml:space="preserve"> the guard period or </w:t>
      </w:r>
      <w:r w:rsidR="005F5520" w:rsidRPr="00D05C09">
        <w:rPr>
          <w:szCs w:val="20"/>
          <w:lang w:eastAsia="x-none"/>
        </w:rPr>
        <w:t>transition time between non-SBFD and SBFD operation and reuse the N_Tx-Rx time of</w:t>
      </w:r>
      <w:r w:rsidR="005F5520">
        <w:rPr>
          <w:szCs w:val="20"/>
          <w:lang w:eastAsia="x-none"/>
        </w:rPr>
        <w:t xml:space="preserve"> TS 38.211, as given in Table 1</w:t>
      </w:r>
      <w:r w:rsidR="005F5520" w:rsidRPr="00D05C09">
        <w:rPr>
          <w:szCs w:val="20"/>
          <w:lang w:eastAsia="x-none"/>
        </w:rPr>
        <w:t xml:space="preserve"> between SBFD and non-SBFD opera</w:t>
      </w:r>
      <w:r>
        <w:rPr>
          <w:szCs w:val="20"/>
          <w:lang w:eastAsia="x-none"/>
        </w:rPr>
        <w:t>tion, as illustrated in Figure 1</w:t>
      </w:r>
      <w:r w:rsidR="005F5520" w:rsidRPr="00D05C09">
        <w:rPr>
          <w:szCs w:val="20"/>
          <w:lang w:eastAsia="x-none"/>
        </w:rPr>
        <w:t>. In case the TA offset is considered as zero for transmission in UL subband, the transition time can be based on the gNB implementation, and the gNB could utilize the UL transmission delay as a transition time between non-SBFD operations to SBFD operation at th</w:t>
      </w:r>
      <w:r>
        <w:rPr>
          <w:szCs w:val="20"/>
          <w:lang w:eastAsia="x-none"/>
        </w:rPr>
        <w:t>e gNB side, as shown in Figure 2</w:t>
      </w:r>
      <w:r w:rsidR="005F5520" w:rsidRPr="00D05C09">
        <w:rPr>
          <w:szCs w:val="20"/>
          <w:lang w:eastAsia="x-none"/>
        </w:rPr>
        <w:t>.</w:t>
      </w:r>
    </w:p>
    <w:p w:rsidR="005F5520" w:rsidRDefault="005F5520" w:rsidP="005F5520">
      <w:pPr>
        <w:pStyle w:val="Caption"/>
      </w:pPr>
      <w:r>
        <w:t xml:space="preserve">Table 1 </w:t>
      </w:r>
      <w:r w:rsidRPr="00561343">
        <w:t>38.211 - Table 4.3.2-3: Transition time NRx-Tx and NTx-Rx</w:t>
      </w:r>
    </w:p>
    <w:tbl>
      <w:tblPr>
        <w:tblStyle w:val="TableGrid7"/>
        <w:tblW w:w="4248" w:type="dxa"/>
        <w:jc w:val="center"/>
        <w:tblLayout w:type="fixed"/>
        <w:tblLook w:val="04A0" w:firstRow="1" w:lastRow="0" w:firstColumn="1" w:lastColumn="0" w:noHBand="0" w:noVBand="1"/>
      </w:tblPr>
      <w:tblGrid>
        <w:gridCol w:w="2122"/>
        <w:gridCol w:w="1134"/>
        <w:gridCol w:w="992"/>
      </w:tblGrid>
      <w:tr w:rsidR="005F5520" w:rsidTr="00BA1A63">
        <w:trPr>
          <w:jc w:val="center"/>
        </w:trPr>
        <w:tc>
          <w:tcPr>
            <w:tcW w:w="2122" w:type="dxa"/>
          </w:tcPr>
          <w:p w:rsidR="005F5520" w:rsidRDefault="005F5520" w:rsidP="00BA1A63">
            <w:pPr>
              <w:keepNext/>
              <w:keepLines/>
              <w:jc w:val="center"/>
              <w:rPr>
                <w:rFonts w:ascii="Arial" w:hAnsi="Arial"/>
                <w:b/>
                <w:sz w:val="18"/>
              </w:rPr>
            </w:pPr>
            <w:r>
              <w:rPr>
                <w:rFonts w:ascii="Arial" w:hAnsi="Arial"/>
                <w:b/>
                <w:sz w:val="18"/>
              </w:rPr>
              <w:t>Transition time</w:t>
            </w:r>
          </w:p>
        </w:tc>
        <w:tc>
          <w:tcPr>
            <w:tcW w:w="1134" w:type="dxa"/>
          </w:tcPr>
          <w:p w:rsidR="005F5520" w:rsidRDefault="005F5520" w:rsidP="00BA1A63">
            <w:pPr>
              <w:keepNext/>
              <w:keepLines/>
              <w:jc w:val="center"/>
              <w:rPr>
                <w:rFonts w:ascii="Arial" w:hAnsi="Arial"/>
                <w:b/>
                <w:sz w:val="18"/>
              </w:rPr>
            </w:pPr>
            <w:r>
              <w:rPr>
                <w:rFonts w:ascii="Arial" w:hAnsi="Arial"/>
                <w:b/>
                <w:sz w:val="18"/>
              </w:rPr>
              <w:t>FR1</w:t>
            </w:r>
          </w:p>
        </w:tc>
        <w:tc>
          <w:tcPr>
            <w:tcW w:w="992" w:type="dxa"/>
          </w:tcPr>
          <w:p w:rsidR="005F5520" w:rsidRDefault="005F5520" w:rsidP="00BA1A63">
            <w:pPr>
              <w:keepNext/>
              <w:keepLines/>
              <w:jc w:val="center"/>
              <w:rPr>
                <w:rFonts w:ascii="Arial" w:hAnsi="Arial"/>
                <w:b/>
                <w:sz w:val="18"/>
              </w:rPr>
            </w:pPr>
            <w:r>
              <w:rPr>
                <w:rFonts w:ascii="Arial" w:hAnsi="Arial"/>
                <w:b/>
                <w:sz w:val="18"/>
              </w:rPr>
              <w:t>FR2</w:t>
            </w:r>
          </w:p>
        </w:tc>
      </w:tr>
      <w:tr w:rsidR="005F5520" w:rsidTr="00BA1A63">
        <w:trPr>
          <w:jc w:val="center"/>
        </w:trPr>
        <w:tc>
          <w:tcPr>
            <w:tcW w:w="2122" w:type="dxa"/>
          </w:tcPr>
          <w:p w:rsidR="005F5520" w:rsidRDefault="006F0396" w:rsidP="00BA1A63">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rsidR="005F5520" w:rsidRDefault="005F5520" w:rsidP="00BA1A63">
            <w:pPr>
              <w:keepNext/>
              <w:keepLines/>
              <w:jc w:val="center"/>
              <w:rPr>
                <w:rFonts w:ascii="Arial" w:hAnsi="Arial"/>
                <w:sz w:val="18"/>
              </w:rPr>
            </w:pPr>
            <w:r>
              <w:rPr>
                <w:rFonts w:ascii="Arial" w:hAnsi="Arial"/>
                <w:sz w:val="18"/>
              </w:rPr>
              <w:t>25600</w:t>
            </w:r>
          </w:p>
        </w:tc>
        <w:tc>
          <w:tcPr>
            <w:tcW w:w="992" w:type="dxa"/>
          </w:tcPr>
          <w:p w:rsidR="005F5520" w:rsidRDefault="005F5520" w:rsidP="00BA1A63">
            <w:pPr>
              <w:keepNext/>
              <w:keepLines/>
              <w:jc w:val="center"/>
              <w:rPr>
                <w:rFonts w:ascii="Arial" w:hAnsi="Arial"/>
                <w:sz w:val="18"/>
              </w:rPr>
            </w:pPr>
            <w:r>
              <w:rPr>
                <w:rFonts w:ascii="Arial" w:hAnsi="Arial"/>
                <w:sz w:val="18"/>
              </w:rPr>
              <w:t>13792</w:t>
            </w:r>
          </w:p>
        </w:tc>
      </w:tr>
      <w:tr w:rsidR="005F5520" w:rsidTr="00BA1A63">
        <w:trPr>
          <w:jc w:val="center"/>
        </w:trPr>
        <w:tc>
          <w:tcPr>
            <w:tcW w:w="2122" w:type="dxa"/>
          </w:tcPr>
          <w:p w:rsidR="005F5520" w:rsidRDefault="006F0396" w:rsidP="00BA1A63">
            <w:pPr>
              <w:keepNext/>
              <w:keepLines/>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rsidR="005F5520" w:rsidRDefault="005F5520" w:rsidP="00BA1A63">
            <w:pPr>
              <w:keepNext/>
              <w:keepLines/>
              <w:jc w:val="center"/>
              <w:rPr>
                <w:rFonts w:ascii="Arial" w:hAnsi="Arial"/>
                <w:sz w:val="18"/>
              </w:rPr>
            </w:pPr>
            <w:r>
              <w:rPr>
                <w:rFonts w:ascii="Arial" w:hAnsi="Arial"/>
                <w:sz w:val="18"/>
              </w:rPr>
              <w:t>25600</w:t>
            </w:r>
          </w:p>
        </w:tc>
        <w:tc>
          <w:tcPr>
            <w:tcW w:w="992" w:type="dxa"/>
          </w:tcPr>
          <w:p w:rsidR="005F5520" w:rsidRDefault="005F5520" w:rsidP="00BA1A63">
            <w:pPr>
              <w:keepNext/>
              <w:keepLines/>
              <w:jc w:val="center"/>
              <w:rPr>
                <w:rFonts w:ascii="Arial" w:hAnsi="Arial"/>
                <w:sz w:val="18"/>
              </w:rPr>
            </w:pPr>
            <w:r>
              <w:rPr>
                <w:rFonts w:ascii="Arial" w:hAnsi="Arial"/>
                <w:sz w:val="18"/>
              </w:rPr>
              <w:t>13792</w:t>
            </w:r>
          </w:p>
        </w:tc>
      </w:tr>
    </w:tbl>
    <w:p w:rsidR="005F5520" w:rsidRPr="00C4357D" w:rsidRDefault="005F5520" w:rsidP="005F5520">
      <w:pPr>
        <w:rPr>
          <w:szCs w:val="20"/>
          <w:lang w:eastAsia="x-none"/>
        </w:rPr>
      </w:pPr>
    </w:p>
    <w:p w:rsidR="005F5520" w:rsidRDefault="00E4311B" w:rsidP="005F5520">
      <w:pPr>
        <w:keepNext/>
        <w:jc w:val="center"/>
      </w:pPr>
      <w:r>
        <w:object w:dxaOrig="6141" w:dyaOrig="3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65pt;height:163.6pt" o:ole="">
            <v:imagedata r:id="rId9" o:title=""/>
          </v:shape>
          <o:OLEObject Type="Embed" ProgID="Visio.Drawing.15" ShapeID="_x0000_i1025" DrawAspect="Content" ObjectID="_1808295190" r:id="rId10"/>
        </w:object>
      </w:r>
    </w:p>
    <w:p w:rsidR="005F5520" w:rsidRDefault="005F5520" w:rsidP="005F5520">
      <w:pPr>
        <w:pStyle w:val="Caption"/>
      </w:pPr>
      <w:r>
        <w:t xml:space="preserve">Figure </w:t>
      </w:r>
      <w:r w:rsidR="00F00D82">
        <w:t>1</w:t>
      </w:r>
      <w:r>
        <w:t xml:space="preserve"> TA offset and N_Tx-Rx based transition time between SBFD and non-SBFD operation </w:t>
      </w:r>
    </w:p>
    <w:p w:rsidR="005F5520" w:rsidRDefault="005F5520" w:rsidP="005F5520">
      <w:pPr>
        <w:jc w:val="center"/>
      </w:pPr>
    </w:p>
    <w:p w:rsidR="005F5520" w:rsidRDefault="00E4311B" w:rsidP="005F5520">
      <w:pPr>
        <w:keepNext/>
        <w:jc w:val="center"/>
      </w:pPr>
      <w:r>
        <w:object w:dxaOrig="5751" w:dyaOrig="3830">
          <v:shape id="_x0000_i1026" type="#_x0000_t75" style="width:278.9pt;height:185.9pt" o:ole="">
            <v:imagedata r:id="rId11" o:title=""/>
          </v:shape>
          <o:OLEObject Type="Embed" ProgID="Visio.Drawing.15" ShapeID="_x0000_i1026" DrawAspect="Content" ObjectID="_1808295191" r:id="rId12"/>
        </w:object>
      </w:r>
    </w:p>
    <w:p w:rsidR="005F5520" w:rsidRDefault="005F5520" w:rsidP="005F5520">
      <w:pPr>
        <w:pStyle w:val="Caption"/>
      </w:pPr>
      <w:r w:rsidRPr="0078421E">
        <w:t xml:space="preserve">Figure </w:t>
      </w:r>
      <w:r w:rsidR="00F00D82">
        <w:t>2</w:t>
      </w:r>
      <w:r>
        <w:t xml:space="preserve"> UL transmission delay used as transition time between non-SBFD and SBFD operation  </w:t>
      </w:r>
    </w:p>
    <w:p w:rsidR="006C789D" w:rsidRPr="006C789D" w:rsidRDefault="006C789D" w:rsidP="005F5520">
      <w:pPr>
        <w:rPr>
          <w:b/>
          <w:i/>
        </w:rPr>
      </w:pPr>
      <w:r w:rsidRPr="006C789D">
        <w:rPr>
          <w:b/>
          <w:i/>
        </w:rPr>
        <w:t>Observation 2: The transition time between SBFD and non-SBFD operations may only be necessary on the gNB side and can be handled through gNB implementation.</w:t>
      </w:r>
    </w:p>
    <w:p w:rsidR="001F6901" w:rsidRPr="00842B7A" w:rsidRDefault="006C789D" w:rsidP="009200CF">
      <w:pPr>
        <w:rPr>
          <w:b/>
        </w:rPr>
      </w:pPr>
      <w:r w:rsidRPr="006C789D">
        <w:rPr>
          <w:b/>
        </w:rPr>
        <w:t xml:space="preserve">Proposal 2: The explicit configuration of a guard period between SBFD and non-SBFD symbols is </w:t>
      </w:r>
      <w:r w:rsidR="00B71779">
        <w:rPr>
          <w:b/>
        </w:rPr>
        <w:t>not necessary</w:t>
      </w:r>
      <w:r w:rsidRPr="006C789D">
        <w:rPr>
          <w:b/>
        </w:rPr>
        <w:t xml:space="preserve"> </w:t>
      </w:r>
      <w:r w:rsidR="00B71779">
        <w:rPr>
          <w:b/>
        </w:rPr>
        <w:t xml:space="preserve">to define </w:t>
      </w:r>
      <w:r w:rsidRPr="006C789D">
        <w:rPr>
          <w:b/>
        </w:rPr>
        <w:t xml:space="preserve">and </w:t>
      </w:r>
      <w:r w:rsidR="00B71779">
        <w:rPr>
          <w:b/>
        </w:rPr>
        <w:t xml:space="preserve">it </w:t>
      </w:r>
      <w:r w:rsidRPr="006C789D">
        <w:rPr>
          <w:b/>
        </w:rPr>
        <w:t>can be determined based on gNB implementation.</w:t>
      </w:r>
    </w:p>
    <w:p w:rsidR="00491F1E" w:rsidRPr="00842B7A" w:rsidRDefault="00E319F8" w:rsidP="00842B7A">
      <w:pPr>
        <w:pStyle w:val="Heading2"/>
        <w:tabs>
          <w:tab w:val="clear" w:pos="666"/>
        </w:tabs>
      </w:pPr>
      <w:r>
        <w:t xml:space="preserve">Separate </w:t>
      </w:r>
      <w:r w:rsidR="00B15E75">
        <w:t>FH for PUC</w:t>
      </w:r>
      <w:r w:rsidR="001132C4">
        <w:t xml:space="preserve">CH in SBFD and non-SBFD symbols </w:t>
      </w:r>
    </w:p>
    <w:p w:rsidR="00491F1E" w:rsidRPr="00491F1E" w:rsidRDefault="00175864" w:rsidP="00631EFD">
      <w:pPr>
        <w:suppressAutoHyphens/>
        <w:spacing w:after="50"/>
      </w:pPr>
      <w:r>
        <w:t>In the RAN1#120</w:t>
      </w:r>
      <w:r w:rsidR="00491F1E" w:rsidRPr="00491F1E">
        <w:t xml:space="preserve"> meet</w:t>
      </w:r>
      <w:r>
        <w:t>ing, the following</w:t>
      </w:r>
      <w:r w:rsidR="00491F1E" w:rsidRPr="00491F1E">
        <w:t xml:space="preserve"> agreement was reached regarding the FH offset for PUCCH in SBFD and non-SBFD symbols. </w:t>
      </w:r>
    </w:p>
    <w:tbl>
      <w:tblPr>
        <w:tblStyle w:val="TableGrid"/>
        <w:tblW w:w="0" w:type="auto"/>
        <w:tblLook w:val="04A0" w:firstRow="1" w:lastRow="0" w:firstColumn="1" w:lastColumn="0" w:noHBand="0" w:noVBand="1"/>
      </w:tblPr>
      <w:tblGrid>
        <w:gridCol w:w="9307"/>
      </w:tblGrid>
      <w:tr w:rsidR="00631EFD" w:rsidTr="00631EFD">
        <w:tc>
          <w:tcPr>
            <w:tcW w:w="9307" w:type="dxa"/>
          </w:tcPr>
          <w:p w:rsidR="00175864" w:rsidRDefault="00175864" w:rsidP="00175864">
            <w:pPr>
              <w:rPr>
                <w:rFonts w:eastAsiaTheme="minorEastAsia"/>
                <w:b/>
                <w:lang w:eastAsia="zh-CN"/>
              </w:rPr>
            </w:pPr>
            <w:r w:rsidRPr="00D04258">
              <w:rPr>
                <w:rFonts w:eastAsiaTheme="minorEastAsia" w:hint="eastAsia"/>
                <w:b/>
                <w:highlight w:val="green"/>
                <w:lang w:eastAsia="zh-CN"/>
              </w:rPr>
              <w:t>Agreement</w:t>
            </w:r>
          </w:p>
          <w:p w:rsidR="00721AAA" w:rsidRPr="00175864" w:rsidRDefault="00175864" w:rsidP="00175864">
            <w:pPr>
              <w:tabs>
                <w:tab w:val="left" w:pos="0"/>
              </w:tabs>
            </w:pPr>
            <w:r>
              <w:t xml:space="preserve">The one configuration of </w:t>
            </w:r>
            <w:r w:rsidRPr="00414070">
              <w:rPr>
                <w:rFonts w:eastAsia="Malgun Gothic" w:hint="eastAsia"/>
                <w:i/>
              </w:rPr>
              <w:t>intraSlotFrequencyHopping</w:t>
            </w:r>
            <w:r w:rsidRPr="00414070">
              <w:rPr>
                <w:rFonts w:eastAsia="Malgun Gothic"/>
                <w:iCs/>
              </w:rPr>
              <w:t xml:space="preserve"> </w:t>
            </w:r>
            <w:r w:rsidRPr="00414070">
              <w:rPr>
                <w:rFonts w:eastAsia="Malgun Gothic" w:hint="eastAsia"/>
              </w:rPr>
              <w:t>for</w:t>
            </w:r>
            <w:r w:rsidRPr="00414070">
              <w:rPr>
                <w:rFonts w:eastAsia="Malgun Gothic"/>
              </w:rPr>
              <w:t xml:space="preserve"> a </w:t>
            </w:r>
            <w:r w:rsidRPr="00414070">
              <w:rPr>
                <w:rFonts w:eastAsia="Malgun Gothic"/>
                <w:i/>
                <w:iCs/>
              </w:rPr>
              <w:t>PUCCH-Resource</w:t>
            </w:r>
            <w:r w:rsidRPr="00414070">
              <w:rPr>
                <w:rFonts w:eastAsia="Malgun Gothic"/>
                <w:iCs/>
              </w:rPr>
              <w:t xml:space="preserve"> is applied to both PUCCH transmissions in SBFD symbols and in non-SBFD symbols associated with this </w:t>
            </w:r>
            <w:r w:rsidRPr="00414070">
              <w:rPr>
                <w:i/>
              </w:rPr>
              <w:t>pucch-ResourceId</w:t>
            </w:r>
            <w:r w:rsidRPr="00414070">
              <w:rPr>
                <w:rFonts w:eastAsia="Malgun Gothic"/>
                <w:iCs/>
              </w:rPr>
              <w:t>.</w:t>
            </w:r>
          </w:p>
        </w:tc>
      </w:tr>
    </w:tbl>
    <w:p w:rsidR="0024412B" w:rsidRDefault="0024412B" w:rsidP="001132C4">
      <w:pPr>
        <w:rPr>
          <w:rFonts w:eastAsia="Malgun Gothic"/>
          <w:bCs/>
          <w:szCs w:val="20"/>
        </w:rPr>
      </w:pPr>
    </w:p>
    <w:p w:rsidR="001132C4" w:rsidRPr="00975E57" w:rsidRDefault="00975E57" w:rsidP="001132C4">
      <w:pPr>
        <w:rPr>
          <w:rFonts w:eastAsia="Malgun Gothic"/>
        </w:rPr>
      </w:pPr>
      <w:r>
        <w:rPr>
          <w:rFonts w:eastAsia="Malgun Gothic"/>
        </w:rPr>
        <w:t>For PUCCH in configuration 1, PUCCH transmission</w:t>
      </w:r>
      <w:r w:rsidRPr="00975E57">
        <w:rPr>
          <w:rFonts w:eastAsia="Malgun Gothic"/>
        </w:rPr>
        <w:t xml:space="preserve"> are restricted to either SBFD symbols or non-SBFD symbols, removing the need for intra-slo</w:t>
      </w:r>
      <w:r>
        <w:rPr>
          <w:rFonts w:eastAsia="Malgun Gothic"/>
        </w:rPr>
        <w:t>t frequency hopping. In</w:t>
      </w:r>
      <w:r w:rsidRPr="00975E57">
        <w:rPr>
          <w:rFonts w:eastAsia="Malgun Gothic"/>
        </w:rPr>
        <w:t xml:space="preserve"> configuration 2, a single IntraSlotFrequencyHopping can </w:t>
      </w:r>
      <w:r>
        <w:rPr>
          <w:rFonts w:eastAsia="Malgun Gothic"/>
        </w:rPr>
        <w:t>enable</w:t>
      </w:r>
      <w:r w:rsidRPr="00975E57">
        <w:rPr>
          <w:rFonts w:eastAsia="Malgun Gothic"/>
        </w:rPr>
        <w:t xml:space="preserve"> frequency hopping for PUCCH across SBFD and non-SBFD symbols. </w:t>
      </w:r>
      <w:r w:rsidR="00386325">
        <w:rPr>
          <w:rFonts w:eastAsia="Malgun Gothic"/>
        </w:rPr>
        <w:t>However, in configuration 2, for</w:t>
      </w:r>
      <w:r w:rsidRPr="00975E57">
        <w:rPr>
          <w:rFonts w:eastAsia="Malgun Gothic"/>
        </w:rPr>
        <w:t xml:space="preserve"> a </w:t>
      </w:r>
      <w:r w:rsidRPr="00BE6FF4">
        <w:rPr>
          <w:rFonts w:eastAsia="Malgun Gothic"/>
          <w:i/>
        </w:rPr>
        <w:t>PUCCH-resourceSetId</w:t>
      </w:r>
      <w:r w:rsidRPr="00975E57">
        <w:rPr>
          <w:rFonts w:eastAsia="Malgun Gothic"/>
        </w:rPr>
        <w:t xml:space="preserve">, the </w:t>
      </w:r>
      <w:r w:rsidRPr="00BE6FF4">
        <w:rPr>
          <w:rFonts w:eastAsia="Malgun Gothic"/>
          <w:i/>
        </w:rPr>
        <w:t>StartingPRB</w:t>
      </w:r>
      <w:r w:rsidRPr="00975E57">
        <w:rPr>
          <w:rFonts w:eastAsia="Malgun Gothic"/>
        </w:rPr>
        <w:t xml:space="preserve"> and </w:t>
      </w:r>
      <w:r w:rsidRPr="00BE6FF4">
        <w:rPr>
          <w:rFonts w:eastAsia="Malgun Gothic"/>
          <w:i/>
        </w:rPr>
        <w:t xml:space="preserve">secondHopPRB </w:t>
      </w:r>
      <w:r w:rsidRPr="00975E57">
        <w:rPr>
          <w:rFonts w:eastAsia="Malgun Gothic"/>
        </w:rPr>
        <w:t xml:space="preserve">for PUCCH in non-SBFD symbols </w:t>
      </w:r>
      <w:r w:rsidR="00386325">
        <w:rPr>
          <w:rFonts w:eastAsia="Malgun Gothic"/>
        </w:rPr>
        <w:t>is different</w:t>
      </w:r>
      <w:r w:rsidRPr="00975E57">
        <w:rPr>
          <w:rFonts w:eastAsia="Malgun Gothic"/>
        </w:rPr>
        <w:t xml:space="preserve"> from those in SBFD symbols. If a single </w:t>
      </w:r>
      <w:r w:rsidRPr="00BE6FF4">
        <w:rPr>
          <w:rFonts w:eastAsia="Malgun Gothic"/>
          <w:i/>
        </w:rPr>
        <w:t>StartingPRB</w:t>
      </w:r>
      <w:r w:rsidRPr="00975E57">
        <w:rPr>
          <w:rFonts w:eastAsia="Malgun Gothic"/>
        </w:rPr>
        <w:t xml:space="preserve"> and </w:t>
      </w:r>
      <w:r w:rsidRPr="00BE6FF4">
        <w:rPr>
          <w:rFonts w:eastAsia="Malgun Gothic"/>
          <w:i/>
        </w:rPr>
        <w:t>secondHopPRB</w:t>
      </w:r>
      <w:r w:rsidRPr="00975E57">
        <w:rPr>
          <w:rFonts w:eastAsia="Malgun Gothic"/>
        </w:rPr>
        <w:t xml:space="preserve"> are applied to PUCCH in both SBFD and non-SBFD symbols, it could result in the first and second hops of PUCCH falling outside the usable PRBs of the UL subband. Therefore, it is </w:t>
      </w:r>
      <w:r w:rsidR="00386325">
        <w:rPr>
          <w:rFonts w:eastAsia="Malgun Gothic"/>
        </w:rPr>
        <w:t xml:space="preserve">essential to consider separate </w:t>
      </w:r>
      <w:r w:rsidR="00386325" w:rsidRPr="00BE6FF4">
        <w:rPr>
          <w:rFonts w:eastAsia="Malgun Gothic"/>
          <w:i/>
        </w:rPr>
        <w:t>s</w:t>
      </w:r>
      <w:r w:rsidRPr="00BE6FF4">
        <w:rPr>
          <w:rFonts w:eastAsia="Malgun Gothic"/>
          <w:i/>
        </w:rPr>
        <w:t>tartingPRB</w:t>
      </w:r>
      <w:r w:rsidRPr="00975E57">
        <w:rPr>
          <w:rFonts w:eastAsia="Malgun Gothic"/>
        </w:rPr>
        <w:t xml:space="preserve"> and </w:t>
      </w:r>
      <w:r w:rsidRPr="00BE6FF4">
        <w:rPr>
          <w:rFonts w:eastAsia="Malgun Gothic"/>
          <w:i/>
        </w:rPr>
        <w:t>secondHopPRB</w:t>
      </w:r>
      <w:r w:rsidRPr="00975E57">
        <w:rPr>
          <w:rFonts w:eastAsia="Malgun Gothic"/>
        </w:rPr>
        <w:t xml:space="preserve"> configurations within a PUCCH </w:t>
      </w:r>
      <w:r w:rsidRPr="00BE6FF4">
        <w:rPr>
          <w:rFonts w:eastAsia="Malgun Gothic"/>
          <w:i/>
        </w:rPr>
        <w:t>resource</w:t>
      </w:r>
      <w:r w:rsidR="00B372D2" w:rsidRPr="00BE6FF4">
        <w:rPr>
          <w:rFonts w:eastAsia="Malgun Gothic"/>
          <w:i/>
        </w:rPr>
        <w:t>Id</w:t>
      </w:r>
      <w:r w:rsidR="00B372D2">
        <w:rPr>
          <w:rFonts w:eastAsia="Malgun Gothic"/>
        </w:rPr>
        <w:t xml:space="preserve"> </w:t>
      </w:r>
      <w:r w:rsidRPr="00975E57">
        <w:rPr>
          <w:rFonts w:eastAsia="Malgun Gothic"/>
        </w:rPr>
        <w:t>for SBFD and non-SBFD symbols.</w:t>
      </w:r>
      <w:r>
        <w:rPr>
          <w:rFonts w:eastAsia="Malgun Gothic"/>
        </w:rPr>
        <w:t xml:space="preserve"> </w:t>
      </w:r>
    </w:p>
    <w:p w:rsidR="00386325" w:rsidRPr="00A1121C" w:rsidRDefault="00B15E75" w:rsidP="00631EFD">
      <w:pPr>
        <w:rPr>
          <w:rFonts w:eastAsia="Malgun Gothic"/>
          <w:bCs/>
          <w:szCs w:val="20"/>
        </w:rPr>
      </w:pPr>
      <w:r>
        <w:rPr>
          <w:rFonts w:eastAsia="Times New Roman"/>
          <w:b/>
          <w:color w:val="000000"/>
        </w:rPr>
        <w:t>Proposal</w:t>
      </w:r>
      <w:r w:rsidR="002C64EB">
        <w:rPr>
          <w:rFonts w:eastAsia="Times New Roman"/>
          <w:b/>
          <w:color w:val="000000"/>
        </w:rPr>
        <w:t xml:space="preserve"> 3</w:t>
      </w:r>
      <w:r w:rsidR="00386325">
        <w:rPr>
          <w:rFonts w:eastAsia="Times New Roman"/>
          <w:b/>
          <w:color w:val="000000"/>
        </w:rPr>
        <w:t>: Consider separate</w:t>
      </w:r>
      <w:r>
        <w:rPr>
          <w:rFonts w:eastAsia="Times New Roman"/>
          <w:b/>
          <w:color w:val="000000"/>
        </w:rPr>
        <w:t xml:space="preserve"> </w:t>
      </w:r>
      <w:r w:rsidR="00386325" w:rsidRPr="00B372D2">
        <w:rPr>
          <w:rFonts w:eastAsia="Times New Roman"/>
          <w:b/>
          <w:i/>
          <w:color w:val="000000"/>
        </w:rPr>
        <w:t>startingPRB</w:t>
      </w:r>
      <w:r w:rsidR="00386325">
        <w:rPr>
          <w:rFonts w:eastAsia="Times New Roman"/>
          <w:b/>
          <w:color w:val="000000"/>
        </w:rPr>
        <w:t xml:space="preserve"> and </w:t>
      </w:r>
      <w:r w:rsidR="00386325" w:rsidRPr="00B372D2">
        <w:rPr>
          <w:rFonts w:eastAsia="Times New Roman"/>
          <w:b/>
          <w:i/>
          <w:color w:val="000000"/>
        </w:rPr>
        <w:t>secondHopPRB</w:t>
      </w:r>
      <w:r w:rsidR="00386325">
        <w:rPr>
          <w:rFonts w:eastAsia="Times New Roman"/>
          <w:b/>
          <w:color w:val="000000"/>
        </w:rPr>
        <w:t xml:space="preserve"> within a </w:t>
      </w:r>
      <w:r w:rsidR="00386325" w:rsidRPr="00B372D2">
        <w:rPr>
          <w:rFonts w:eastAsia="Times New Roman"/>
          <w:b/>
          <w:i/>
          <w:color w:val="000000"/>
        </w:rPr>
        <w:t>PUCCH-resoruceId</w:t>
      </w:r>
      <w:r w:rsidR="00386325">
        <w:rPr>
          <w:rFonts w:eastAsia="Times New Roman"/>
          <w:b/>
          <w:color w:val="000000"/>
        </w:rPr>
        <w:t xml:space="preserve"> for PUCCH FH in SBFD and non-SBFD symbols. </w:t>
      </w:r>
      <w:r>
        <w:rPr>
          <w:rFonts w:eastAsia="Malgun Gothic"/>
          <w:bCs/>
          <w:szCs w:val="20"/>
        </w:rPr>
        <w:t xml:space="preserve"> </w:t>
      </w:r>
    </w:p>
    <w:p w:rsidR="002767CB" w:rsidRDefault="00E319F8" w:rsidP="002767CB">
      <w:pPr>
        <w:pStyle w:val="Heading2"/>
        <w:tabs>
          <w:tab w:val="clear" w:pos="666"/>
        </w:tabs>
      </w:pPr>
      <w:r>
        <w:t xml:space="preserve">Separate </w:t>
      </w:r>
      <w:r w:rsidR="007F3A1F">
        <w:t xml:space="preserve">UL </w:t>
      </w:r>
      <w:r>
        <w:t>power control</w:t>
      </w:r>
      <w:r w:rsidR="00544C2B">
        <w:t xml:space="preserve"> for</w:t>
      </w:r>
      <w:r>
        <w:t xml:space="preserve"> SRS, PUCCH and PUSCH</w:t>
      </w:r>
      <w:r w:rsidR="00544C2B">
        <w:t xml:space="preserve"> in SBFD and non-SBFD symbols</w:t>
      </w:r>
    </w:p>
    <w:p w:rsidR="002767CB" w:rsidRDefault="002767CB" w:rsidP="002C64EB">
      <w:pPr>
        <w:suppressAutoHyphens/>
        <w:spacing w:after="50"/>
      </w:pPr>
      <w:r w:rsidRPr="002767CB">
        <w:t xml:space="preserve">In previous RAN1 meetings, option 2 was agreed for separate UL power control of PUSCH, PUCCH, and SRS in SBFD and non-SBFD symbols, involving a unified TCI state that enables </w:t>
      </w:r>
      <w:r>
        <w:t>separate</w:t>
      </w:r>
      <w:r w:rsidRPr="002767CB">
        <w:t xml:space="preserve"> UL power control parameters for these channels. </w:t>
      </w:r>
      <w:r>
        <w:t>Furthermore</w:t>
      </w:r>
      <w:r w:rsidRPr="002767CB">
        <w:t>, during the RAN1#120bis meeting, the following agreements were proposed; however, no consensus was reached on this matter.</w:t>
      </w:r>
    </w:p>
    <w:p w:rsidR="001A74B9" w:rsidRDefault="001A74B9" w:rsidP="002C64EB">
      <w:pPr>
        <w:suppressAutoHyphens/>
        <w:spacing w:after="50"/>
      </w:pPr>
    </w:p>
    <w:tbl>
      <w:tblPr>
        <w:tblStyle w:val="TableGrid"/>
        <w:tblW w:w="0" w:type="auto"/>
        <w:tblLook w:val="04A0" w:firstRow="1" w:lastRow="0" w:firstColumn="1" w:lastColumn="0" w:noHBand="0" w:noVBand="1"/>
      </w:tblPr>
      <w:tblGrid>
        <w:gridCol w:w="9307"/>
      </w:tblGrid>
      <w:tr w:rsidR="001A74B9" w:rsidTr="001A74B9">
        <w:tc>
          <w:tcPr>
            <w:tcW w:w="9307" w:type="dxa"/>
          </w:tcPr>
          <w:p w:rsidR="001A74B9" w:rsidRDefault="001A74B9" w:rsidP="001A74B9">
            <w:pPr>
              <w:rPr>
                <w:rFonts w:eastAsiaTheme="minorEastAsia"/>
                <w:b/>
                <w:lang w:eastAsia="zh-CN"/>
              </w:rPr>
            </w:pPr>
            <w:r>
              <w:rPr>
                <w:rFonts w:eastAsiaTheme="minorEastAsia" w:hint="eastAsia"/>
                <w:b/>
                <w:lang w:eastAsia="zh-CN"/>
              </w:rPr>
              <w:t xml:space="preserve">Proposed </w:t>
            </w:r>
            <w:r>
              <w:rPr>
                <w:rFonts w:eastAsiaTheme="minorEastAsia"/>
                <w:b/>
                <w:lang w:eastAsia="zh-CN"/>
              </w:rPr>
              <w:t>Agreement</w:t>
            </w:r>
            <w:r>
              <w:rPr>
                <w:rFonts w:eastAsiaTheme="minorEastAsia" w:hint="eastAsia"/>
                <w:b/>
                <w:lang w:eastAsia="zh-CN"/>
              </w:rPr>
              <w:t>:</w:t>
            </w:r>
          </w:p>
          <w:p w:rsidR="001A74B9" w:rsidRDefault="001A74B9" w:rsidP="001A74B9">
            <w:pPr>
              <w:rPr>
                <w:rFonts w:eastAsiaTheme="minorEastAsia"/>
                <w:lang w:eastAsia="zh-CN"/>
              </w:rPr>
            </w:pPr>
            <w:r>
              <w:rPr>
                <w:rFonts w:eastAsiaTheme="minorEastAsia" w:hint="eastAsia"/>
                <w:lang w:eastAsia="zh-CN"/>
              </w:rPr>
              <w:t>S</w:t>
            </w:r>
            <w:r>
              <w:rPr>
                <w:rFonts w:eastAsiaTheme="minorEastAsia"/>
                <w:lang w:eastAsia="zh-CN"/>
              </w:rPr>
              <w:t xml:space="preserve">upport separate configurations of </w:t>
            </w:r>
            <w:r>
              <w:rPr>
                <w:rFonts w:eastAsiaTheme="minorEastAsia"/>
                <w:i/>
                <w:iCs/>
                <w:lang w:eastAsia="zh-CN"/>
              </w:rPr>
              <w:t>p-Max</w:t>
            </w:r>
            <w:r>
              <w:rPr>
                <w:rFonts w:eastAsiaTheme="minorEastAsia"/>
                <w:lang w:eastAsia="zh-CN"/>
              </w:rPr>
              <w:t xml:space="preserve"> for SBFD and non-SBFD symbols.</w:t>
            </w:r>
          </w:p>
          <w:p w:rsidR="001A74B9" w:rsidRPr="001A74B9" w:rsidRDefault="001A74B9" w:rsidP="001A74B9">
            <w:pPr>
              <w:numPr>
                <w:ilvl w:val="0"/>
                <w:numId w:val="10"/>
              </w:numPr>
              <w:shd w:val="clear" w:color="auto" w:fill="FFFFFF"/>
              <w:tabs>
                <w:tab w:val="left" w:pos="0"/>
              </w:tabs>
              <w:autoSpaceDE/>
              <w:autoSpaceDN/>
              <w:adjustRightInd/>
              <w:snapToGrid/>
              <w:spacing w:after="0"/>
              <w:jc w:val="left"/>
              <w:rPr>
                <w:rFonts w:eastAsiaTheme="minorEastAsia"/>
                <w:lang w:eastAsia="zh-CN"/>
              </w:rPr>
            </w:pPr>
            <w:r>
              <w:rPr>
                <w:rFonts w:eastAsiaTheme="minorEastAsia" w:hint="eastAsia"/>
                <w:lang w:eastAsia="zh-CN"/>
              </w:rPr>
              <w:t>S</w:t>
            </w:r>
            <w:r>
              <w:rPr>
                <w:rFonts w:eastAsiaTheme="minorEastAsia"/>
                <w:lang w:eastAsia="zh-CN"/>
              </w:rPr>
              <w:t>end an LS to RAN4 to inform the agreement and ask whether RAN4 sees any issue.</w:t>
            </w:r>
          </w:p>
        </w:tc>
      </w:tr>
    </w:tbl>
    <w:p w:rsidR="00D47354" w:rsidRDefault="00D47354" w:rsidP="002C64EB">
      <w:pPr>
        <w:suppressAutoHyphens/>
        <w:spacing w:after="50"/>
      </w:pPr>
    </w:p>
    <w:p w:rsidR="00D47354" w:rsidRPr="00D47354" w:rsidRDefault="00D47354" w:rsidP="00D47354">
      <w:pPr>
        <w:suppressAutoHyphens/>
        <w:spacing w:after="50"/>
      </w:pPr>
      <w:r>
        <w:t>As</w:t>
      </w:r>
      <w:r w:rsidRPr="00D47354">
        <w:t xml:space="preserve"> the interference levels in SBFD and non-SBFD symbols </w:t>
      </w:r>
      <w:r>
        <w:t xml:space="preserve">are </w:t>
      </w:r>
      <w:r w:rsidRPr="00D47354">
        <w:t>differ</w:t>
      </w:r>
      <w:r>
        <w:t>ent, and the UL</w:t>
      </w:r>
      <w:r w:rsidRPr="00D47354">
        <w:t xml:space="preserve"> power control mechanisms for SRS, PUCCH, and PUSCH in these symbols are also</w:t>
      </w:r>
      <w:r>
        <w:t xml:space="preserve"> different</w:t>
      </w:r>
      <w:r w:rsidRPr="00D47354">
        <w:t xml:space="preserve">. If </w:t>
      </w:r>
      <w:r w:rsidR="004F2683">
        <w:t xml:space="preserve">the </w:t>
      </w:r>
      <w:r w:rsidRPr="00D47354">
        <w:t xml:space="preserve">UL power control is adjusted </w:t>
      </w:r>
      <w:r w:rsidR="004F2683">
        <w:t>only</w:t>
      </w:r>
      <w:r w:rsidRPr="00D47354">
        <w:t xml:space="preserve"> through the </w:t>
      </w:r>
      <w:r w:rsidRPr="00D47354">
        <w:rPr>
          <w:i/>
        </w:rPr>
        <w:t>P0AlphaSet</w:t>
      </w:r>
      <w:r w:rsidRPr="00D47354">
        <w:t>, the minimum operation will still select the p-Max when the UL power control exceeds the maximum level. Therefore, it may be necessary to define separate maximum power levels for SBFD and non-SBFD symbols.</w:t>
      </w:r>
      <w:r>
        <w:t xml:space="preserve"> In our view, a separate p-Max for SBFD symbols and non-SBFD symbols is </w:t>
      </w:r>
      <w:r w:rsidRPr="00D47354">
        <w:t xml:space="preserve">justified for </w:t>
      </w:r>
      <w:r w:rsidR="004F2683">
        <w:t xml:space="preserve">the </w:t>
      </w:r>
      <w:r w:rsidRPr="00D47354">
        <w:t>two key reasons</w:t>
      </w:r>
      <w:r w:rsidR="004F2683">
        <w:t xml:space="preserve"> as given below</w:t>
      </w:r>
      <w:r w:rsidRPr="00D47354">
        <w:t>:</w:t>
      </w:r>
    </w:p>
    <w:p w:rsidR="00D47354" w:rsidRPr="00D47354" w:rsidRDefault="00D47354" w:rsidP="00D47354">
      <w:pPr>
        <w:pStyle w:val="ListParagraph"/>
        <w:numPr>
          <w:ilvl w:val="0"/>
          <w:numId w:val="43"/>
        </w:numPr>
        <w:suppressAutoHyphens/>
        <w:spacing w:after="50"/>
        <w:rPr>
          <w:rFonts w:ascii="Times New Roman" w:hAnsi="Times New Roman"/>
          <w:sz w:val="22"/>
          <w:szCs w:val="22"/>
        </w:rPr>
      </w:pPr>
      <w:r w:rsidRPr="00D47354">
        <w:rPr>
          <w:rFonts w:ascii="Times New Roman" w:hAnsi="Times New Roman"/>
          <w:sz w:val="22"/>
          <w:szCs w:val="22"/>
        </w:rPr>
        <w:t xml:space="preserve">A </w:t>
      </w:r>
      <w:r>
        <w:rPr>
          <w:rFonts w:ascii="Times New Roman" w:hAnsi="Times New Roman"/>
          <w:sz w:val="22"/>
          <w:szCs w:val="22"/>
        </w:rPr>
        <w:t xml:space="preserve">different </w:t>
      </w:r>
      <w:r w:rsidRPr="00D47354">
        <w:rPr>
          <w:rFonts w:ascii="Times New Roman" w:hAnsi="Times New Roman"/>
          <w:sz w:val="22"/>
          <w:szCs w:val="22"/>
        </w:rPr>
        <w:t>maximum power level in SBFD symbols helps control interference caused by SBFD-aware UEs in SBFD symbols, which could otherwise affect UEs operating in non-SBFD symbols or legacy UEs in the network.</w:t>
      </w:r>
    </w:p>
    <w:p w:rsidR="00D47354" w:rsidRPr="00D47354" w:rsidRDefault="00D47354" w:rsidP="00D47354">
      <w:pPr>
        <w:pStyle w:val="ListParagraph"/>
        <w:numPr>
          <w:ilvl w:val="0"/>
          <w:numId w:val="43"/>
        </w:numPr>
        <w:suppressAutoHyphens/>
        <w:spacing w:after="50"/>
        <w:rPr>
          <w:rFonts w:ascii="Times New Roman" w:hAnsi="Times New Roman"/>
          <w:sz w:val="22"/>
          <w:szCs w:val="22"/>
        </w:rPr>
      </w:pPr>
      <w:r w:rsidRPr="00D47354">
        <w:rPr>
          <w:rFonts w:ascii="Times New Roman" w:hAnsi="Times New Roman"/>
          <w:sz w:val="22"/>
          <w:szCs w:val="22"/>
        </w:rPr>
        <w:t>Limiting p-Max in SBFD symbols/slots enables UEs to conserve battery life by being scheduled in</w:t>
      </w:r>
      <w:r w:rsidR="00CB3C59">
        <w:rPr>
          <w:rFonts w:ascii="Times New Roman" w:hAnsi="Times New Roman"/>
          <w:sz w:val="22"/>
          <w:szCs w:val="22"/>
        </w:rPr>
        <w:t xml:space="preserve"> SBFD symbols</w:t>
      </w:r>
      <w:r w:rsidRPr="00D47354">
        <w:rPr>
          <w:rFonts w:ascii="Times New Roman" w:hAnsi="Times New Roman"/>
          <w:sz w:val="22"/>
          <w:szCs w:val="22"/>
        </w:rPr>
        <w:t>, where they can transmit at lower power levels.</w:t>
      </w:r>
    </w:p>
    <w:p w:rsidR="007F3A1F" w:rsidRPr="00B57A42" w:rsidRDefault="00D47354" w:rsidP="00B57A42">
      <w:pPr>
        <w:suppressAutoHyphens/>
        <w:spacing w:after="50"/>
      </w:pPr>
      <w:r w:rsidRPr="00D47354">
        <w:t xml:space="preserve">During </w:t>
      </w:r>
      <w:r>
        <w:t>RAN1#120bis meeting discussion</w:t>
      </w:r>
      <w:r w:rsidRPr="00D47354">
        <w:t xml:space="preserve">, some companies expressed concerns that this approach might impact UL coverage. However, for enhancing UL coverage, techniques such as repetition and other coverage enhancement methods can be </w:t>
      </w:r>
      <w:r>
        <w:t>used to address the coverage issues</w:t>
      </w:r>
      <w:r w:rsidRPr="00D47354">
        <w:t>.</w:t>
      </w:r>
    </w:p>
    <w:p w:rsidR="00A9061D" w:rsidRPr="00B57A42" w:rsidRDefault="007A3A05" w:rsidP="006A12F0">
      <w:pPr>
        <w:rPr>
          <w:rFonts w:eastAsiaTheme="minorEastAsia"/>
          <w:b/>
          <w:lang w:eastAsia="zh-CN"/>
        </w:rPr>
      </w:pPr>
      <w:r w:rsidRPr="007A3A05">
        <w:rPr>
          <w:rFonts w:eastAsiaTheme="minorEastAsia"/>
          <w:b/>
          <w:lang w:eastAsia="zh-CN"/>
        </w:rPr>
        <w:t>Proposal</w:t>
      </w:r>
      <w:r w:rsidR="004F2683">
        <w:rPr>
          <w:rFonts w:eastAsiaTheme="minorEastAsia"/>
          <w:b/>
          <w:lang w:eastAsia="zh-CN"/>
        </w:rPr>
        <w:t xml:space="preserve"> 4</w:t>
      </w:r>
      <w:r w:rsidRPr="007A3A05">
        <w:rPr>
          <w:rFonts w:eastAsiaTheme="minorEastAsia"/>
          <w:b/>
          <w:lang w:eastAsia="zh-CN"/>
        </w:rPr>
        <w:t xml:space="preserve">: </w:t>
      </w:r>
      <w:r w:rsidRPr="007A3A05">
        <w:rPr>
          <w:rFonts w:eastAsiaTheme="minorEastAsia" w:hint="eastAsia"/>
          <w:b/>
          <w:lang w:eastAsia="zh-CN"/>
        </w:rPr>
        <w:t>S</w:t>
      </w:r>
      <w:r w:rsidRPr="007A3A05">
        <w:rPr>
          <w:rFonts w:eastAsiaTheme="minorEastAsia"/>
          <w:b/>
          <w:lang w:eastAsia="zh-CN"/>
        </w:rPr>
        <w:t xml:space="preserve">upport separate configurations of </w:t>
      </w:r>
      <w:r w:rsidRPr="007A3A05">
        <w:rPr>
          <w:rFonts w:eastAsiaTheme="minorEastAsia"/>
          <w:b/>
          <w:i/>
          <w:iCs/>
          <w:lang w:eastAsia="zh-CN"/>
        </w:rPr>
        <w:t>p-Max</w:t>
      </w:r>
      <w:r w:rsidRPr="007A3A05">
        <w:rPr>
          <w:rFonts w:eastAsiaTheme="minorEastAsia"/>
          <w:b/>
          <w:lang w:eastAsia="zh-CN"/>
        </w:rPr>
        <w:t xml:space="preserve"> for SBFD and non-SBFD symbols.</w:t>
      </w:r>
    </w:p>
    <w:p w:rsidR="00205820" w:rsidRDefault="00205820" w:rsidP="00205820">
      <w:pPr>
        <w:pStyle w:val="Heading1"/>
      </w:pPr>
      <w:r>
        <w:t>Conclusion</w:t>
      </w:r>
    </w:p>
    <w:p w:rsidR="00142DF5" w:rsidRPr="00B57A42" w:rsidRDefault="00A033ED">
      <w:pPr>
        <w:rPr>
          <w:color w:val="000000" w:themeColor="text1"/>
        </w:rPr>
      </w:pPr>
      <w:r w:rsidRPr="004F2683">
        <w:rPr>
          <w:color w:val="000000" w:themeColor="text1"/>
        </w:rPr>
        <w:t xml:space="preserve">In </w:t>
      </w:r>
      <w:r w:rsidR="00012F35" w:rsidRPr="004F2683">
        <w:rPr>
          <w:color w:val="000000" w:themeColor="text1"/>
        </w:rPr>
        <w:t>this contribution, we discussed</w:t>
      </w:r>
      <w:r w:rsidR="00A1121C" w:rsidRPr="004F2683">
        <w:rPr>
          <w:color w:val="000000" w:themeColor="text1"/>
        </w:rPr>
        <w:t xml:space="preserve"> separate</w:t>
      </w:r>
      <w:r w:rsidR="00012F35" w:rsidRPr="004F2683">
        <w:rPr>
          <w:color w:val="000000" w:themeColor="text1"/>
        </w:rPr>
        <w:t>,</w:t>
      </w:r>
      <w:r w:rsidR="004F2683" w:rsidRPr="004F2683">
        <w:rPr>
          <w:color w:val="000000" w:themeColor="text1"/>
        </w:rPr>
        <w:t xml:space="preserve"> UE specific time/frequency configuration of SBFD subbands</w:t>
      </w:r>
      <w:r w:rsidR="004F2683">
        <w:rPr>
          <w:color w:val="000000" w:themeColor="text1"/>
        </w:rPr>
        <w:t xml:space="preserve">, guard period between SBFD and non-SBFD symbols, separate FH and separate p-Max for SRS, PUCCH, and PUSCH in SBFD symbols. </w:t>
      </w:r>
      <w:r w:rsidR="00012F35" w:rsidRPr="00012F35">
        <w:rPr>
          <w:color w:val="000000" w:themeColor="text1"/>
        </w:rPr>
        <w:t>We made the following observations and proposals.</w:t>
      </w:r>
    </w:p>
    <w:p w:rsidR="00BE6FF4" w:rsidRDefault="00BE6FF4" w:rsidP="00BE6FF4">
      <w:pPr>
        <w:rPr>
          <w:b/>
          <w:i/>
        </w:rPr>
      </w:pPr>
      <w:r w:rsidRPr="00DB163C">
        <w:rPr>
          <w:b/>
          <w:i/>
        </w:rPr>
        <w:t>Observation</w:t>
      </w:r>
      <w:r>
        <w:rPr>
          <w:b/>
          <w:i/>
        </w:rPr>
        <w:t xml:space="preserve"> 1</w:t>
      </w:r>
      <w:r w:rsidRPr="00DB163C">
        <w:rPr>
          <w:b/>
          <w:i/>
        </w:rPr>
        <w:t>: UE-specific configurations for the time and freque</w:t>
      </w:r>
      <w:r>
        <w:rPr>
          <w:b/>
          <w:i/>
        </w:rPr>
        <w:t xml:space="preserve">ncy locations of SBFD subbands </w:t>
      </w:r>
      <w:r w:rsidRPr="00DB163C">
        <w:rPr>
          <w:b/>
          <w:i/>
        </w:rPr>
        <w:t xml:space="preserve">would unnecessarily increase signaling overhead. </w:t>
      </w:r>
    </w:p>
    <w:p w:rsidR="00B57A42" w:rsidRPr="006C789D" w:rsidRDefault="00B57A42" w:rsidP="00B57A42">
      <w:pPr>
        <w:rPr>
          <w:b/>
          <w:i/>
        </w:rPr>
      </w:pPr>
      <w:r w:rsidRPr="006C789D">
        <w:rPr>
          <w:b/>
          <w:i/>
        </w:rPr>
        <w:t>Observation 2: The transition time between SBFD and non-SBFD operations may only be necessary on the gNB side and can be handled through gNB implementation.</w:t>
      </w:r>
    </w:p>
    <w:p w:rsidR="00B57A42" w:rsidRPr="00DB163C" w:rsidRDefault="00B57A42" w:rsidP="00BE6FF4">
      <w:pPr>
        <w:rPr>
          <w:b/>
          <w:i/>
        </w:rPr>
      </w:pPr>
      <w:bookmarkStart w:id="2" w:name="_GoBack"/>
      <w:bookmarkEnd w:id="2"/>
    </w:p>
    <w:p w:rsidR="00E4311B" w:rsidRPr="00B57A42" w:rsidRDefault="00BE6FF4">
      <w:pPr>
        <w:rPr>
          <w:b/>
        </w:rPr>
      </w:pPr>
      <w:r w:rsidRPr="00DB163C">
        <w:rPr>
          <w:b/>
          <w:bCs/>
        </w:rPr>
        <w:t>Proposal</w:t>
      </w:r>
      <w:r>
        <w:rPr>
          <w:b/>
          <w:bCs/>
        </w:rPr>
        <w:t xml:space="preserve"> 1</w:t>
      </w:r>
      <w:r w:rsidRPr="00DB163C">
        <w:rPr>
          <w:b/>
          <w:bCs/>
        </w:rPr>
        <w:t>:</w:t>
      </w:r>
      <w:r>
        <w:rPr>
          <w:b/>
        </w:rPr>
        <w:t> UE</w:t>
      </w:r>
      <w:r w:rsidRPr="00DB163C">
        <w:rPr>
          <w:b/>
        </w:rPr>
        <w:t>-specific configurations for the time and frequency locations of SBFD subbands</w:t>
      </w:r>
      <w:r>
        <w:rPr>
          <w:b/>
        </w:rPr>
        <w:t xml:space="preserve"> is not supported for Rel-19</w:t>
      </w:r>
      <w:r w:rsidRPr="00DB163C">
        <w:rPr>
          <w:b/>
        </w:rPr>
        <w:t>.</w:t>
      </w:r>
    </w:p>
    <w:p w:rsidR="00BE6FF4" w:rsidRPr="00842B7A" w:rsidRDefault="00BE6FF4" w:rsidP="00BE6FF4">
      <w:pPr>
        <w:rPr>
          <w:b/>
        </w:rPr>
      </w:pPr>
      <w:r w:rsidRPr="006C789D">
        <w:rPr>
          <w:b/>
        </w:rPr>
        <w:t xml:space="preserve">Proposal 2: The explicit configuration of a guard period between SBFD and non-SBFD symbols is </w:t>
      </w:r>
      <w:r>
        <w:rPr>
          <w:b/>
        </w:rPr>
        <w:t>not necessary</w:t>
      </w:r>
      <w:r w:rsidRPr="006C789D">
        <w:rPr>
          <w:b/>
        </w:rPr>
        <w:t xml:space="preserve"> </w:t>
      </w:r>
      <w:r>
        <w:rPr>
          <w:b/>
        </w:rPr>
        <w:t xml:space="preserve">to define </w:t>
      </w:r>
      <w:r w:rsidRPr="006C789D">
        <w:rPr>
          <w:b/>
        </w:rPr>
        <w:t xml:space="preserve">and </w:t>
      </w:r>
      <w:r>
        <w:rPr>
          <w:b/>
        </w:rPr>
        <w:t xml:space="preserve">it </w:t>
      </w:r>
      <w:r w:rsidRPr="006C789D">
        <w:rPr>
          <w:b/>
        </w:rPr>
        <w:t>can be determined based on gNB implementation.</w:t>
      </w:r>
    </w:p>
    <w:p w:rsidR="00BE6FF4" w:rsidRDefault="00BE6FF4" w:rsidP="00BE6FF4">
      <w:pPr>
        <w:rPr>
          <w:rFonts w:eastAsia="Malgun Gothic"/>
          <w:bCs/>
          <w:szCs w:val="20"/>
        </w:rPr>
      </w:pPr>
      <w:r>
        <w:rPr>
          <w:rFonts w:eastAsia="Times New Roman"/>
          <w:b/>
          <w:color w:val="000000"/>
        </w:rPr>
        <w:t xml:space="preserve">Proposal 3: Consider separate </w:t>
      </w:r>
      <w:r w:rsidRPr="00B372D2">
        <w:rPr>
          <w:rFonts w:eastAsia="Times New Roman"/>
          <w:b/>
          <w:i/>
          <w:color w:val="000000"/>
        </w:rPr>
        <w:t>startingPRB</w:t>
      </w:r>
      <w:r>
        <w:rPr>
          <w:rFonts w:eastAsia="Times New Roman"/>
          <w:b/>
          <w:color w:val="000000"/>
        </w:rPr>
        <w:t xml:space="preserve"> and </w:t>
      </w:r>
      <w:r w:rsidRPr="00B372D2">
        <w:rPr>
          <w:rFonts w:eastAsia="Times New Roman"/>
          <w:b/>
          <w:i/>
          <w:color w:val="000000"/>
        </w:rPr>
        <w:t>secondHopPRB</w:t>
      </w:r>
      <w:r>
        <w:rPr>
          <w:rFonts w:eastAsia="Times New Roman"/>
          <w:b/>
          <w:color w:val="000000"/>
        </w:rPr>
        <w:t xml:space="preserve"> within a </w:t>
      </w:r>
      <w:r w:rsidRPr="00B372D2">
        <w:rPr>
          <w:rFonts w:eastAsia="Times New Roman"/>
          <w:b/>
          <w:i/>
          <w:color w:val="000000"/>
        </w:rPr>
        <w:t>PUCCH-resoruceId</w:t>
      </w:r>
      <w:r>
        <w:rPr>
          <w:rFonts w:eastAsia="Times New Roman"/>
          <w:b/>
          <w:color w:val="000000"/>
        </w:rPr>
        <w:t xml:space="preserve"> for PUCCH FH in SBFD and non-SBFD symbols. </w:t>
      </w:r>
      <w:r>
        <w:rPr>
          <w:rFonts w:eastAsia="Malgun Gothic"/>
          <w:bCs/>
          <w:szCs w:val="20"/>
        </w:rPr>
        <w:t xml:space="preserve"> </w:t>
      </w:r>
    </w:p>
    <w:p w:rsidR="00B57A42" w:rsidRPr="007A3A05" w:rsidRDefault="00B57A42" w:rsidP="00B57A42">
      <w:pPr>
        <w:rPr>
          <w:rFonts w:eastAsiaTheme="minorEastAsia"/>
          <w:b/>
          <w:lang w:eastAsia="zh-CN"/>
        </w:rPr>
      </w:pPr>
      <w:r w:rsidRPr="007A3A05">
        <w:rPr>
          <w:rFonts w:eastAsiaTheme="minorEastAsia"/>
          <w:b/>
          <w:lang w:eastAsia="zh-CN"/>
        </w:rPr>
        <w:t>Proposal</w:t>
      </w:r>
      <w:r>
        <w:rPr>
          <w:rFonts w:eastAsiaTheme="minorEastAsia"/>
          <w:b/>
          <w:lang w:eastAsia="zh-CN"/>
        </w:rPr>
        <w:t xml:space="preserve"> 4</w:t>
      </w:r>
      <w:r w:rsidRPr="007A3A05">
        <w:rPr>
          <w:rFonts w:eastAsiaTheme="minorEastAsia"/>
          <w:b/>
          <w:lang w:eastAsia="zh-CN"/>
        </w:rPr>
        <w:t xml:space="preserve">: </w:t>
      </w:r>
      <w:r w:rsidRPr="007A3A05">
        <w:rPr>
          <w:rFonts w:eastAsiaTheme="minorEastAsia" w:hint="eastAsia"/>
          <w:b/>
          <w:lang w:eastAsia="zh-CN"/>
        </w:rPr>
        <w:t>S</w:t>
      </w:r>
      <w:r w:rsidRPr="007A3A05">
        <w:rPr>
          <w:rFonts w:eastAsiaTheme="minorEastAsia"/>
          <w:b/>
          <w:lang w:eastAsia="zh-CN"/>
        </w:rPr>
        <w:t xml:space="preserve">upport separate configurations of </w:t>
      </w:r>
      <w:r w:rsidRPr="007A3A05">
        <w:rPr>
          <w:rFonts w:eastAsiaTheme="minorEastAsia"/>
          <w:b/>
          <w:i/>
          <w:iCs/>
          <w:lang w:eastAsia="zh-CN"/>
        </w:rPr>
        <w:t>p-Max</w:t>
      </w:r>
      <w:r w:rsidRPr="007A3A05">
        <w:rPr>
          <w:rFonts w:eastAsiaTheme="minorEastAsia"/>
          <w:b/>
          <w:lang w:eastAsia="zh-CN"/>
        </w:rPr>
        <w:t xml:space="preserve"> for SBFD and non-SBFD symbols.</w:t>
      </w: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B57A42" w:rsidRDefault="00B57A42">
      <w:pPr>
        <w:rPr>
          <w:b/>
          <w:i/>
          <w:lang w:eastAsia="zh-CN"/>
        </w:rPr>
      </w:pPr>
    </w:p>
    <w:p w:rsidR="00B57A42" w:rsidRDefault="00B57A42">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E4311B" w:rsidRDefault="00E4311B">
      <w:pPr>
        <w:rPr>
          <w:b/>
          <w:i/>
          <w:lang w:eastAsia="zh-CN"/>
        </w:rPr>
      </w:pPr>
    </w:p>
    <w:p w:rsidR="00133F0E" w:rsidRDefault="00133F0E">
      <w:pPr>
        <w:rPr>
          <w:b/>
          <w:i/>
          <w:lang w:eastAsia="zh-CN"/>
        </w:rPr>
      </w:pPr>
    </w:p>
    <w:p w:rsidR="00133F0E" w:rsidRDefault="00133F0E">
      <w:pPr>
        <w:rPr>
          <w:b/>
          <w:i/>
          <w:lang w:eastAsia="zh-CN"/>
        </w:rPr>
      </w:pPr>
    </w:p>
    <w:p w:rsidR="00133F0E" w:rsidRDefault="00133F0E">
      <w:pPr>
        <w:rPr>
          <w:b/>
          <w:i/>
          <w:lang w:eastAsia="zh-CN"/>
        </w:rPr>
      </w:pPr>
    </w:p>
    <w:p w:rsidR="00133F0E" w:rsidRDefault="00133F0E">
      <w:pPr>
        <w:rPr>
          <w:b/>
          <w:i/>
          <w:lang w:eastAsia="zh-CN"/>
        </w:rPr>
      </w:pPr>
    </w:p>
    <w:p w:rsidR="00133F0E" w:rsidRDefault="00133F0E">
      <w:pPr>
        <w:rPr>
          <w:b/>
          <w:i/>
          <w:lang w:eastAsia="zh-CN"/>
        </w:rPr>
      </w:pPr>
    </w:p>
    <w:p w:rsidR="00E4311B" w:rsidRDefault="00E4311B">
      <w:pPr>
        <w:rPr>
          <w:b/>
          <w:i/>
          <w:lang w:eastAsia="zh-CN"/>
        </w:rPr>
      </w:pPr>
    </w:p>
    <w:p w:rsidR="00FF425C" w:rsidRDefault="00F3458E" w:rsidP="00CB72FA">
      <w:pPr>
        <w:pStyle w:val="Heading1"/>
        <w:numPr>
          <w:ilvl w:val="0"/>
          <w:numId w:val="0"/>
        </w:numPr>
        <w:ind w:left="432" w:hanging="432"/>
      </w:pPr>
      <w:bookmarkStart w:id="3" w:name="_Ref124671424"/>
      <w:bookmarkStart w:id="4" w:name="_Ref71620620"/>
      <w:bookmarkStart w:id="5" w:name="_Ref124589665"/>
      <w:r>
        <w:t>References</w:t>
      </w:r>
      <w:bookmarkEnd w:id="3"/>
      <w:bookmarkEnd w:id="4"/>
      <w:bookmarkEnd w:id="5"/>
    </w:p>
    <w:p w:rsidR="00C955AB" w:rsidRDefault="00C955AB" w:rsidP="00C955AB">
      <w:pPr>
        <w:pStyle w:val="References"/>
        <w:rPr>
          <w:lang w:eastAsia="zh-CN"/>
        </w:rPr>
      </w:pPr>
      <w:r w:rsidRPr="00C955AB">
        <w:t xml:space="preserve">RP-234035, “New WID: Evolution of NR duplex operation: Sub-band </w:t>
      </w:r>
      <w:r w:rsidRPr="00C955AB">
        <w:rPr>
          <w:lang w:eastAsia="zh-CN"/>
        </w:rPr>
        <w:t>full duplex”</w:t>
      </w:r>
      <w:r>
        <w:rPr>
          <w:lang w:eastAsia="zh-CN"/>
        </w:rPr>
        <w:t xml:space="preserve">. </w:t>
      </w:r>
      <w:r w:rsidRPr="00C955AB">
        <w:rPr>
          <w:lang w:eastAsia="zh-CN"/>
        </w:rPr>
        <w:t>3GPP TSG RAN Meeting #102 Edinburgh, Scotland, December 11-15, 2023</w:t>
      </w:r>
    </w:p>
    <w:p w:rsidR="00E54723" w:rsidRDefault="00E654DA" w:rsidP="00180CB7">
      <w:pPr>
        <w:pStyle w:val="References"/>
      </w:pPr>
      <w:r w:rsidRPr="00E654DA">
        <w:rPr>
          <w:lang w:eastAsia="zh-CN"/>
        </w:rPr>
        <w:t xml:space="preserve">3GPP </w:t>
      </w:r>
      <w:bookmarkStart w:id="6" w:name="specType1"/>
      <w:r w:rsidRPr="00E654DA">
        <w:rPr>
          <w:lang w:eastAsia="zh-CN"/>
        </w:rPr>
        <w:t>TR</w:t>
      </w:r>
      <w:bookmarkEnd w:id="6"/>
      <w:r w:rsidRPr="00E654DA">
        <w:rPr>
          <w:lang w:eastAsia="zh-CN"/>
        </w:rPr>
        <w:t xml:space="preserve"> </w:t>
      </w:r>
      <w:bookmarkStart w:id="7" w:name="specNumber"/>
      <w:r w:rsidRPr="00E654DA">
        <w:rPr>
          <w:lang w:eastAsia="zh-CN"/>
        </w:rPr>
        <w:t>38.</w:t>
      </w:r>
      <w:bookmarkEnd w:id="7"/>
      <w:r w:rsidRPr="00E654DA">
        <w:rPr>
          <w:lang w:eastAsia="zh-CN"/>
        </w:rPr>
        <w:t xml:space="preserve">858 </w:t>
      </w:r>
      <w:bookmarkStart w:id="8" w:name="specVersion"/>
      <w:r w:rsidRPr="00385753">
        <w:rPr>
          <w:lang w:eastAsia="zh-CN"/>
        </w:rPr>
        <w:t>V</w:t>
      </w:r>
      <w:r>
        <w:rPr>
          <w:lang w:eastAsia="zh-CN"/>
        </w:rPr>
        <w:t>1</w:t>
      </w:r>
      <w:r w:rsidRPr="00385753">
        <w:rPr>
          <w:lang w:eastAsia="zh-CN"/>
        </w:rPr>
        <w:t>.</w:t>
      </w:r>
      <w:r>
        <w:rPr>
          <w:lang w:eastAsia="zh-CN"/>
        </w:rPr>
        <w:t>0</w:t>
      </w:r>
      <w:r w:rsidRPr="00385753">
        <w:rPr>
          <w:lang w:eastAsia="zh-CN"/>
        </w:rPr>
        <w:t>.</w:t>
      </w:r>
      <w:bookmarkEnd w:id="8"/>
      <w:r>
        <w:rPr>
          <w:lang w:eastAsia="zh-CN"/>
        </w:rPr>
        <w:t>0</w:t>
      </w:r>
      <w:r w:rsidRPr="00385753">
        <w:rPr>
          <w:lang w:eastAsia="zh-CN"/>
        </w:rPr>
        <w:t xml:space="preserve"> </w:t>
      </w:r>
      <w:r w:rsidRPr="00E654DA">
        <w:rPr>
          <w:lang w:eastAsia="zh-CN"/>
        </w:rPr>
        <w:t>(</w:t>
      </w:r>
      <w:bookmarkStart w:id="9" w:name="issueDate"/>
      <w:r w:rsidRPr="00E654DA">
        <w:rPr>
          <w:lang w:eastAsia="zh-CN"/>
        </w:rPr>
        <w:t>2023-</w:t>
      </w:r>
      <w:bookmarkEnd w:id="9"/>
      <w:r w:rsidRPr="00E654DA">
        <w:rPr>
          <w:lang w:eastAsia="zh-CN"/>
        </w:rPr>
        <w:t>09)</w:t>
      </w:r>
      <w:r>
        <w:rPr>
          <w:lang w:eastAsia="zh-CN"/>
        </w:rPr>
        <w:t xml:space="preserve"> “</w:t>
      </w:r>
      <w:r>
        <w:t xml:space="preserve">Study on Evolution of NR Duplex Operation”. </w:t>
      </w:r>
    </w:p>
    <w:p w:rsidR="00540436" w:rsidRPr="00540436" w:rsidRDefault="00180CB7" w:rsidP="00540436">
      <w:pPr>
        <w:pStyle w:val="References"/>
        <w:rPr>
          <w:lang w:eastAsia="zh-CN"/>
        </w:rPr>
      </w:pPr>
      <w:r>
        <w:rPr>
          <w:lang w:eastAsia="zh-CN"/>
        </w:rPr>
        <w:t xml:space="preserve">Chairman notes, </w:t>
      </w:r>
      <w:bookmarkStart w:id="10" w:name="_Hlk145670493"/>
      <w:r w:rsidR="00540436" w:rsidRPr="00540436">
        <w:rPr>
          <w:lang w:eastAsia="zh-CN"/>
        </w:rPr>
        <w:t>3GPP TSG RAN WG1 #120</w:t>
      </w:r>
      <w:r w:rsidR="00901978">
        <w:rPr>
          <w:lang w:eastAsia="zh-CN"/>
        </w:rPr>
        <w:t xml:space="preserve">bis, Wuhan, China </w:t>
      </w:r>
      <w:r w:rsidR="00540436">
        <w:rPr>
          <w:lang w:eastAsia="zh-CN"/>
        </w:rPr>
        <w:t xml:space="preserve"> </w:t>
      </w:r>
      <w:r w:rsidR="00901978" w:rsidRPr="00901978">
        <w:rPr>
          <w:lang w:eastAsia="zh-CN"/>
        </w:rPr>
        <w:t>April 7</w:t>
      </w:r>
      <w:r w:rsidR="00901978" w:rsidRPr="00901978">
        <w:rPr>
          <w:rFonts w:hint="eastAsia"/>
          <w:lang w:eastAsia="zh-CN"/>
        </w:rPr>
        <w:t>th</w:t>
      </w:r>
      <w:r w:rsidR="00901978" w:rsidRPr="00901978">
        <w:rPr>
          <w:lang w:eastAsia="zh-CN"/>
        </w:rPr>
        <w:t xml:space="preserve"> – 11th, 2025</w:t>
      </w:r>
    </w:p>
    <w:bookmarkEnd w:id="10"/>
    <w:p w:rsidR="00540436" w:rsidRPr="00540436" w:rsidRDefault="00901978" w:rsidP="00540436">
      <w:pPr>
        <w:pStyle w:val="References"/>
        <w:rPr>
          <w:rFonts w:eastAsiaTheme="minorEastAsia"/>
          <w:bCs/>
          <w:lang w:eastAsia="zh-CN"/>
        </w:rPr>
      </w:pPr>
      <w:r w:rsidRPr="00BE06AA">
        <w:rPr>
          <w:lang w:eastAsia="zh-CN"/>
        </w:rPr>
        <w:t>R1-2502799</w:t>
      </w:r>
      <w:r w:rsidR="00540436" w:rsidRPr="00BE06AA">
        <w:rPr>
          <w:lang w:eastAsia="zh-CN"/>
        </w:rPr>
        <w:t xml:space="preserve">, FL summary </w:t>
      </w:r>
      <w:r w:rsidR="00540436">
        <w:rPr>
          <w:lang w:eastAsia="zh-CN"/>
        </w:rPr>
        <w:t xml:space="preserve">3GPP TSG RAN WG1 </w:t>
      </w:r>
      <w:r w:rsidR="00540436" w:rsidRPr="00BE06AA">
        <w:rPr>
          <w:lang w:eastAsia="zh-CN"/>
        </w:rPr>
        <w:t>#120</w:t>
      </w:r>
      <w:r w:rsidRPr="00BE06AA">
        <w:rPr>
          <w:lang w:eastAsia="zh-CN"/>
        </w:rPr>
        <w:t>bis</w:t>
      </w:r>
      <w:r w:rsidR="00540436">
        <w:rPr>
          <w:rFonts w:eastAsiaTheme="minorEastAsia"/>
          <w:bCs/>
          <w:lang w:eastAsia="zh-CN"/>
        </w:rPr>
        <w:t xml:space="preserve">, </w:t>
      </w:r>
      <w:r>
        <w:rPr>
          <w:lang w:eastAsia="zh-CN"/>
        </w:rPr>
        <w:t xml:space="preserve">Wuhan, China  </w:t>
      </w:r>
      <w:r w:rsidRPr="00901978">
        <w:rPr>
          <w:lang w:eastAsia="zh-CN"/>
        </w:rPr>
        <w:t>April 7</w:t>
      </w:r>
      <w:r w:rsidRPr="00901978">
        <w:rPr>
          <w:rFonts w:hint="eastAsia"/>
          <w:lang w:eastAsia="zh-CN"/>
        </w:rPr>
        <w:t>th</w:t>
      </w:r>
      <w:r w:rsidRPr="00901978">
        <w:rPr>
          <w:lang w:eastAsia="zh-CN"/>
        </w:rPr>
        <w:t xml:space="preserve"> – 11th, 2025</w:t>
      </w:r>
    </w:p>
    <w:p w:rsidR="00180CB7" w:rsidRDefault="00180CB7" w:rsidP="00540436">
      <w:pPr>
        <w:pStyle w:val="References"/>
        <w:numPr>
          <w:ilvl w:val="0"/>
          <w:numId w:val="0"/>
        </w:numPr>
      </w:pPr>
    </w:p>
    <w:p w:rsidR="00CB72FA" w:rsidRDefault="00CB72FA" w:rsidP="00CB72FA">
      <w:pPr>
        <w:pStyle w:val="References"/>
        <w:numPr>
          <w:ilvl w:val="0"/>
          <w:numId w:val="0"/>
        </w:numPr>
        <w:tabs>
          <w:tab w:val="left" w:pos="1778"/>
        </w:tabs>
        <w:ind w:left="360"/>
      </w:pPr>
    </w:p>
    <w:sectPr w:rsidR="00CB72FA" w:rsidSect="0083389B">
      <w:footerReference w:type="default" r:id="rId13"/>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0396" w:rsidRDefault="006F0396">
      <w:pPr>
        <w:spacing w:after="0"/>
      </w:pPr>
      <w:r>
        <w:separator/>
      </w:r>
    </w:p>
  </w:endnote>
  <w:endnote w:type="continuationSeparator" w:id="0">
    <w:p w:rsidR="006F0396" w:rsidRDefault="006F03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auto"/>
    <w:pitch w:val="default"/>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AutoText"/>
      </w:docPartObj>
    </w:sdtPr>
    <w:sdtEndPr/>
    <w:sdtContent>
      <w:p w:rsidR="00187202" w:rsidRDefault="00187202">
        <w:pPr>
          <w:pStyle w:val="Footer"/>
          <w:jc w:val="center"/>
        </w:pPr>
        <w:r>
          <w:fldChar w:fldCharType="begin"/>
        </w:r>
        <w:r>
          <w:instrText xml:space="preserve"> PAGE   \* MERGEFORMAT </w:instrText>
        </w:r>
        <w:r>
          <w:fldChar w:fldCharType="separate"/>
        </w:r>
        <w:r w:rsidR="006F0396">
          <w:rPr>
            <w:noProof/>
          </w:rPr>
          <w:t>1</w:t>
        </w:r>
        <w:r>
          <w:fldChar w:fldCharType="end"/>
        </w:r>
      </w:p>
    </w:sdtContent>
  </w:sdt>
  <w:p w:rsidR="00187202" w:rsidRDefault="00187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0396" w:rsidRDefault="006F0396">
      <w:pPr>
        <w:spacing w:after="0"/>
      </w:pPr>
      <w:r>
        <w:separator/>
      </w:r>
    </w:p>
  </w:footnote>
  <w:footnote w:type="continuationSeparator" w:id="0">
    <w:p w:rsidR="006F0396" w:rsidRDefault="006F03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1C568B68"/>
    <w:lvl w:ilvl="0">
      <w:start w:val="1"/>
      <w:numFmt w:val="bullet"/>
      <w:pStyle w:val="ListBullet2"/>
      <w:lvlText w:val=""/>
      <w:lvlJc w:val="left"/>
      <w:pPr>
        <w:tabs>
          <w:tab w:val="num" w:pos="1080"/>
        </w:tabs>
        <w:ind w:left="1080" w:hanging="720"/>
      </w:pPr>
      <w:rPr>
        <w:rFonts w:ascii="Symbol" w:hAnsi="Symbol" w:hint="default"/>
      </w:rPr>
    </w:lvl>
  </w:abstractNum>
  <w:abstractNum w:abstractNumId="1" w15:restartNumberingAfterBreak="0">
    <w:nsid w:val="085A0D92"/>
    <w:multiLevelType w:val="hybridMultilevel"/>
    <w:tmpl w:val="FD9AC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233ACB"/>
    <w:multiLevelType w:val="hybridMultilevel"/>
    <w:tmpl w:val="6AC8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6D7C"/>
    <w:multiLevelType w:val="multilevel"/>
    <w:tmpl w:val="14C16D7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4408" w:hanging="864"/>
      </w:pPr>
      <w:rPr>
        <w:rFonts w:hint="default"/>
        <w:b/>
        <w:color w:val="auto"/>
        <w:sz w:val="21"/>
        <w:szCs w:val="21"/>
        <w:highlight w:val="none"/>
        <w:u w:val="none"/>
      </w:rPr>
    </w:lvl>
    <w:lvl w:ilvl="4">
      <w:start w:val="1"/>
      <w:numFmt w:val="decimal"/>
      <w:lvlText w:val="%1.%2.%3.%4.%5"/>
      <w:lvlJc w:val="left"/>
      <w:pPr>
        <w:ind w:left="1008" w:hanging="1008"/>
      </w:pPr>
    </w:lvl>
    <w:lvl w:ilvl="5">
      <w:start w:val="1"/>
      <w:numFmt w:val="decimal"/>
      <w:lvlText w:val="%1.%2.%3.%4.%5.%6"/>
      <w:lvlJc w:val="left"/>
      <w:pPr>
        <w:ind w:left="1152" w:hanging="1152"/>
      </w:pPr>
      <w:rPr>
        <w:rFonts w:ascii="Arial" w:hAnsi="Arial" w:cs="Arial" w:hint="default"/>
        <w:b/>
        <w:color w:val="auto"/>
        <w:sz w:val="21"/>
        <w:szCs w:val="21"/>
        <w:u w:val="none"/>
      </w:r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7FC6642"/>
    <w:multiLevelType w:val="hybridMultilevel"/>
    <w:tmpl w:val="7F929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F651013"/>
    <w:multiLevelType w:val="multilevel"/>
    <w:tmpl w:val="A4FCF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842A9E"/>
    <w:multiLevelType w:val="multilevel"/>
    <w:tmpl w:val="3538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0152DD"/>
    <w:multiLevelType w:val="hybridMultilevel"/>
    <w:tmpl w:val="4E4C0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2CE4742A"/>
    <w:multiLevelType w:val="multilevel"/>
    <w:tmpl w:val="6E506AF0"/>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D857C8"/>
    <w:multiLevelType w:val="multilevel"/>
    <w:tmpl w:val="AB1A8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900"/>
        </w:tabs>
        <w:ind w:left="9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34CD5750"/>
    <w:multiLevelType w:val="hybridMultilevel"/>
    <w:tmpl w:val="B3FC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BAC069E"/>
    <w:multiLevelType w:val="hybridMultilevel"/>
    <w:tmpl w:val="FDEE2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3F43A3"/>
    <w:multiLevelType w:val="hybridMultilevel"/>
    <w:tmpl w:val="1C6E0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F336A4"/>
    <w:multiLevelType w:val="hybridMultilevel"/>
    <w:tmpl w:val="E07C7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3"/>
  </w:num>
  <w:num w:numId="4">
    <w:abstractNumId w:val="0"/>
  </w:num>
  <w:num w:numId="5">
    <w:abstractNumId w:val="32"/>
  </w:num>
  <w:num w:numId="6">
    <w:abstractNumId w:val="5"/>
  </w:num>
  <w:num w:numId="7">
    <w:abstractNumId w:val="1"/>
  </w:num>
  <w:num w:numId="8">
    <w:abstractNumId w:val="3"/>
  </w:num>
  <w:num w:numId="9">
    <w:abstractNumId w:val="10"/>
  </w:num>
  <w:num w:numId="10">
    <w:abstractNumId w:val="12"/>
  </w:num>
  <w:num w:numId="11">
    <w:abstractNumId w:val="30"/>
  </w:num>
  <w:num w:numId="12">
    <w:abstractNumId w:val="11"/>
  </w:num>
  <w:num w:numId="13">
    <w:abstractNumId w:val="6"/>
  </w:num>
  <w:num w:numId="14">
    <w:abstractNumId w:val="14"/>
  </w:num>
  <w:num w:numId="15">
    <w:abstractNumId w:val="29"/>
  </w:num>
  <w:num w:numId="16">
    <w:abstractNumId w:val="16"/>
  </w:num>
  <w:num w:numId="17">
    <w:abstractNumId w:val="24"/>
  </w:num>
  <w:num w:numId="18">
    <w:abstractNumId w:val="18"/>
  </w:num>
  <w:num w:numId="19">
    <w:abstractNumId w:val="25"/>
  </w:num>
  <w:num w:numId="20">
    <w:abstractNumId w:val="21"/>
  </w:num>
  <w:num w:numId="21">
    <w:abstractNumId w:val="27"/>
  </w:num>
  <w:num w:numId="22">
    <w:abstractNumId w:val="2"/>
  </w:num>
  <w:num w:numId="23">
    <w:abstractNumId w:val="31"/>
  </w:num>
  <w:num w:numId="24">
    <w:abstractNumId w:val="28"/>
  </w:num>
  <w:num w:numId="25">
    <w:abstractNumId w:val="22"/>
  </w:num>
  <w:num w:numId="26">
    <w:abstractNumId w:val="15"/>
  </w:num>
  <w:num w:numId="27">
    <w:abstractNumId w:val="15"/>
  </w:num>
  <w:num w:numId="28">
    <w:abstractNumId w:val="15"/>
  </w:num>
  <w:num w:numId="29">
    <w:abstractNumId w:val="15"/>
  </w:num>
  <w:num w:numId="30">
    <w:abstractNumId w:val="15"/>
  </w:num>
  <w:num w:numId="31">
    <w:abstractNumId w:val="4"/>
  </w:num>
  <w:num w:numId="32">
    <w:abstractNumId w:val="8"/>
  </w:num>
  <w:num w:numId="33">
    <w:abstractNumId w:val="9"/>
  </w:num>
  <w:num w:numId="34">
    <w:abstractNumId w:val="17"/>
  </w:num>
  <w:num w:numId="35">
    <w:abstractNumId w:val="20"/>
  </w:num>
  <w:num w:numId="36">
    <w:abstractNumId w:val="26"/>
  </w:num>
  <w:num w:numId="37">
    <w:abstractNumId w:val="15"/>
  </w:num>
  <w:num w:numId="38">
    <w:abstractNumId w:val="15"/>
  </w:num>
  <w:num w:numId="39">
    <w:abstractNumId w:val="15"/>
  </w:num>
  <w:num w:numId="40">
    <w:abstractNumId w:val="17"/>
  </w:num>
  <w:num w:numId="41">
    <w:abstractNumId w:val="13"/>
  </w:num>
  <w:num w:numId="42">
    <w:abstractNumId w:val="7"/>
  </w:num>
  <w:num w:numId="43">
    <w:abstractNumId w:val="19"/>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savePreviewPicture/>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CF5263"/>
    <w:rsid w:val="00000D04"/>
    <w:rsid w:val="00000DB2"/>
    <w:rsid w:val="0000195C"/>
    <w:rsid w:val="000020F6"/>
    <w:rsid w:val="00002893"/>
    <w:rsid w:val="00002C6C"/>
    <w:rsid w:val="000033A3"/>
    <w:rsid w:val="00003605"/>
    <w:rsid w:val="00003C56"/>
    <w:rsid w:val="00003EC2"/>
    <w:rsid w:val="000040A9"/>
    <w:rsid w:val="0000458E"/>
    <w:rsid w:val="00004E70"/>
    <w:rsid w:val="00005227"/>
    <w:rsid w:val="000062BE"/>
    <w:rsid w:val="00006346"/>
    <w:rsid w:val="00006E5A"/>
    <w:rsid w:val="000072B6"/>
    <w:rsid w:val="00007813"/>
    <w:rsid w:val="000109B1"/>
    <w:rsid w:val="000109E6"/>
    <w:rsid w:val="00010A62"/>
    <w:rsid w:val="00011F67"/>
    <w:rsid w:val="00012712"/>
    <w:rsid w:val="00012862"/>
    <w:rsid w:val="000128E6"/>
    <w:rsid w:val="00012F35"/>
    <w:rsid w:val="00013C8B"/>
    <w:rsid w:val="0001452C"/>
    <w:rsid w:val="000149E6"/>
    <w:rsid w:val="00015500"/>
    <w:rsid w:val="00015EFB"/>
    <w:rsid w:val="00016451"/>
    <w:rsid w:val="000165E2"/>
    <w:rsid w:val="0001687E"/>
    <w:rsid w:val="00016DFD"/>
    <w:rsid w:val="000172BE"/>
    <w:rsid w:val="00017570"/>
    <w:rsid w:val="00017D8A"/>
    <w:rsid w:val="00020C48"/>
    <w:rsid w:val="00020EB8"/>
    <w:rsid w:val="00022BDB"/>
    <w:rsid w:val="00023388"/>
    <w:rsid w:val="00023425"/>
    <w:rsid w:val="000241BE"/>
    <w:rsid w:val="000242F2"/>
    <w:rsid w:val="00025150"/>
    <w:rsid w:val="000251C1"/>
    <w:rsid w:val="000254F4"/>
    <w:rsid w:val="000256F4"/>
    <w:rsid w:val="0002630F"/>
    <w:rsid w:val="00026D4B"/>
    <w:rsid w:val="000275C6"/>
    <w:rsid w:val="00027AB3"/>
    <w:rsid w:val="00027AD6"/>
    <w:rsid w:val="0003024C"/>
    <w:rsid w:val="000312B8"/>
    <w:rsid w:val="000312C9"/>
    <w:rsid w:val="000317CD"/>
    <w:rsid w:val="000319D1"/>
    <w:rsid w:val="00031ADB"/>
    <w:rsid w:val="00032056"/>
    <w:rsid w:val="000328CA"/>
    <w:rsid w:val="0003294A"/>
    <w:rsid w:val="00032E40"/>
    <w:rsid w:val="000333D4"/>
    <w:rsid w:val="0003376B"/>
    <w:rsid w:val="00034676"/>
    <w:rsid w:val="000346E6"/>
    <w:rsid w:val="00034755"/>
    <w:rsid w:val="00034DF1"/>
    <w:rsid w:val="000352B3"/>
    <w:rsid w:val="000360A8"/>
    <w:rsid w:val="00036908"/>
    <w:rsid w:val="000377AE"/>
    <w:rsid w:val="00037B2F"/>
    <w:rsid w:val="0004023E"/>
    <w:rsid w:val="0004024B"/>
    <w:rsid w:val="0004060A"/>
    <w:rsid w:val="00041C57"/>
    <w:rsid w:val="000434B7"/>
    <w:rsid w:val="000435E4"/>
    <w:rsid w:val="0004406E"/>
    <w:rsid w:val="000449F2"/>
    <w:rsid w:val="00044AB4"/>
    <w:rsid w:val="00044F91"/>
    <w:rsid w:val="00046796"/>
    <w:rsid w:val="000467FD"/>
    <w:rsid w:val="00046AAF"/>
    <w:rsid w:val="00047225"/>
    <w:rsid w:val="0004777E"/>
    <w:rsid w:val="00047E60"/>
    <w:rsid w:val="00052AD2"/>
    <w:rsid w:val="00052E0B"/>
    <w:rsid w:val="000530DF"/>
    <w:rsid w:val="000532AA"/>
    <w:rsid w:val="000532DE"/>
    <w:rsid w:val="000545C8"/>
    <w:rsid w:val="00054E0C"/>
    <w:rsid w:val="0005541D"/>
    <w:rsid w:val="000559BE"/>
    <w:rsid w:val="000565C8"/>
    <w:rsid w:val="00057DC8"/>
    <w:rsid w:val="0006106C"/>
    <w:rsid w:val="000612E1"/>
    <w:rsid w:val="00061306"/>
    <w:rsid w:val="000614FE"/>
    <w:rsid w:val="00061C15"/>
    <w:rsid w:val="00061D60"/>
    <w:rsid w:val="00061ECD"/>
    <w:rsid w:val="000627D4"/>
    <w:rsid w:val="00062823"/>
    <w:rsid w:val="0006370D"/>
    <w:rsid w:val="00063D53"/>
    <w:rsid w:val="0006519C"/>
    <w:rsid w:val="00065317"/>
    <w:rsid w:val="0006531B"/>
    <w:rsid w:val="00065D38"/>
    <w:rsid w:val="00067CF5"/>
    <w:rsid w:val="00067DD1"/>
    <w:rsid w:val="00070397"/>
    <w:rsid w:val="00070447"/>
    <w:rsid w:val="000706E7"/>
    <w:rsid w:val="00070B2C"/>
    <w:rsid w:val="00070C5E"/>
    <w:rsid w:val="00070EF8"/>
    <w:rsid w:val="00070F67"/>
    <w:rsid w:val="000710FE"/>
    <w:rsid w:val="00071192"/>
    <w:rsid w:val="000713A7"/>
    <w:rsid w:val="00072A80"/>
    <w:rsid w:val="00072AF1"/>
    <w:rsid w:val="00072F51"/>
    <w:rsid w:val="000731A0"/>
    <w:rsid w:val="000733B1"/>
    <w:rsid w:val="000736C1"/>
    <w:rsid w:val="00073797"/>
    <w:rsid w:val="00073DEC"/>
    <w:rsid w:val="00074376"/>
    <w:rsid w:val="000745AA"/>
    <w:rsid w:val="00074E86"/>
    <w:rsid w:val="0007521B"/>
    <w:rsid w:val="00076097"/>
    <w:rsid w:val="0007631C"/>
    <w:rsid w:val="00076541"/>
    <w:rsid w:val="00077052"/>
    <w:rsid w:val="000772F4"/>
    <w:rsid w:val="00077609"/>
    <w:rsid w:val="000776EB"/>
    <w:rsid w:val="000823B0"/>
    <w:rsid w:val="0008335B"/>
    <w:rsid w:val="00083379"/>
    <w:rsid w:val="00083587"/>
    <w:rsid w:val="00083838"/>
    <w:rsid w:val="00083B6A"/>
    <w:rsid w:val="00084C3C"/>
    <w:rsid w:val="0008501C"/>
    <w:rsid w:val="00085E04"/>
    <w:rsid w:val="00086800"/>
    <w:rsid w:val="00087913"/>
    <w:rsid w:val="000902DC"/>
    <w:rsid w:val="00090D2B"/>
    <w:rsid w:val="000911AE"/>
    <w:rsid w:val="0009139F"/>
    <w:rsid w:val="00091484"/>
    <w:rsid w:val="00093234"/>
    <w:rsid w:val="00093697"/>
    <w:rsid w:val="00093D42"/>
    <w:rsid w:val="00093DD0"/>
    <w:rsid w:val="000944A1"/>
    <w:rsid w:val="0009473B"/>
    <w:rsid w:val="00094A16"/>
    <w:rsid w:val="00094D34"/>
    <w:rsid w:val="00094DE6"/>
    <w:rsid w:val="0009596D"/>
    <w:rsid w:val="00095B6D"/>
    <w:rsid w:val="00095BA0"/>
    <w:rsid w:val="00096356"/>
    <w:rsid w:val="0009665C"/>
    <w:rsid w:val="00096785"/>
    <w:rsid w:val="0009698C"/>
    <w:rsid w:val="00097210"/>
    <w:rsid w:val="00097C99"/>
    <w:rsid w:val="000A0F14"/>
    <w:rsid w:val="000A13D1"/>
    <w:rsid w:val="000A1441"/>
    <w:rsid w:val="000A1A06"/>
    <w:rsid w:val="000A1B60"/>
    <w:rsid w:val="000A21B4"/>
    <w:rsid w:val="000A2CC7"/>
    <w:rsid w:val="000A2ED6"/>
    <w:rsid w:val="000A3156"/>
    <w:rsid w:val="000A4205"/>
    <w:rsid w:val="000A4292"/>
    <w:rsid w:val="000A4A19"/>
    <w:rsid w:val="000A4FE8"/>
    <w:rsid w:val="000A52C1"/>
    <w:rsid w:val="000A5446"/>
    <w:rsid w:val="000A56DD"/>
    <w:rsid w:val="000A6351"/>
    <w:rsid w:val="000A63D6"/>
    <w:rsid w:val="000A70C3"/>
    <w:rsid w:val="000A70FA"/>
    <w:rsid w:val="000A7B38"/>
    <w:rsid w:val="000B0343"/>
    <w:rsid w:val="000B0468"/>
    <w:rsid w:val="000B2985"/>
    <w:rsid w:val="000B2C88"/>
    <w:rsid w:val="000B3342"/>
    <w:rsid w:val="000B3AA2"/>
    <w:rsid w:val="000B4897"/>
    <w:rsid w:val="000B51FA"/>
    <w:rsid w:val="000B56FB"/>
    <w:rsid w:val="000B5905"/>
    <w:rsid w:val="000B5975"/>
    <w:rsid w:val="000B6E2C"/>
    <w:rsid w:val="000B76C5"/>
    <w:rsid w:val="000B771E"/>
    <w:rsid w:val="000B7A10"/>
    <w:rsid w:val="000C0085"/>
    <w:rsid w:val="000C02FB"/>
    <w:rsid w:val="000C0A80"/>
    <w:rsid w:val="000C115D"/>
    <w:rsid w:val="000C1461"/>
    <w:rsid w:val="000C1535"/>
    <w:rsid w:val="000C1D1A"/>
    <w:rsid w:val="000C252B"/>
    <w:rsid w:val="000C2964"/>
    <w:rsid w:val="000C2FBD"/>
    <w:rsid w:val="000C3B0C"/>
    <w:rsid w:val="000C405B"/>
    <w:rsid w:val="000C422D"/>
    <w:rsid w:val="000C4ADF"/>
    <w:rsid w:val="000C560E"/>
    <w:rsid w:val="000C5F91"/>
    <w:rsid w:val="000C6025"/>
    <w:rsid w:val="000C6AE5"/>
    <w:rsid w:val="000C6F75"/>
    <w:rsid w:val="000C7100"/>
    <w:rsid w:val="000C7984"/>
    <w:rsid w:val="000C7B9E"/>
    <w:rsid w:val="000D0565"/>
    <w:rsid w:val="000D0E4E"/>
    <w:rsid w:val="000D0F3B"/>
    <w:rsid w:val="000D113C"/>
    <w:rsid w:val="000D12D1"/>
    <w:rsid w:val="000D159A"/>
    <w:rsid w:val="000D1796"/>
    <w:rsid w:val="000D22CC"/>
    <w:rsid w:val="000D2612"/>
    <w:rsid w:val="000D36AE"/>
    <w:rsid w:val="000D38A1"/>
    <w:rsid w:val="000D4C4E"/>
    <w:rsid w:val="000D5077"/>
    <w:rsid w:val="000D5362"/>
    <w:rsid w:val="000D57F8"/>
    <w:rsid w:val="000D5851"/>
    <w:rsid w:val="000D5C60"/>
    <w:rsid w:val="000D71E2"/>
    <w:rsid w:val="000D73A5"/>
    <w:rsid w:val="000E07D6"/>
    <w:rsid w:val="000E106A"/>
    <w:rsid w:val="000E10AD"/>
    <w:rsid w:val="000E11F2"/>
    <w:rsid w:val="000E125A"/>
    <w:rsid w:val="000E1380"/>
    <w:rsid w:val="000E18DF"/>
    <w:rsid w:val="000E317C"/>
    <w:rsid w:val="000E337D"/>
    <w:rsid w:val="000E499F"/>
    <w:rsid w:val="000E4B47"/>
    <w:rsid w:val="000E4D65"/>
    <w:rsid w:val="000E53C0"/>
    <w:rsid w:val="000E59A0"/>
    <w:rsid w:val="000E62E2"/>
    <w:rsid w:val="000E6786"/>
    <w:rsid w:val="000E7A84"/>
    <w:rsid w:val="000E7E23"/>
    <w:rsid w:val="000F0BDB"/>
    <w:rsid w:val="000F1004"/>
    <w:rsid w:val="000F1167"/>
    <w:rsid w:val="000F15BC"/>
    <w:rsid w:val="000F180A"/>
    <w:rsid w:val="000F1C92"/>
    <w:rsid w:val="000F2EEE"/>
    <w:rsid w:val="000F33B5"/>
    <w:rsid w:val="000F3697"/>
    <w:rsid w:val="000F3B0F"/>
    <w:rsid w:val="000F4616"/>
    <w:rsid w:val="000F4E15"/>
    <w:rsid w:val="000F5F90"/>
    <w:rsid w:val="000F670C"/>
    <w:rsid w:val="000F6AE5"/>
    <w:rsid w:val="000F7F58"/>
    <w:rsid w:val="00100128"/>
    <w:rsid w:val="00100D2F"/>
    <w:rsid w:val="00100FF3"/>
    <w:rsid w:val="001026CA"/>
    <w:rsid w:val="00102E8B"/>
    <w:rsid w:val="00103F21"/>
    <w:rsid w:val="001043C2"/>
    <w:rsid w:val="001043E1"/>
    <w:rsid w:val="00104D14"/>
    <w:rsid w:val="0010505A"/>
    <w:rsid w:val="00105A46"/>
    <w:rsid w:val="00105CC7"/>
    <w:rsid w:val="00107037"/>
    <w:rsid w:val="00107779"/>
    <w:rsid w:val="001078C2"/>
    <w:rsid w:val="00107D8A"/>
    <w:rsid w:val="00107E1C"/>
    <w:rsid w:val="00110243"/>
    <w:rsid w:val="00110D31"/>
    <w:rsid w:val="001112C4"/>
    <w:rsid w:val="00111444"/>
    <w:rsid w:val="00111723"/>
    <w:rsid w:val="001129B5"/>
    <w:rsid w:val="00112BE6"/>
    <w:rsid w:val="001132C4"/>
    <w:rsid w:val="00113B94"/>
    <w:rsid w:val="00113CD4"/>
    <w:rsid w:val="001141E3"/>
    <w:rsid w:val="001144DF"/>
    <w:rsid w:val="001154E5"/>
    <w:rsid w:val="0011557B"/>
    <w:rsid w:val="00115C89"/>
    <w:rsid w:val="00115EF4"/>
    <w:rsid w:val="00116739"/>
    <w:rsid w:val="00117798"/>
    <w:rsid w:val="00117C85"/>
    <w:rsid w:val="00120982"/>
    <w:rsid w:val="00120B13"/>
    <w:rsid w:val="001213ED"/>
    <w:rsid w:val="00121E87"/>
    <w:rsid w:val="00124D84"/>
    <w:rsid w:val="00124FA0"/>
    <w:rsid w:val="001250DD"/>
    <w:rsid w:val="00125733"/>
    <w:rsid w:val="00125A87"/>
    <w:rsid w:val="001263AA"/>
    <w:rsid w:val="00127B9C"/>
    <w:rsid w:val="00127CAA"/>
    <w:rsid w:val="00130779"/>
    <w:rsid w:val="001307A1"/>
    <w:rsid w:val="001321D3"/>
    <w:rsid w:val="001324BE"/>
    <w:rsid w:val="00132E2A"/>
    <w:rsid w:val="0013329D"/>
    <w:rsid w:val="00133599"/>
    <w:rsid w:val="00133BF7"/>
    <w:rsid w:val="00133F0E"/>
    <w:rsid w:val="001342F5"/>
    <w:rsid w:val="0013463B"/>
    <w:rsid w:val="00134B88"/>
    <w:rsid w:val="00136A23"/>
    <w:rsid w:val="00136A49"/>
    <w:rsid w:val="00136B99"/>
    <w:rsid w:val="00136C65"/>
    <w:rsid w:val="0014063E"/>
    <w:rsid w:val="0014087D"/>
    <w:rsid w:val="00140F74"/>
    <w:rsid w:val="00141191"/>
    <w:rsid w:val="0014159C"/>
    <w:rsid w:val="00142665"/>
    <w:rsid w:val="00142DF5"/>
    <w:rsid w:val="0014357D"/>
    <w:rsid w:val="00143829"/>
    <w:rsid w:val="0014384A"/>
    <w:rsid w:val="0014450F"/>
    <w:rsid w:val="00144D8F"/>
    <w:rsid w:val="00145231"/>
    <w:rsid w:val="00145C74"/>
    <w:rsid w:val="001462E9"/>
    <w:rsid w:val="00146E32"/>
    <w:rsid w:val="00147888"/>
    <w:rsid w:val="00151619"/>
    <w:rsid w:val="001517ED"/>
    <w:rsid w:val="00151D2A"/>
    <w:rsid w:val="001522F2"/>
    <w:rsid w:val="00152835"/>
    <w:rsid w:val="001529B6"/>
    <w:rsid w:val="001534AA"/>
    <w:rsid w:val="00153629"/>
    <w:rsid w:val="0015368D"/>
    <w:rsid w:val="00153E26"/>
    <w:rsid w:val="00154488"/>
    <w:rsid w:val="001559FA"/>
    <w:rsid w:val="00156374"/>
    <w:rsid w:val="00156A03"/>
    <w:rsid w:val="00156CDC"/>
    <w:rsid w:val="001577D8"/>
    <w:rsid w:val="00157FC3"/>
    <w:rsid w:val="00160739"/>
    <w:rsid w:val="00160EC9"/>
    <w:rsid w:val="00161EEE"/>
    <w:rsid w:val="001626D6"/>
    <w:rsid w:val="0016271E"/>
    <w:rsid w:val="00162D7A"/>
    <w:rsid w:val="001635BC"/>
    <w:rsid w:val="00164DAB"/>
    <w:rsid w:val="00164FF5"/>
    <w:rsid w:val="00165B87"/>
    <w:rsid w:val="00165BBB"/>
    <w:rsid w:val="0016613F"/>
    <w:rsid w:val="00166215"/>
    <w:rsid w:val="00166591"/>
    <w:rsid w:val="00171143"/>
    <w:rsid w:val="00171C5C"/>
    <w:rsid w:val="00172864"/>
    <w:rsid w:val="00172B82"/>
    <w:rsid w:val="00172EFA"/>
    <w:rsid w:val="00173608"/>
    <w:rsid w:val="00173DAC"/>
    <w:rsid w:val="00174538"/>
    <w:rsid w:val="001745EC"/>
    <w:rsid w:val="001747B7"/>
    <w:rsid w:val="00175864"/>
    <w:rsid w:val="00175C30"/>
    <w:rsid w:val="001761B2"/>
    <w:rsid w:val="0017631D"/>
    <w:rsid w:val="00177069"/>
    <w:rsid w:val="00177658"/>
    <w:rsid w:val="00177FC1"/>
    <w:rsid w:val="00180223"/>
    <w:rsid w:val="00180CB7"/>
    <w:rsid w:val="00180E50"/>
    <w:rsid w:val="001815A2"/>
    <w:rsid w:val="001818C1"/>
    <w:rsid w:val="00181FC1"/>
    <w:rsid w:val="0018244E"/>
    <w:rsid w:val="00183034"/>
    <w:rsid w:val="001830F7"/>
    <w:rsid w:val="00183373"/>
    <w:rsid w:val="0018393C"/>
    <w:rsid w:val="00183A5C"/>
    <w:rsid w:val="00183EA5"/>
    <w:rsid w:val="00183EE6"/>
    <w:rsid w:val="0018588A"/>
    <w:rsid w:val="0018635E"/>
    <w:rsid w:val="00186469"/>
    <w:rsid w:val="00186FB5"/>
    <w:rsid w:val="00187202"/>
    <w:rsid w:val="00187252"/>
    <w:rsid w:val="0019033B"/>
    <w:rsid w:val="0019053D"/>
    <w:rsid w:val="001905BB"/>
    <w:rsid w:val="00190859"/>
    <w:rsid w:val="001910CD"/>
    <w:rsid w:val="00191AAC"/>
    <w:rsid w:val="00191C91"/>
    <w:rsid w:val="001923B2"/>
    <w:rsid w:val="0019264D"/>
    <w:rsid w:val="00192DD9"/>
    <w:rsid w:val="00193CF5"/>
    <w:rsid w:val="00194196"/>
    <w:rsid w:val="00194339"/>
    <w:rsid w:val="00194848"/>
    <w:rsid w:val="0019500D"/>
    <w:rsid w:val="001958EA"/>
    <w:rsid w:val="00195E0E"/>
    <w:rsid w:val="00197951"/>
    <w:rsid w:val="001A0564"/>
    <w:rsid w:val="001A0589"/>
    <w:rsid w:val="001A0A88"/>
    <w:rsid w:val="001A1059"/>
    <w:rsid w:val="001A180D"/>
    <w:rsid w:val="001A1B6F"/>
    <w:rsid w:val="001A1BAC"/>
    <w:rsid w:val="001A23CE"/>
    <w:rsid w:val="001A2C89"/>
    <w:rsid w:val="001A33BB"/>
    <w:rsid w:val="001A350C"/>
    <w:rsid w:val="001A3889"/>
    <w:rsid w:val="001A4C4B"/>
    <w:rsid w:val="001A596B"/>
    <w:rsid w:val="001A673E"/>
    <w:rsid w:val="001A74B9"/>
    <w:rsid w:val="001A750E"/>
    <w:rsid w:val="001A76B4"/>
    <w:rsid w:val="001A7763"/>
    <w:rsid w:val="001A7ED9"/>
    <w:rsid w:val="001B0EDA"/>
    <w:rsid w:val="001B1ECD"/>
    <w:rsid w:val="001B2B28"/>
    <w:rsid w:val="001B2D0A"/>
    <w:rsid w:val="001B3964"/>
    <w:rsid w:val="001B433D"/>
    <w:rsid w:val="001B4452"/>
    <w:rsid w:val="001B466C"/>
    <w:rsid w:val="001B4B05"/>
    <w:rsid w:val="001B4F34"/>
    <w:rsid w:val="001B52EC"/>
    <w:rsid w:val="001B554A"/>
    <w:rsid w:val="001B6346"/>
    <w:rsid w:val="001B6564"/>
    <w:rsid w:val="001B657A"/>
    <w:rsid w:val="001B665E"/>
    <w:rsid w:val="001B691A"/>
    <w:rsid w:val="001B6D10"/>
    <w:rsid w:val="001B73F9"/>
    <w:rsid w:val="001C02D8"/>
    <w:rsid w:val="001C04E3"/>
    <w:rsid w:val="001C0A80"/>
    <w:rsid w:val="001C0AC4"/>
    <w:rsid w:val="001C1C34"/>
    <w:rsid w:val="001C22D2"/>
    <w:rsid w:val="001C2378"/>
    <w:rsid w:val="001C2A8F"/>
    <w:rsid w:val="001C2B3A"/>
    <w:rsid w:val="001C2E6E"/>
    <w:rsid w:val="001C365F"/>
    <w:rsid w:val="001C39A1"/>
    <w:rsid w:val="001C3AE5"/>
    <w:rsid w:val="001C3EE9"/>
    <w:rsid w:val="001C3FA4"/>
    <w:rsid w:val="001C40F9"/>
    <w:rsid w:val="001C4411"/>
    <w:rsid w:val="001C44D6"/>
    <w:rsid w:val="001C458B"/>
    <w:rsid w:val="001C5046"/>
    <w:rsid w:val="001C53C8"/>
    <w:rsid w:val="001C5C78"/>
    <w:rsid w:val="001C5D4F"/>
    <w:rsid w:val="001C62C0"/>
    <w:rsid w:val="001C64C0"/>
    <w:rsid w:val="001C665D"/>
    <w:rsid w:val="001C66C6"/>
    <w:rsid w:val="001C69DA"/>
    <w:rsid w:val="001C6F06"/>
    <w:rsid w:val="001C74B3"/>
    <w:rsid w:val="001C7BCC"/>
    <w:rsid w:val="001C7F5D"/>
    <w:rsid w:val="001D04A3"/>
    <w:rsid w:val="001D1B4E"/>
    <w:rsid w:val="001D2360"/>
    <w:rsid w:val="001D3109"/>
    <w:rsid w:val="001D320B"/>
    <w:rsid w:val="001D332E"/>
    <w:rsid w:val="001D33C5"/>
    <w:rsid w:val="001D3503"/>
    <w:rsid w:val="001D3E95"/>
    <w:rsid w:val="001D5033"/>
    <w:rsid w:val="001D5C88"/>
    <w:rsid w:val="001D614B"/>
    <w:rsid w:val="001D6567"/>
    <w:rsid w:val="001D695C"/>
    <w:rsid w:val="001D6A6E"/>
    <w:rsid w:val="001D6FD9"/>
    <w:rsid w:val="001D740F"/>
    <w:rsid w:val="001D780E"/>
    <w:rsid w:val="001E02E4"/>
    <w:rsid w:val="001E05C3"/>
    <w:rsid w:val="001E0AD3"/>
    <w:rsid w:val="001E1E46"/>
    <w:rsid w:val="001E2552"/>
    <w:rsid w:val="001E2735"/>
    <w:rsid w:val="001E36E4"/>
    <w:rsid w:val="001E379D"/>
    <w:rsid w:val="001E3A3C"/>
    <w:rsid w:val="001E4022"/>
    <w:rsid w:val="001E5107"/>
    <w:rsid w:val="001E5C23"/>
    <w:rsid w:val="001E7162"/>
    <w:rsid w:val="001E732F"/>
    <w:rsid w:val="001E7504"/>
    <w:rsid w:val="001E756C"/>
    <w:rsid w:val="001E76DF"/>
    <w:rsid w:val="001E7842"/>
    <w:rsid w:val="001E7B20"/>
    <w:rsid w:val="001E7E79"/>
    <w:rsid w:val="001F09A2"/>
    <w:rsid w:val="001F1308"/>
    <w:rsid w:val="001F1525"/>
    <w:rsid w:val="001F1E87"/>
    <w:rsid w:val="001F1EB6"/>
    <w:rsid w:val="001F25A8"/>
    <w:rsid w:val="001F275E"/>
    <w:rsid w:val="001F2E23"/>
    <w:rsid w:val="001F341F"/>
    <w:rsid w:val="001F3911"/>
    <w:rsid w:val="001F3F1A"/>
    <w:rsid w:val="001F4CBD"/>
    <w:rsid w:val="001F5545"/>
    <w:rsid w:val="001F5548"/>
    <w:rsid w:val="001F5777"/>
    <w:rsid w:val="001F5937"/>
    <w:rsid w:val="001F59AD"/>
    <w:rsid w:val="001F59E3"/>
    <w:rsid w:val="001F59ED"/>
    <w:rsid w:val="001F5D1E"/>
    <w:rsid w:val="001F6901"/>
    <w:rsid w:val="001F70E2"/>
    <w:rsid w:val="001F7121"/>
    <w:rsid w:val="001F772C"/>
    <w:rsid w:val="001F7F9C"/>
    <w:rsid w:val="001F7FD7"/>
    <w:rsid w:val="00200D2C"/>
    <w:rsid w:val="00200D89"/>
    <w:rsid w:val="002019D8"/>
    <w:rsid w:val="00201EC7"/>
    <w:rsid w:val="002024C7"/>
    <w:rsid w:val="0020349A"/>
    <w:rsid w:val="002034B4"/>
    <w:rsid w:val="00204032"/>
    <w:rsid w:val="00204BAD"/>
    <w:rsid w:val="00204D60"/>
    <w:rsid w:val="002052E4"/>
    <w:rsid w:val="00205627"/>
    <w:rsid w:val="002056D0"/>
    <w:rsid w:val="00205820"/>
    <w:rsid w:val="00210691"/>
    <w:rsid w:val="00210696"/>
    <w:rsid w:val="00210860"/>
    <w:rsid w:val="00210B6A"/>
    <w:rsid w:val="00211FE3"/>
    <w:rsid w:val="00212CB6"/>
    <w:rsid w:val="00212E37"/>
    <w:rsid w:val="002140FF"/>
    <w:rsid w:val="00214657"/>
    <w:rsid w:val="002206E0"/>
    <w:rsid w:val="00220894"/>
    <w:rsid w:val="00223CE9"/>
    <w:rsid w:val="00224952"/>
    <w:rsid w:val="002249E5"/>
    <w:rsid w:val="00224DD2"/>
    <w:rsid w:val="00224FB1"/>
    <w:rsid w:val="00225A6A"/>
    <w:rsid w:val="00225AC7"/>
    <w:rsid w:val="00225ACC"/>
    <w:rsid w:val="00226637"/>
    <w:rsid w:val="00226EA1"/>
    <w:rsid w:val="0022756D"/>
    <w:rsid w:val="00231977"/>
    <w:rsid w:val="00231C25"/>
    <w:rsid w:val="00231C6F"/>
    <w:rsid w:val="00232A90"/>
    <w:rsid w:val="00234151"/>
    <w:rsid w:val="002344AA"/>
    <w:rsid w:val="0023469C"/>
    <w:rsid w:val="00234F8C"/>
    <w:rsid w:val="00235542"/>
    <w:rsid w:val="002369B0"/>
    <w:rsid w:val="00236AD8"/>
    <w:rsid w:val="00237C82"/>
    <w:rsid w:val="002401F5"/>
    <w:rsid w:val="00240451"/>
    <w:rsid w:val="00240944"/>
    <w:rsid w:val="00240E54"/>
    <w:rsid w:val="00242C26"/>
    <w:rsid w:val="00243561"/>
    <w:rsid w:val="0024412B"/>
    <w:rsid w:val="002451C5"/>
    <w:rsid w:val="00245345"/>
    <w:rsid w:val="00245F1F"/>
    <w:rsid w:val="0024663B"/>
    <w:rsid w:val="00246EA0"/>
    <w:rsid w:val="00247103"/>
    <w:rsid w:val="00250067"/>
    <w:rsid w:val="00250EF4"/>
    <w:rsid w:val="002516DE"/>
    <w:rsid w:val="002519AB"/>
    <w:rsid w:val="00251F81"/>
    <w:rsid w:val="0025257B"/>
    <w:rsid w:val="00252BE0"/>
    <w:rsid w:val="002531AD"/>
    <w:rsid w:val="00253588"/>
    <w:rsid w:val="00253CDC"/>
    <w:rsid w:val="002545CC"/>
    <w:rsid w:val="002546F4"/>
    <w:rsid w:val="002551D0"/>
    <w:rsid w:val="00255340"/>
    <w:rsid w:val="00255374"/>
    <w:rsid w:val="002554E3"/>
    <w:rsid w:val="00255F74"/>
    <w:rsid w:val="00257BF4"/>
    <w:rsid w:val="00260003"/>
    <w:rsid w:val="0026035D"/>
    <w:rsid w:val="002606D6"/>
    <w:rsid w:val="002608F5"/>
    <w:rsid w:val="00261C98"/>
    <w:rsid w:val="0026248E"/>
    <w:rsid w:val="00262914"/>
    <w:rsid w:val="00263220"/>
    <w:rsid w:val="00263222"/>
    <w:rsid w:val="002647BF"/>
    <w:rsid w:val="002647D5"/>
    <w:rsid w:val="00265032"/>
    <w:rsid w:val="002651FB"/>
    <w:rsid w:val="0026538C"/>
    <w:rsid w:val="00265624"/>
    <w:rsid w:val="00265781"/>
    <w:rsid w:val="0026666D"/>
    <w:rsid w:val="00266B13"/>
    <w:rsid w:val="00267D24"/>
    <w:rsid w:val="00270728"/>
    <w:rsid w:val="0027083C"/>
    <w:rsid w:val="00270B9F"/>
    <w:rsid w:val="00270D42"/>
    <w:rsid w:val="002710C1"/>
    <w:rsid w:val="0027195D"/>
    <w:rsid w:val="002729A1"/>
    <w:rsid w:val="00272A05"/>
    <w:rsid w:val="00272B03"/>
    <w:rsid w:val="002733E2"/>
    <w:rsid w:val="00273CA8"/>
    <w:rsid w:val="002750B1"/>
    <w:rsid w:val="00275BB7"/>
    <w:rsid w:val="002767CB"/>
    <w:rsid w:val="00276A35"/>
    <w:rsid w:val="00276A63"/>
    <w:rsid w:val="00277835"/>
    <w:rsid w:val="00277B76"/>
    <w:rsid w:val="002801D3"/>
    <w:rsid w:val="002808D5"/>
    <w:rsid w:val="00280AB1"/>
    <w:rsid w:val="0028176E"/>
    <w:rsid w:val="00281DD8"/>
    <w:rsid w:val="002825F6"/>
    <w:rsid w:val="002827DB"/>
    <w:rsid w:val="00282C1E"/>
    <w:rsid w:val="002836D7"/>
    <w:rsid w:val="002842A8"/>
    <w:rsid w:val="00284BAE"/>
    <w:rsid w:val="002859AF"/>
    <w:rsid w:val="002862E3"/>
    <w:rsid w:val="00286AE7"/>
    <w:rsid w:val="00287243"/>
    <w:rsid w:val="00287409"/>
    <w:rsid w:val="00287E3F"/>
    <w:rsid w:val="00290154"/>
    <w:rsid w:val="002903AD"/>
    <w:rsid w:val="00290647"/>
    <w:rsid w:val="00290FF3"/>
    <w:rsid w:val="00291385"/>
    <w:rsid w:val="00291422"/>
    <w:rsid w:val="0029237F"/>
    <w:rsid w:val="00292715"/>
    <w:rsid w:val="00293E57"/>
    <w:rsid w:val="00294605"/>
    <w:rsid w:val="00294654"/>
    <w:rsid w:val="0029469B"/>
    <w:rsid w:val="002947D1"/>
    <w:rsid w:val="00294814"/>
    <w:rsid w:val="002948DF"/>
    <w:rsid w:val="00294D90"/>
    <w:rsid w:val="0029578C"/>
    <w:rsid w:val="00295C47"/>
    <w:rsid w:val="00295E7E"/>
    <w:rsid w:val="00296914"/>
    <w:rsid w:val="00296C93"/>
    <w:rsid w:val="002970C4"/>
    <w:rsid w:val="002976C0"/>
    <w:rsid w:val="00297D02"/>
    <w:rsid w:val="002A0B75"/>
    <w:rsid w:val="002A10A6"/>
    <w:rsid w:val="002A1E92"/>
    <w:rsid w:val="002A204D"/>
    <w:rsid w:val="002A2616"/>
    <w:rsid w:val="002A26E1"/>
    <w:rsid w:val="002A275F"/>
    <w:rsid w:val="002A2A1D"/>
    <w:rsid w:val="002A368A"/>
    <w:rsid w:val="002A4065"/>
    <w:rsid w:val="002A471F"/>
    <w:rsid w:val="002A4C4E"/>
    <w:rsid w:val="002A4C6E"/>
    <w:rsid w:val="002A59F0"/>
    <w:rsid w:val="002A5E54"/>
    <w:rsid w:val="002A63BF"/>
    <w:rsid w:val="002A6432"/>
    <w:rsid w:val="002A6F25"/>
    <w:rsid w:val="002A6FD3"/>
    <w:rsid w:val="002A7BCB"/>
    <w:rsid w:val="002B0799"/>
    <w:rsid w:val="002B09CD"/>
    <w:rsid w:val="002B0A7D"/>
    <w:rsid w:val="002B1540"/>
    <w:rsid w:val="002B1981"/>
    <w:rsid w:val="002B1A69"/>
    <w:rsid w:val="002B1CC1"/>
    <w:rsid w:val="002B1CD1"/>
    <w:rsid w:val="002B2723"/>
    <w:rsid w:val="002B2A93"/>
    <w:rsid w:val="002B2AC2"/>
    <w:rsid w:val="002B303A"/>
    <w:rsid w:val="002B44E7"/>
    <w:rsid w:val="002B4F64"/>
    <w:rsid w:val="002B52AB"/>
    <w:rsid w:val="002B538E"/>
    <w:rsid w:val="002B5DCA"/>
    <w:rsid w:val="002B6455"/>
    <w:rsid w:val="002B6BDC"/>
    <w:rsid w:val="002B6CCC"/>
    <w:rsid w:val="002B6DB8"/>
    <w:rsid w:val="002B75B0"/>
    <w:rsid w:val="002B7EAF"/>
    <w:rsid w:val="002C015E"/>
    <w:rsid w:val="002C099C"/>
    <w:rsid w:val="002C0B74"/>
    <w:rsid w:val="002C0C8B"/>
    <w:rsid w:val="002C0CBB"/>
    <w:rsid w:val="002C10FD"/>
    <w:rsid w:val="002C1201"/>
    <w:rsid w:val="002C1460"/>
    <w:rsid w:val="002C1A67"/>
    <w:rsid w:val="002C1BED"/>
    <w:rsid w:val="002C20F2"/>
    <w:rsid w:val="002C2545"/>
    <w:rsid w:val="002C2988"/>
    <w:rsid w:val="002C298E"/>
    <w:rsid w:val="002C38B2"/>
    <w:rsid w:val="002C3F9C"/>
    <w:rsid w:val="002C568E"/>
    <w:rsid w:val="002C5AFA"/>
    <w:rsid w:val="002C6193"/>
    <w:rsid w:val="002C64EB"/>
    <w:rsid w:val="002C6B15"/>
    <w:rsid w:val="002C7C79"/>
    <w:rsid w:val="002D0439"/>
    <w:rsid w:val="002D11B7"/>
    <w:rsid w:val="002D3BBC"/>
    <w:rsid w:val="002D438A"/>
    <w:rsid w:val="002D5738"/>
    <w:rsid w:val="002D5DB2"/>
    <w:rsid w:val="002D5E53"/>
    <w:rsid w:val="002D60ED"/>
    <w:rsid w:val="002D7FEC"/>
    <w:rsid w:val="002E0319"/>
    <w:rsid w:val="002E05F1"/>
    <w:rsid w:val="002E1606"/>
    <w:rsid w:val="002E179B"/>
    <w:rsid w:val="002E17CD"/>
    <w:rsid w:val="002E1C9E"/>
    <w:rsid w:val="002E257B"/>
    <w:rsid w:val="002E3180"/>
    <w:rsid w:val="002E3C65"/>
    <w:rsid w:val="002E3F5B"/>
    <w:rsid w:val="002E4362"/>
    <w:rsid w:val="002E619A"/>
    <w:rsid w:val="002E626B"/>
    <w:rsid w:val="002E63D9"/>
    <w:rsid w:val="002E640E"/>
    <w:rsid w:val="002F07F2"/>
    <w:rsid w:val="002F0C28"/>
    <w:rsid w:val="002F0E75"/>
    <w:rsid w:val="002F11E9"/>
    <w:rsid w:val="002F3738"/>
    <w:rsid w:val="002F3CDE"/>
    <w:rsid w:val="002F3FE2"/>
    <w:rsid w:val="002F423C"/>
    <w:rsid w:val="002F479D"/>
    <w:rsid w:val="002F570D"/>
    <w:rsid w:val="002F5937"/>
    <w:rsid w:val="002F5DD6"/>
    <w:rsid w:val="002F5FEA"/>
    <w:rsid w:val="002F63E7"/>
    <w:rsid w:val="002F71D0"/>
    <w:rsid w:val="002F782B"/>
    <w:rsid w:val="002F7BE3"/>
    <w:rsid w:val="002F7E6A"/>
    <w:rsid w:val="00300165"/>
    <w:rsid w:val="003010CF"/>
    <w:rsid w:val="00301A0D"/>
    <w:rsid w:val="00301F4F"/>
    <w:rsid w:val="003026E7"/>
    <w:rsid w:val="0030307D"/>
    <w:rsid w:val="00303440"/>
    <w:rsid w:val="00303CE7"/>
    <w:rsid w:val="00304D9B"/>
    <w:rsid w:val="00305FF9"/>
    <w:rsid w:val="00306B15"/>
    <w:rsid w:val="00306E6B"/>
    <w:rsid w:val="003100C8"/>
    <w:rsid w:val="00310426"/>
    <w:rsid w:val="00310722"/>
    <w:rsid w:val="00311161"/>
    <w:rsid w:val="003121E1"/>
    <w:rsid w:val="00312400"/>
    <w:rsid w:val="00312739"/>
    <w:rsid w:val="0031275A"/>
    <w:rsid w:val="00312ACF"/>
    <w:rsid w:val="00312D10"/>
    <w:rsid w:val="003139AD"/>
    <w:rsid w:val="0031491B"/>
    <w:rsid w:val="00315FAB"/>
    <w:rsid w:val="00316194"/>
    <w:rsid w:val="003177EB"/>
    <w:rsid w:val="003178DA"/>
    <w:rsid w:val="00317DB8"/>
    <w:rsid w:val="00320618"/>
    <w:rsid w:val="0032100B"/>
    <w:rsid w:val="00321BD7"/>
    <w:rsid w:val="0032260F"/>
    <w:rsid w:val="003228DA"/>
    <w:rsid w:val="003233A8"/>
    <w:rsid w:val="00323486"/>
    <w:rsid w:val="00323D6B"/>
    <w:rsid w:val="00326194"/>
    <w:rsid w:val="00326957"/>
    <w:rsid w:val="00326AE2"/>
    <w:rsid w:val="00327511"/>
    <w:rsid w:val="00331426"/>
    <w:rsid w:val="0033171D"/>
    <w:rsid w:val="003318A1"/>
    <w:rsid w:val="00331FC3"/>
    <w:rsid w:val="00332303"/>
    <w:rsid w:val="00332E75"/>
    <w:rsid w:val="003336B3"/>
    <w:rsid w:val="00333E3D"/>
    <w:rsid w:val="00334245"/>
    <w:rsid w:val="00334B11"/>
    <w:rsid w:val="00335B75"/>
    <w:rsid w:val="00335D54"/>
    <w:rsid w:val="00335D8C"/>
    <w:rsid w:val="00336072"/>
    <w:rsid w:val="003363A1"/>
    <w:rsid w:val="00337853"/>
    <w:rsid w:val="0034085E"/>
    <w:rsid w:val="0034149C"/>
    <w:rsid w:val="0034226D"/>
    <w:rsid w:val="00342972"/>
    <w:rsid w:val="00342FDD"/>
    <w:rsid w:val="0034429B"/>
    <w:rsid w:val="00344866"/>
    <w:rsid w:val="0034503B"/>
    <w:rsid w:val="00345CB6"/>
    <w:rsid w:val="00345D01"/>
    <w:rsid w:val="0034638C"/>
    <w:rsid w:val="003466EE"/>
    <w:rsid w:val="00346F7F"/>
    <w:rsid w:val="00347570"/>
    <w:rsid w:val="00347ED3"/>
    <w:rsid w:val="00350108"/>
    <w:rsid w:val="00350762"/>
    <w:rsid w:val="003507C4"/>
    <w:rsid w:val="00350D94"/>
    <w:rsid w:val="003511B2"/>
    <w:rsid w:val="0035122C"/>
    <w:rsid w:val="00351691"/>
    <w:rsid w:val="003519A1"/>
    <w:rsid w:val="00352048"/>
    <w:rsid w:val="00352106"/>
    <w:rsid w:val="00352480"/>
    <w:rsid w:val="003530D2"/>
    <w:rsid w:val="0035331A"/>
    <w:rsid w:val="003534E1"/>
    <w:rsid w:val="003536CF"/>
    <w:rsid w:val="00353ECC"/>
    <w:rsid w:val="00354736"/>
    <w:rsid w:val="003548D8"/>
    <w:rsid w:val="003554CA"/>
    <w:rsid w:val="00356009"/>
    <w:rsid w:val="003561A1"/>
    <w:rsid w:val="003570AA"/>
    <w:rsid w:val="00357C39"/>
    <w:rsid w:val="00357FF3"/>
    <w:rsid w:val="00360232"/>
    <w:rsid w:val="003602E0"/>
    <w:rsid w:val="0036097C"/>
    <w:rsid w:val="00360D01"/>
    <w:rsid w:val="00360F3F"/>
    <w:rsid w:val="003614F3"/>
    <w:rsid w:val="00361CA0"/>
    <w:rsid w:val="00362569"/>
    <w:rsid w:val="00363532"/>
    <w:rsid w:val="003636CD"/>
    <w:rsid w:val="00364268"/>
    <w:rsid w:val="0036487C"/>
    <w:rsid w:val="00365411"/>
    <w:rsid w:val="00365505"/>
    <w:rsid w:val="00365FA2"/>
    <w:rsid w:val="00366004"/>
    <w:rsid w:val="00366212"/>
    <w:rsid w:val="00366878"/>
    <w:rsid w:val="00366C69"/>
    <w:rsid w:val="003672DE"/>
    <w:rsid w:val="00367441"/>
    <w:rsid w:val="003679BF"/>
    <w:rsid w:val="003679CC"/>
    <w:rsid w:val="00367B1D"/>
    <w:rsid w:val="0037009F"/>
    <w:rsid w:val="0037047C"/>
    <w:rsid w:val="00370E4F"/>
    <w:rsid w:val="00371215"/>
    <w:rsid w:val="00371282"/>
    <w:rsid w:val="00371A4F"/>
    <w:rsid w:val="00372F0D"/>
    <w:rsid w:val="00374059"/>
    <w:rsid w:val="00374E51"/>
    <w:rsid w:val="00374E6B"/>
    <w:rsid w:val="003751D8"/>
    <w:rsid w:val="0037535B"/>
    <w:rsid w:val="0037552D"/>
    <w:rsid w:val="003756DB"/>
    <w:rsid w:val="003770BB"/>
    <w:rsid w:val="003773B8"/>
    <w:rsid w:val="0037771A"/>
    <w:rsid w:val="003802DC"/>
    <w:rsid w:val="00380AF4"/>
    <w:rsid w:val="00380E4E"/>
    <w:rsid w:val="00380FBF"/>
    <w:rsid w:val="00381AD2"/>
    <w:rsid w:val="00382226"/>
    <w:rsid w:val="00382A43"/>
    <w:rsid w:val="00382D60"/>
    <w:rsid w:val="00382F29"/>
    <w:rsid w:val="003839B2"/>
    <w:rsid w:val="00383C8D"/>
    <w:rsid w:val="003852FB"/>
    <w:rsid w:val="00385429"/>
    <w:rsid w:val="00385B05"/>
    <w:rsid w:val="00386325"/>
    <w:rsid w:val="00386382"/>
    <w:rsid w:val="003865EF"/>
    <w:rsid w:val="00386BA9"/>
    <w:rsid w:val="003878F9"/>
    <w:rsid w:val="00390017"/>
    <w:rsid w:val="003901A3"/>
    <w:rsid w:val="0039072F"/>
    <w:rsid w:val="0039090F"/>
    <w:rsid w:val="00391178"/>
    <w:rsid w:val="00392B34"/>
    <w:rsid w:val="00393618"/>
    <w:rsid w:val="003940CE"/>
    <w:rsid w:val="0039411D"/>
    <w:rsid w:val="00394196"/>
    <w:rsid w:val="003957FD"/>
    <w:rsid w:val="00395F62"/>
    <w:rsid w:val="003970A2"/>
    <w:rsid w:val="00397570"/>
    <w:rsid w:val="00397C1D"/>
    <w:rsid w:val="003A0E74"/>
    <w:rsid w:val="003A180F"/>
    <w:rsid w:val="003A18DD"/>
    <w:rsid w:val="003A20C8"/>
    <w:rsid w:val="003A2C29"/>
    <w:rsid w:val="003A2EC3"/>
    <w:rsid w:val="003A36F2"/>
    <w:rsid w:val="003A3D39"/>
    <w:rsid w:val="003A3EC7"/>
    <w:rsid w:val="003A40B4"/>
    <w:rsid w:val="003A4DB6"/>
    <w:rsid w:val="003A57E0"/>
    <w:rsid w:val="003A5D57"/>
    <w:rsid w:val="003A64C0"/>
    <w:rsid w:val="003A7607"/>
    <w:rsid w:val="003A7834"/>
    <w:rsid w:val="003B0B5B"/>
    <w:rsid w:val="003B0E79"/>
    <w:rsid w:val="003B19A2"/>
    <w:rsid w:val="003B1C1A"/>
    <w:rsid w:val="003B1DF2"/>
    <w:rsid w:val="003B21B4"/>
    <w:rsid w:val="003B2327"/>
    <w:rsid w:val="003B3575"/>
    <w:rsid w:val="003B370C"/>
    <w:rsid w:val="003B3803"/>
    <w:rsid w:val="003B38D2"/>
    <w:rsid w:val="003B4647"/>
    <w:rsid w:val="003B4CF0"/>
    <w:rsid w:val="003B50BC"/>
    <w:rsid w:val="003B5198"/>
    <w:rsid w:val="003B5D97"/>
    <w:rsid w:val="003B5E94"/>
    <w:rsid w:val="003B63A4"/>
    <w:rsid w:val="003B68FE"/>
    <w:rsid w:val="003B6D7D"/>
    <w:rsid w:val="003B7CA0"/>
    <w:rsid w:val="003B7D39"/>
    <w:rsid w:val="003B7D7E"/>
    <w:rsid w:val="003C0611"/>
    <w:rsid w:val="003C0D8F"/>
    <w:rsid w:val="003C1012"/>
    <w:rsid w:val="003C11C9"/>
    <w:rsid w:val="003C1229"/>
    <w:rsid w:val="003C1FD4"/>
    <w:rsid w:val="003C213D"/>
    <w:rsid w:val="003C2400"/>
    <w:rsid w:val="003C25AD"/>
    <w:rsid w:val="003C2D21"/>
    <w:rsid w:val="003C42D3"/>
    <w:rsid w:val="003C48B8"/>
    <w:rsid w:val="003C4B55"/>
    <w:rsid w:val="003C5488"/>
    <w:rsid w:val="003C5A5F"/>
    <w:rsid w:val="003C5E6B"/>
    <w:rsid w:val="003C7AD7"/>
    <w:rsid w:val="003D007C"/>
    <w:rsid w:val="003D0A97"/>
    <w:rsid w:val="003D0CF6"/>
    <w:rsid w:val="003D0FC3"/>
    <w:rsid w:val="003D23D6"/>
    <w:rsid w:val="003D2C1D"/>
    <w:rsid w:val="003D2C34"/>
    <w:rsid w:val="003D3DDD"/>
    <w:rsid w:val="003D4547"/>
    <w:rsid w:val="003D519B"/>
    <w:rsid w:val="003D5CBF"/>
    <w:rsid w:val="003D6183"/>
    <w:rsid w:val="003D66D2"/>
    <w:rsid w:val="003D6DB7"/>
    <w:rsid w:val="003E07AE"/>
    <w:rsid w:val="003E089C"/>
    <w:rsid w:val="003E10BC"/>
    <w:rsid w:val="003E10E2"/>
    <w:rsid w:val="003E14FC"/>
    <w:rsid w:val="003E1D5A"/>
    <w:rsid w:val="003E1ED8"/>
    <w:rsid w:val="003E2976"/>
    <w:rsid w:val="003E40FD"/>
    <w:rsid w:val="003E4858"/>
    <w:rsid w:val="003E4917"/>
    <w:rsid w:val="003E495D"/>
    <w:rsid w:val="003E4A6B"/>
    <w:rsid w:val="003E5487"/>
    <w:rsid w:val="003E5AA5"/>
    <w:rsid w:val="003E6316"/>
    <w:rsid w:val="003E6884"/>
    <w:rsid w:val="003E69F6"/>
    <w:rsid w:val="003E6AA1"/>
    <w:rsid w:val="003E6AC5"/>
    <w:rsid w:val="003E7D7B"/>
    <w:rsid w:val="003E7EDC"/>
    <w:rsid w:val="003F0096"/>
    <w:rsid w:val="003F0850"/>
    <w:rsid w:val="003F0D12"/>
    <w:rsid w:val="003F0D31"/>
    <w:rsid w:val="003F160C"/>
    <w:rsid w:val="003F231F"/>
    <w:rsid w:val="003F324F"/>
    <w:rsid w:val="003F33BC"/>
    <w:rsid w:val="003F35DB"/>
    <w:rsid w:val="003F3D4E"/>
    <w:rsid w:val="003F477E"/>
    <w:rsid w:val="003F4D32"/>
    <w:rsid w:val="003F52BA"/>
    <w:rsid w:val="003F6ACB"/>
    <w:rsid w:val="003F6CD2"/>
    <w:rsid w:val="003F788D"/>
    <w:rsid w:val="00400007"/>
    <w:rsid w:val="0040126E"/>
    <w:rsid w:val="00401EEC"/>
    <w:rsid w:val="004020D4"/>
    <w:rsid w:val="004021B6"/>
    <w:rsid w:val="00402AA9"/>
    <w:rsid w:val="00404331"/>
    <w:rsid w:val="004047C4"/>
    <w:rsid w:val="0040570B"/>
    <w:rsid w:val="0040571B"/>
    <w:rsid w:val="00405EDB"/>
    <w:rsid w:val="00405FB1"/>
    <w:rsid w:val="00406460"/>
    <w:rsid w:val="00406992"/>
    <w:rsid w:val="0040709A"/>
    <w:rsid w:val="00407476"/>
    <w:rsid w:val="00407E4F"/>
    <w:rsid w:val="00407F15"/>
    <w:rsid w:val="00411470"/>
    <w:rsid w:val="00411F0C"/>
    <w:rsid w:val="004122F8"/>
    <w:rsid w:val="00412461"/>
    <w:rsid w:val="00412546"/>
    <w:rsid w:val="00413053"/>
    <w:rsid w:val="0041319C"/>
    <w:rsid w:val="004137B6"/>
    <w:rsid w:val="00413A54"/>
    <w:rsid w:val="00413C10"/>
    <w:rsid w:val="00413CD9"/>
    <w:rsid w:val="00413F9A"/>
    <w:rsid w:val="004140CA"/>
    <w:rsid w:val="00414C65"/>
    <w:rsid w:val="004158D1"/>
    <w:rsid w:val="00415D76"/>
    <w:rsid w:val="00416665"/>
    <w:rsid w:val="00416A67"/>
    <w:rsid w:val="00416ACB"/>
    <w:rsid w:val="004173F2"/>
    <w:rsid w:val="00417438"/>
    <w:rsid w:val="004207D8"/>
    <w:rsid w:val="00420DAE"/>
    <w:rsid w:val="00421752"/>
    <w:rsid w:val="00421B0E"/>
    <w:rsid w:val="00421D5F"/>
    <w:rsid w:val="00421DCF"/>
    <w:rsid w:val="00422341"/>
    <w:rsid w:val="00422AA5"/>
    <w:rsid w:val="00422F9E"/>
    <w:rsid w:val="00423242"/>
    <w:rsid w:val="00423641"/>
    <w:rsid w:val="00423C4D"/>
    <w:rsid w:val="0042467D"/>
    <w:rsid w:val="00424955"/>
    <w:rsid w:val="00426079"/>
    <w:rsid w:val="00426266"/>
    <w:rsid w:val="00426A84"/>
    <w:rsid w:val="00427DC7"/>
    <w:rsid w:val="00430A2D"/>
    <w:rsid w:val="00430B53"/>
    <w:rsid w:val="00430DC9"/>
    <w:rsid w:val="00431505"/>
    <w:rsid w:val="00431AF0"/>
    <w:rsid w:val="00431B15"/>
    <w:rsid w:val="0043213A"/>
    <w:rsid w:val="00432796"/>
    <w:rsid w:val="004330EA"/>
    <w:rsid w:val="004330F4"/>
    <w:rsid w:val="00433590"/>
    <w:rsid w:val="0043393D"/>
    <w:rsid w:val="004344C7"/>
    <w:rsid w:val="00434F83"/>
    <w:rsid w:val="00435274"/>
    <w:rsid w:val="004352AD"/>
    <w:rsid w:val="0043545D"/>
    <w:rsid w:val="00435FE2"/>
    <w:rsid w:val="00436ACF"/>
    <w:rsid w:val="00436E2F"/>
    <w:rsid w:val="00436EAB"/>
    <w:rsid w:val="0044016E"/>
    <w:rsid w:val="00444607"/>
    <w:rsid w:val="00444A93"/>
    <w:rsid w:val="00445424"/>
    <w:rsid w:val="004460E9"/>
    <w:rsid w:val="004461D9"/>
    <w:rsid w:val="00446AC6"/>
    <w:rsid w:val="0044759B"/>
    <w:rsid w:val="00447D7A"/>
    <w:rsid w:val="00447F54"/>
    <w:rsid w:val="00450081"/>
    <w:rsid w:val="00450978"/>
    <w:rsid w:val="00450B7E"/>
    <w:rsid w:val="00450E77"/>
    <w:rsid w:val="0045136B"/>
    <w:rsid w:val="00451C7E"/>
    <w:rsid w:val="0045316A"/>
    <w:rsid w:val="0045342F"/>
    <w:rsid w:val="00453B4C"/>
    <w:rsid w:val="00453BB6"/>
    <w:rsid w:val="00453C7C"/>
    <w:rsid w:val="00453CAA"/>
    <w:rsid w:val="0045479F"/>
    <w:rsid w:val="00455113"/>
    <w:rsid w:val="00455DB1"/>
    <w:rsid w:val="00456421"/>
    <w:rsid w:val="00456C52"/>
    <w:rsid w:val="00456DAB"/>
    <w:rsid w:val="00456FBE"/>
    <w:rsid w:val="004573E7"/>
    <w:rsid w:val="00457518"/>
    <w:rsid w:val="00457872"/>
    <w:rsid w:val="00460CC3"/>
    <w:rsid w:val="00460E86"/>
    <w:rsid w:val="004618E4"/>
    <w:rsid w:val="00461A83"/>
    <w:rsid w:val="00461C75"/>
    <w:rsid w:val="00461FC0"/>
    <w:rsid w:val="00462173"/>
    <w:rsid w:val="004622DD"/>
    <w:rsid w:val="00463AAF"/>
    <w:rsid w:val="004646B4"/>
    <w:rsid w:val="00464A88"/>
    <w:rsid w:val="00464E06"/>
    <w:rsid w:val="004650F1"/>
    <w:rsid w:val="0046515B"/>
    <w:rsid w:val="004651A0"/>
    <w:rsid w:val="00465935"/>
    <w:rsid w:val="00466532"/>
    <w:rsid w:val="00466B0D"/>
    <w:rsid w:val="00466C53"/>
    <w:rsid w:val="004670D5"/>
    <w:rsid w:val="00467488"/>
    <w:rsid w:val="0046792C"/>
    <w:rsid w:val="00467A55"/>
    <w:rsid w:val="0047083E"/>
    <w:rsid w:val="00470D12"/>
    <w:rsid w:val="00470EB5"/>
    <w:rsid w:val="0047185E"/>
    <w:rsid w:val="0047286B"/>
    <w:rsid w:val="00472E27"/>
    <w:rsid w:val="00474039"/>
    <w:rsid w:val="00474220"/>
    <w:rsid w:val="004752D3"/>
    <w:rsid w:val="004754E1"/>
    <w:rsid w:val="00475CE0"/>
    <w:rsid w:val="00476827"/>
    <w:rsid w:val="00476BD4"/>
    <w:rsid w:val="00477C35"/>
    <w:rsid w:val="00480033"/>
    <w:rsid w:val="00480988"/>
    <w:rsid w:val="00480B90"/>
    <w:rsid w:val="00480E05"/>
    <w:rsid w:val="00481632"/>
    <w:rsid w:val="0048270A"/>
    <w:rsid w:val="00482BBE"/>
    <w:rsid w:val="00483A12"/>
    <w:rsid w:val="00484A77"/>
    <w:rsid w:val="0048540F"/>
    <w:rsid w:val="0048546A"/>
    <w:rsid w:val="00485970"/>
    <w:rsid w:val="00485C0D"/>
    <w:rsid w:val="00486575"/>
    <w:rsid w:val="004866D0"/>
    <w:rsid w:val="00486936"/>
    <w:rsid w:val="004873B3"/>
    <w:rsid w:val="004875F7"/>
    <w:rsid w:val="0049022C"/>
    <w:rsid w:val="00491724"/>
    <w:rsid w:val="00491861"/>
    <w:rsid w:val="004918B2"/>
    <w:rsid w:val="00491C1D"/>
    <w:rsid w:val="00491D93"/>
    <w:rsid w:val="00491F1E"/>
    <w:rsid w:val="0049369E"/>
    <w:rsid w:val="00494242"/>
    <w:rsid w:val="00494875"/>
    <w:rsid w:val="00494E8E"/>
    <w:rsid w:val="004955BC"/>
    <w:rsid w:val="00495D63"/>
    <w:rsid w:val="00495F26"/>
    <w:rsid w:val="00496219"/>
    <w:rsid w:val="0049648F"/>
    <w:rsid w:val="00496606"/>
    <w:rsid w:val="00496E6D"/>
    <w:rsid w:val="00496EF1"/>
    <w:rsid w:val="00496F05"/>
    <w:rsid w:val="00497370"/>
    <w:rsid w:val="004973A0"/>
    <w:rsid w:val="004A0889"/>
    <w:rsid w:val="004A0F39"/>
    <w:rsid w:val="004A251F"/>
    <w:rsid w:val="004A342F"/>
    <w:rsid w:val="004A3BF1"/>
    <w:rsid w:val="004A3E42"/>
    <w:rsid w:val="004A446C"/>
    <w:rsid w:val="004A4715"/>
    <w:rsid w:val="004A4BD3"/>
    <w:rsid w:val="004A5046"/>
    <w:rsid w:val="004A565E"/>
    <w:rsid w:val="004A5DF3"/>
    <w:rsid w:val="004A6134"/>
    <w:rsid w:val="004A65BF"/>
    <w:rsid w:val="004A7092"/>
    <w:rsid w:val="004A74B2"/>
    <w:rsid w:val="004B0962"/>
    <w:rsid w:val="004B0A2D"/>
    <w:rsid w:val="004B1314"/>
    <w:rsid w:val="004B2570"/>
    <w:rsid w:val="004B29CC"/>
    <w:rsid w:val="004B329F"/>
    <w:rsid w:val="004B49E6"/>
    <w:rsid w:val="004B4CFA"/>
    <w:rsid w:val="004B4D69"/>
    <w:rsid w:val="004B5649"/>
    <w:rsid w:val="004B64F3"/>
    <w:rsid w:val="004B727A"/>
    <w:rsid w:val="004B775D"/>
    <w:rsid w:val="004C0189"/>
    <w:rsid w:val="004C01A8"/>
    <w:rsid w:val="004C0716"/>
    <w:rsid w:val="004C1840"/>
    <w:rsid w:val="004C24C9"/>
    <w:rsid w:val="004C31B6"/>
    <w:rsid w:val="004C37F8"/>
    <w:rsid w:val="004C5319"/>
    <w:rsid w:val="004C621F"/>
    <w:rsid w:val="004C6358"/>
    <w:rsid w:val="004C63C9"/>
    <w:rsid w:val="004C6640"/>
    <w:rsid w:val="004C7892"/>
    <w:rsid w:val="004C7948"/>
    <w:rsid w:val="004C7BB8"/>
    <w:rsid w:val="004C7C60"/>
    <w:rsid w:val="004C7E28"/>
    <w:rsid w:val="004D0DFE"/>
    <w:rsid w:val="004D15FB"/>
    <w:rsid w:val="004D1D91"/>
    <w:rsid w:val="004D22C3"/>
    <w:rsid w:val="004D257F"/>
    <w:rsid w:val="004D27A4"/>
    <w:rsid w:val="004D382B"/>
    <w:rsid w:val="004D40CE"/>
    <w:rsid w:val="004D47B1"/>
    <w:rsid w:val="004D57A7"/>
    <w:rsid w:val="004D603D"/>
    <w:rsid w:val="004D6F1A"/>
    <w:rsid w:val="004D6F4D"/>
    <w:rsid w:val="004D6F95"/>
    <w:rsid w:val="004D72FE"/>
    <w:rsid w:val="004D759D"/>
    <w:rsid w:val="004D7E0C"/>
    <w:rsid w:val="004D7E91"/>
    <w:rsid w:val="004D7F94"/>
    <w:rsid w:val="004E003A"/>
    <w:rsid w:val="004E0768"/>
    <w:rsid w:val="004E1A31"/>
    <w:rsid w:val="004E1B18"/>
    <w:rsid w:val="004E2103"/>
    <w:rsid w:val="004E2BCA"/>
    <w:rsid w:val="004E2DE0"/>
    <w:rsid w:val="004E4060"/>
    <w:rsid w:val="004E409A"/>
    <w:rsid w:val="004F021F"/>
    <w:rsid w:val="004F0FB9"/>
    <w:rsid w:val="004F2683"/>
    <w:rsid w:val="004F2F7E"/>
    <w:rsid w:val="004F32B5"/>
    <w:rsid w:val="004F39A8"/>
    <w:rsid w:val="004F407E"/>
    <w:rsid w:val="004F51A1"/>
    <w:rsid w:val="004F5479"/>
    <w:rsid w:val="004F64EB"/>
    <w:rsid w:val="004F740D"/>
    <w:rsid w:val="004F748E"/>
    <w:rsid w:val="004F7528"/>
    <w:rsid w:val="004F7BCA"/>
    <w:rsid w:val="004F7D89"/>
    <w:rsid w:val="004F7FDF"/>
    <w:rsid w:val="00500841"/>
    <w:rsid w:val="00501981"/>
    <w:rsid w:val="00501A85"/>
    <w:rsid w:val="00501BB3"/>
    <w:rsid w:val="005021DD"/>
    <w:rsid w:val="005026CA"/>
    <w:rsid w:val="00502B72"/>
    <w:rsid w:val="00502EBF"/>
    <w:rsid w:val="00503F43"/>
    <w:rsid w:val="00504BC1"/>
    <w:rsid w:val="00504C87"/>
    <w:rsid w:val="0050510B"/>
    <w:rsid w:val="00505134"/>
    <w:rsid w:val="005058E3"/>
    <w:rsid w:val="00505C04"/>
    <w:rsid w:val="00505D6F"/>
    <w:rsid w:val="00506C1D"/>
    <w:rsid w:val="005101C4"/>
    <w:rsid w:val="0051058B"/>
    <w:rsid w:val="00510D69"/>
    <w:rsid w:val="0051113F"/>
    <w:rsid w:val="00511EA0"/>
    <w:rsid w:val="00511F15"/>
    <w:rsid w:val="00512563"/>
    <w:rsid w:val="0051318C"/>
    <w:rsid w:val="0051359A"/>
    <w:rsid w:val="005142B0"/>
    <w:rsid w:val="005142CD"/>
    <w:rsid w:val="005142D3"/>
    <w:rsid w:val="005143C9"/>
    <w:rsid w:val="00514953"/>
    <w:rsid w:val="00514EFA"/>
    <w:rsid w:val="005151C3"/>
    <w:rsid w:val="005156DB"/>
    <w:rsid w:val="005157A9"/>
    <w:rsid w:val="00516A23"/>
    <w:rsid w:val="005173A7"/>
    <w:rsid w:val="0051768E"/>
    <w:rsid w:val="005177E1"/>
    <w:rsid w:val="00520C0A"/>
    <w:rsid w:val="00520CBF"/>
    <w:rsid w:val="005215DB"/>
    <w:rsid w:val="005218B6"/>
    <w:rsid w:val="005219A8"/>
    <w:rsid w:val="00521B01"/>
    <w:rsid w:val="00521DF5"/>
    <w:rsid w:val="00522589"/>
    <w:rsid w:val="005227FD"/>
    <w:rsid w:val="00524545"/>
    <w:rsid w:val="0052477A"/>
    <w:rsid w:val="00524E65"/>
    <w:rsid w:val="005255BF"/>
    <w:rsid w:val="005257DE"/>
    <w:rsid w:val="00525CF8"/>
    <w:rsid w:val="00525E29"/>
    <w:rsid w:val="005261D0"/>
    <w:rsid w:val="00527200"/>
    <w:rsid w:val="00530157"/>
    <w:rsid w:val="005318F0"/>
    <w:rsid w:val="00531EBE"/>
    <w:rsid w:val="00532EC7"/>
    <w:rsid w:val="00532F8B"/>
    <w:rsid w:val="005334AA"/>
    <w:rsid w:val="00533737"/>
    <w:rsid w:val="00533759"/>
    <w:rsid w:val="00535597"/>
    <w:rsid w:val="00535B79"/>
    <w:rsid w:val="00535D7C"/>
    <w:rsid w:val="00536579"/>
    <w:rsid w:val="00536C1E"/>
    <w:rsid w:val="00537088"/>
    <w:rsid w:val="00537330"/>
    <w:rsid w:val="00537813"/>
    <w:rsid w:val="005378D0"/>
    <w:rsid w:val="00540436"/>
    <w:rsid w:val="00542144"/>
    <w:rsid w:val="00542156"/>
    <w:rsid w:val="00542CCB"/>
    <w:rsid w:val="0054343A"/>
    <w:rsid w:val="00543974"/>
    <w:rsid w:val="00543EBF"/>
    <w:rsid w:val="00544ABA"/>
    <w:rsid w:val="00544C2B"/>
    <w:rsid w:val="00545037"/>
    <w:rsid w:val="00545665"/>
    <w:rsid w:val="0054593A"/>
    <w:rsid w:val="005467FB"/>
    <w:rsid w:val="00546AE9"/>
    <w:rsid w:val="00547399"/>
    <w:rsid w:val="00547989"/>
    <w:rsid w:val="005479D7"/>
    <w:rsid w:val="00550122"/>
    <w:rsid w:val="005508C1"/>
    <w:rsid w:val="00550F00"/>
    <w:rsid w:val="00551320"/>
    <w:rsid w:val="005518A4"/>
    <w:rsid w:val="00552768"/>
    <w:rsid w:val="00552935"/>
    <w:rsid w:val="00553127"/>
    <w:rsid w:val="005537D5"/>
    <w:rsid w:val="00554BDE"/>
    <w:rsid w:val="00554BE7"/>
    <w:rsid w:val="00555F08"/>
    <w:rsid w:val="00555F1C"/>
    <w:rsid w:val="00556D68"/>
    <w:rsid w:val="00557173"/>
    <w:rsid w:val="005576A1"/>
    <w:rsid w:val="00557A64"/>
    <w:rsid w:val="005605C0"/>
    <w:rsid w:val="00560D23"/>
    <w:rsid w:val="00561285"/>
    <w:rsid w:val="00561343"/>
    <w:rsid w:val="005615D8"/>
    <w:rsid w:val="005626D6"/>
    <w:rsid w:val="0056358F"/>
    <w:rsid w:val="00563602"/>
    <w:rsid w:val="0056389F"/>
    <w:rsid w:val="005638D4"/>
    <w:rsid w:val="005647D5"/>
    <w:rsid w:val="005656ED"/>
    <w:rsid w:val="00566544"/>
    <w:rsid w:val="00566608"/>
    <w:rsid w:val="00566C83"/>
    <w:rsid w:val="00567B9A"/>
    <w:rsid w:val="005700FE"/>
    <w:rsid w:val="005702A9"/>
    <w:rsid w:val="00570E24"/>
    <w:rsid w:val="0057189E"/>
    <w:rsid w:val="00572760"/>
    <w:rsid w:val="00572815"/>
    <w:rsid w:val="005730F3"/>
    <w:rsid w:val="00573ECA"/>
    <w:rsid w:val="005740B8"/>
    <w:rsid w:val="005743DE"/>
    <w:rsid w:val="00574F3F"/>
    <w:rsid w:val="00575008"/>
    <w:rsid w:val="00575196"/>
    <w:rsid w:val="0057562C"/>
    <w:rsid w:val="005759F6"/>
    <w:rsid w:val="00575E3E"/>
    <w:rsid w:val="005765F5"/>
    <w:rsid w:val="00576D6C"/>
    <w:rsid w:val="00577A2E"/>
    <w:rsid w:val="005800B3"/>
    <w:rsid w:val="0058042B"/>
    <w:rsid w:val="00580E48"/>
    <w:rsid w:val="00580F0A"/>
    <w:rsid w:val="00581246"/>
    <w:rsid w:val="00582251"/>
    <w:rsid w:val="00582278"/>
    <w:rsid w:val="005826BF"/>
    <w:rsid w:val="00582C3A"/>
    <w:rsid w:val="00582E1A"/>
    <w:rsid w:val="00583147"/>
    <w:rsid w:val="00584416"/>
    <w:rsid w:val="00584B39"/>
    <w:rsid w:val="00585028"/>
    <w:rsid w:val="005854D1"/>
    <w:rsid w:val="00585F5B"/>
    <w:rsid w:val="0058620A"/>
    <w:rsid w:val="00586BC0"/>
    <w:rsid w:val="00586C27"/>
    <w:rsid w:val="00587AC2"/>
    <w:rsid w:val="00587FC0"/>
    <w:rsid w:val="0059001E"/>
    <w:rsid w:val="005902C6"/>
    <w:rsid w:val="00590379"/>
    <w:rsid w:val="005906AD"/>
    <w:rsid w:val="00590C01"/>
    <w:rsid w:val="00590DA6"/>
    <w:rsid w:val="00591688"/>
    <w:rsid w:val="00591C7D"/>
    <w:rsid w:val="00591CCA"/>
    <w:rsid w:val="00592B03"/>
    <w:rsid w:val="0059364C"/>
    <w:rsid w:val="00593AB9"/>
    <w:rsid w:val="00594ABB"/>
    <w:rsid w:val="00594ABE"/>
    <w:rsid w:val="00594D1C"/>
    <w:rsid w:val="00594E36"/>
    <w:rsid w:val="00594F0A"/>
    <w:rsid w:val="0059525E"/>
    <w:rsid w:val="00595887"/>
    <w:rsid w:val="005961F7"/>
    <w:rsid w:val="00596648"/>
    <w:rsid w:val="00596B9C"/>
    <w:rsid w:val="005A054D"/>
    <w:rsid w:val="005A0941"/>
    <w:rsid w:val="005A09C7"/>
    <w:rsid w:val="005A0A46"/>
    <w:rsid w:val="005A10B9"/>
    <w:rsid w:val="005A11EA"/>
    <w:rsid w:val="005A2332"/>
    <w:rsid w:val="005A269F"/>
    <w:rsid w:val="005A26B6"/>
    <w:rsid w:val="005A305E"/>
    <w:rsid w:val="005A30BB"/>
    <w:rsid w:val="005A33D3"/>
    <w:rsid w:val="005A3887"/>
    <w:rsid w:val="005A4A92"/>
    <w:rsid w:val="005A623C"/>
    <w:rsid w:val="005A6537"/>
    <w:rsid w:val="005A7C61"/>
    <w:rsid w:val="005B0542"/>
    <w:rsid w:val="005B2225"/>
    <w:rsid w:val="005B2799"/>
    <w:rsid w:val="005B2B77"/>
    <w:rsid w:val="005B3A94"/>
    <w:rsid w:val="005B3D4A"/>
    <w:rsid w:val="005B4D87"/>
    <w:rsid w:val="005B538D"/>
    <w:rsid w:val="005B6B4C"/>
    <w:rsid w:val="005B7186"/>
    <w:rsid w:val="005B74A6"/>
    <w:rsid w:val="005B7BAB"/>
    <w:rsid w:val="005B7DD1"/>
    <w:rsid w:val="005C00A0"/>
    <w:rsid w:val="005C0293"/>
    <w:rsid w:val="005C1F3F"/>
    <w:rsid w:val="005C28FA"/>
    <w:rsid w:val="005C372C"/>
    <w:rsid w:val="005C3E01"/>
    <w:rsid w:val="005C40F4"/>
    <w:rsid w:val="005C43BE"/>
    <w:rsid w:val="005C44F3"/>
    <w:rsid w:val="005C4A62"/>
    <w:rsid w:val="005C4BDD"/>
    <w:rsid w:val="005C4DDC"/>
    <w:rsid w:val="005C661F"/>
    <w:rsid w:val="005C712D"/>
    <w:rsid w:val="005C7C75"/>
    <w:rsid w:val="005D0273"/>
    <w:rsid w:val="005D0E4F"/>
    <w:rsid w:val="005D1E32"/>
    <w:rsid w:val="005D206B"/>
    <w:rsid w:val="005D22B7"/>
    <w:rsid w:val="005D274A"/>
    <w:rsid w:val="005D2BDE"/>
    <w:rsid w:val="005D2C4D"/>
    <w:rsid w:val="005D3B36"/>
    <w:rsid w:val="005D3D76"/>
    <w:rsid w:val="005D4578"/>
    <w:rsid w:val="005D4E78"/>
    <w:rsid w:val="005D4EFA"/>
    <w:rsid w:val="005D55BA"/>
    <w:rsid w:val="005D5ADB"/>
    <w:rsid w:val="005D5DFD"/>
    <w:rsid w:val="005D5E44"/>
    <w:rsid w:val="005D5ED3"/>
    <w:rsid w:val="005D648A"/>
    <w:rsid w:val="005D6548"/>
    <w:rsid w:val="005D6E61"/>
    <w:rsid w:val="005D794E"/>
    <w:rsid w:val="005D7E0D"/>
    <w:rsid w:val="005E001D"/>
    <w:rsid w:val="005E2033"/>
    <w:rsid w:val="005E234A"/>
    <w:rsid w:val="005E35CC"/>
    <w:rsid w:val="005E371E"/>
    <w:rsid w:val="005E53F9"/>
    <w:rsid w:val="005E6E57"/>
    <w:rsid w:val="005E775D"/>
    <w:rsid w:val="005E7D51"/>
    <w:rsid w:val="005F062E"/>
    <w:rsid w:val="005F0A43"/>
    <w:rsid w:val="005F2045"/>
    <w:rsid w:val="005F2183"/>
    <w:rsid w:val="005F27A1"/>
    <w:rsid w:val="005F27BF"/>
    <w:rsid w:val="005F338E"/>
    <w:rsid w:val="005F3F35"/>
    <w:rsid w:val="005F4171"/>
    <w:rsid w:val="005F41AF"/>
    <w:rsid w:val="005F46D6"/>
    <w:rsid w:val="005F4CF3"/>
    <w:rsid w:val="005F4DD6"/>
    <w:rsid w:val="005F50D8"/>
    <w:rsid w:val="005F53A1"/>
    <w:rsid w:val="005F5520"/>
    <w:rsid w:val="005F6172"/>
    <w:rsid w:val="005F6B77"/>
    <w:rsid w:val="005F7487"/>
    <w:rsid w:val="005F7697"/>
    <w:rsid w:val="005F7751"/>
    <w:rsid w:val="005F78EA"/>
    <w:rsid w:val="006002C7"/>
    <w:rsid w:val="00600E62"/>
    <w:rsid w:val="00600F95"/>
    <w:rsid w:val="00601839"/>
    <w:rsid w:val="00601DFF"/>
    <w:rsid w:val="00602759"/>
    <w:rsid w:val="0060277A"/>
    <w:rsid w:val="00602797"/>
    <w:rsid w:val="00602B7C"/>
    <w:rsid w:val="00603312"/>
    <w:rsid w:val="006035A7"/>
    <w:rsid w:val="006038CE"/>
    <w:rsid w:val="0060415F"/>
    <w:rsid w:val="00604DC7"/>
    <w:rsid w:val="00604E47"/>
    <w:rsid w:val="00605441"/>
    <w:rsid w:val="00605CF6"/>
    <w:rsid w:val="0060654D"/>
    <w:rsid w:val="00606970"/>
    <w:rsid w:val="00606A20"/>
    <w:rsid w:val="006072C6"/>
    <w:rsid w:val="00607765"/>
    <w:rsid w:val="00607A02"/>
    <w:rsid w:val="00607A2E"/>
    <w:rsid w:val="00611FF9"/>
    <w:rsid w:val="00612B76"/>
    <w:rsid w:val="00613099"/>
    <w:rsid w:val="006130F7"/>
    <w:rsid w:val="00613A98"/>
    <w:rsid w:val="00613AF8"/>
    <w:rsid w:val="00613D8E"/>
    <w:rsid w:val="006142E0"/>
    <w:rsid w:val="00614BE3"/>
    <w:rsid w:val="00615E74"/>
    <w:rsid w:val="00616112"/>
    <w:rsid w:val="006165B4"/>
    <w:rsid w:val="006205CA"/>
    <w:rsid w:val="00620893"/>
    <w:rsid w:val="00621E22"/>
    <w:rsid w:val="00621F53"/>
    <w:rsid w:val="0062255C"/>
    <w:rsid w:val="00622E2A"/>
    <w:rsid w:val="00623089"/>
    <w:rsid w:val="0062308E"/>
    <w:rsid w:val="00623175"/>
    <w:rsid w:val="006234C4"/>
    <w:rsid w:val="00623F86"/>
    <w:rsid w:val="00623F93"/>
    <w:rsid w:val="006244C9"/>
    <w:rsid w:val="006245F6"/>
    <w:rsid w:val="0062475D"/>
    <w:rsid w:val="0062495F"/>
    <w:rsid w:val="00624D50"/>
    <w:rsid w:val="00625184"/>
    <w:rsid w:val="00625903"/>
    <w:rsid w:val="0062660B"/>
    <w:rsid w:val="006269B0"/>
    <w:rsid w:val="00626AD1"/>
    <w:rsid w:val="00627411"/>
    <w:rsid w:val="006304BC"/>
    <w:rsid w:val="00630DCE"/>
    <w:rsid w:val="006310F0"/>
    <w:rsid w:val="0063120A"/>
    <w:rsid w:val="0063150B"/>
    <w:rsid w:val="00631585"/>
    <w:rsid w:val="00631EFD"/>
    <w:rsid w:val="00632126"/>
    <w:rsid w:val="00633A4C"/>
    <w:rsid w:val="0063454B"/>
    <w:rsid w:val="00634ACF"/>
    <w:rsid w:val="00634C10"/>
    <w:rsid w:val="00635035"/>
    <w:rsid w:val="0063580D"/>
    <w:rsid w:val="00635CAE"/>
    <w:rsid w:val="00637240"/>
    <w:rsid w:val="00640A80"/>
    <w:rsid w:val="00640D9B"/>
    <w:rsid w:val="00640F77"/>
    <w:rsid w:val="00641F8D"/>
    <w:rsid w:val="00643660"/>
    <w:rsid w:val="006450C5"/>
    <w:rsid w:val="00646008"/>
    <w:rsid w:val="00650139"/>
    <w:rsid w:val="00650422"/>
    <w:rsid w:val="00651100"/>
    <w:rsid w:val="00652756"/>
    <w:rsid w:val="00652AD8"/>
    <w:rsid w:val="00652B79"/>
    <w:rsid w:val="00653333"/>
    <w:rsid w:val="006533C3"/>
    <w:rsid w:val="00654068"/>
    <w:rsid w:val="006543B5"/>
    <w:rsid w:val="006548E9"/>
    <w:rsid w:val="00654B38"/>
    <w:rsid w:val="00654B83"/>
    <w:rsid w:val="00654D49"/>
    <w:rsid w:val="00655061"/>
    <w:rsid w:val="0065510C"/>
    <w:rsid w:val="00655B63"/>
    <w:rsid w:val="00656354"/>
    <w:rsid w:val="00656EF8"/>
    <w:rsid w:val="00656FDC"/>
    <w:rsid w:val="006571F6"/>
    <w:rsid w:val="00657E2C"/>
    <w:rsid w:val="00657FA0"/>
    <w:rsid w:val="00660D0B"/>
    <w:rsid w:val="006618CC"/>
    <w:rsid w:val="00661BC8"/>
    <w:rsid w:val="00661FBF"/>
    <w:rsid w:val="00662111"/>
    <w:rsid w:val="00662118"/>
    <w:rsid w:val="00663019"/>
    <w:rsid w:val="006638AD"/>
    <w:rsid w:val="006665AB"/>
    <w:rsid w:val="006671D4"/>
    <w:rsid w:val="006672CE"/>
    <w:rsid w:val="006672E5"/>
    <w:rsid w:val="0066732C"/>
    <w:rsid w:val="006679F5"/>
    <w:rsid w:val="00667B77"/>
    <w:rsid w:val="006716DA"/>
    <w:rsid w:val="006728ED"/>
    <w:rsid w:val="006732B1"/>
    <w:rsid w:val="0067446F"/>
    <w:rsid w:val="006746A4"/>
    <w:rsid w:val="00675122"/>
    <w:rsid w:val="00675558"/>
    <w:rsid w:val="00675611"/>
    <w:rsid w:val="00675A60"/>
    <w:rsid w:val="006761E7"/>
    <w:rsid w:val="0067697E"/>
    <w:rsid w:val="00677443"/>
    <w:rsid w:val="006775B3"/>
    <w:rsid w:val="0067769A"/>
    <w:rsid w:val="00677DFE"/>
    <w:rsid w:val="006805DC"/>
    <w:rsid w:val="006806A3"/>
    <w:rsid w:val="006806A6"/>
    <w:rsid w:val="006806B4"/>
    <w:rsid w:val="00680C79"/>
    <w:rsid w:val="006810A0"/>
    <w:rsid w:val="00681211"/>
    <w:rsid w:val="00681A52"/>
    <w:rsid w:val="00681B36"/>
    <w:rsid w:val="00682E14"/>
    <w:rsid w:val="0068436C"/>
    <w:rsid w:val="0068443C"/>
    <w:rsid w:val="006852A8"/>
    <w:rsid w:val="0068545E"/>
    <w:rsid w:val="0068596E"/>
    <w:rsid w:val="00685FD4"/>
    <w:rsid w:val="00686253"/>
    <w:rsid w:val="00686612"/>
    <w:rsid w:val="0068661E"/>
    <w:rsid w:val="00686943"/>
    <w:rsid w:val="006879EF"/>
    <w:rsid w:val="0069012B"/>
    <w:rsid w:val="00690A49"/>
    <w:rsid w:val="00690B71"/>
    <w:rsid w:val="00690BB6"/>
    <w:rsid w:val="006912EC"/>
    <w:rsid w:val="00691B30"/>
    <w:rsid w:val="00693E1F"/>
    <w:rsid w:val="00693ECB"/>
    <w:rsid w:val="00694797"/>
    <w:rsid w:val="00694C36"/>
    <w:rsid w:val="00695175"/>
    <w:rsid w:val="00695887"/>
    <w:rsid w:val="00696E01"/>
    <w:rsid w:val="00697733"/>
    <w:rsid w:val="006A112D"/>
    <w:rsid w:val="006A12F0"/>
    <w:rsid w:val="006A1979"/>
    <w:rsid w:val="006A1AE5"/>
    <w:rsid w:val="006A1E49"/>
    <w:rsid w:val="006A1EDA"/>
    <w:rsid w:val="006A254E"/>
    <w:rsid w:val="006A2C30"/>
    <w:rsid w:val="006A301C"/>
    <w:rsid w:val="006A3E2B"/>
    <w:rsid w:val="006A4224"/>
    <w:rsid w:val="006A4934"/>
    <w:rsid w:val="006A593F"/>
    <w:rsid w:val="006A60AD"/>
    <w:rsid w:val="006A63D1"/>
    <w:rsid w:val="006A6C86"/>
    <w:rsid w:val="006A6E17"/>
    <w:rsid w:val="006A7264"/>
    <w:rsid w:val="006B0E68"/>
    <w:rsid w:val="006B110E"/>
    <w:rsid w:val="006B120D"/>
    <w:rsid w:val="006B17E7"/>
    <w:rsid w:val="006B19E8"/>
    <w:rsid w:val="006B1A8A"/>
    <w:rsid w:val="006B1FD5"/>
    <w:rsid w:val="006B1FEF"/>
    <w:rsid w:val="006B3081"/>
    <w:rsid w:val="006B3A29"/>
    <w:rsid w:val="006B460C"/>
    <w:rsid w:val="006B555A"/>
    <w:rsid w:val="006B5A00"/>
    <w:rsid w:val="006B600A"/>
    <w:rsid w:val="006B6635"/>
    <w:rsid w:val="006B6D1C"/>
    <w:rsid w:val="006B74B8"/>
    <w:rsid w:val="006B7D22"/>
    <w:rsid w:val="006B7D2C"/>
    <w:rsid w:val="006C1019"/>
    <w:rsid w:val="006C2BB5"/>
    <w:rsid w:val="006C2BEE"/>
    <w:rsid w:val="006C3AD8"/>
    <w:rsid w:val="006C4516"/>
    <w:rsid w:val="006C455E"/>
    <w:rsid w:val="006C5958"/>
    <w:rsid w:val="006C5B4F"/>
    <w:rsid w:val="006C643C"/>
    <w:rsid w:val="006C6BF5"/>
    <w:rsid w:val="006C6E3A"/>
    <w:rsid w:val="006C6FD7"/>
    <w:rsid w:val="006C7124"/>
    <w:rsid w:val="006C7132"/>
    <w:rsid w:val="006C734F"/>
    <w:rsid w:val="006C789D"/>
    <w:rsid w:val="006D00DB"/>
    <w:rsid w:val="006D0361"/>
    <w:rsid w:val="006D1504"/>
    <w:rsid w:val="006D16B0"/>
    <w:rsid w:val="006D2182"/>
    <w:rsid w:val="006D2444"/>
    <w:rsid w:val="006D254B"/>
    <w:rsid w:val="006D289B"/>
    <w:rsid w:val="006D3557"/>
    <w:rsid w:val="006D3930"/>
    <w:rsid w:val="006D3BE1"/>
    <w:rsid w:val="006D3E96"/>
    <w:rsid w:val="006D4021"/>
    <w:rsid w:val="006D44D0"/>
    <w:rsid w:val="006D48FC"/>
    <w:rsid w:val="006D5912"/>
    <w:rsid w:val="006D5DBB"/>
    <w:rsid w:val="006D62BC"/>
    <w:rsid w:val="006D6450"/>
    <w:rsid w:val="006D6939"/>
    <w:rsid w:val="006D7EB0"/>
    <w:rsid w:val="006E0138"/>
    <w:rsid w:val="006E017F"/>
    <w:rsid w:val="006E0BB0"/>
    <w:rsid w:val="006E10BE"/>
    <w:rsid w:val="006E12C3"/>
    <w:rsid w:val="006E222C"/>
    <w:rsid w:val="006E2529"/>
    <w:rsid w:val="006E2595"/>
    <w:rsid w:val="006E35B7"/>
    <w:rsid w:val="006E45F3"/>
    <w:rsid w:val="006E4A2F"/>
    <w:rsid w:val="006E4ED4"/>
    <w:rsid w:val="006E5E19"/>
    <w:rsid w:val="006E61C3"/>
    <w:rsid w:val="006E633E"/>
    <w:rsid w:val="006E7370"/>
    <w:rsid w:val="006E799D"/>
    <w:rsid w:val="006F0396"/>
    <w:rsid w:val="006F0593"/>
    <w:rsid w:val="006F08B2"/>
    <w:rsid w:val="006F1064"/>
    <w:rsid w:val="006F1A51"/>
    <w:rsid w:val="006F1EB7"/>
    <w:rsid w:val="006F2689"/>
    <w:rsid w:val="006F3D7C"/>
    <w:rsid w:val="006F52E5"/>
    <w:rsid w:val="006F56BD"/>
    <w:rsid w:val="006F6066"/>
    <w:rsid w:val="006F63AC"/>
    <w:rsid w:val="006F6850"/>
    <w:rsid w:val="006F707E"/>
    <w:rsid w:val="007001DC"/>
    <w:rsid w:val="0070048C"/>
    <w:rsid w:val="00700835"/>
    <w:rsid w:val="00700F13"/>
    <w:rsid w:val="007025CB"/>
    <w:rsid w:val="0070271B"/>
    <w:rsid w:val="00702A7C"/>
    <w:rsid w:val="00703119"/>
    <w:rsid w:val="007034AA"/>
    <w:rsid w:val="00703787"/>
    <w:rsid w:val="00703C9D"/>
    <w:rsid w:val="0070490C"/>
    <w:rsid w:val="00704E00"/>
    <w:rsid w:val="007050ED"/>
    <w:rsid w:val="00705C38"/>
    <w:rsid w:val="00705F2D"/>
    <w:rsid w:val="00706465"/>
    <w:rsid w:val="0070695A"/>
    <w:rsid w:val="0070782D"/>
    <w:rsid w:val="007109C2"/>
    <w:rsid w:val="00710AF4"/>
    <w:rsid w:val="00711340"/>
    <w:rsid w:val="00711D7C"/>
    <w:rsid w:val="00712C42"/>
    <w:rsid w:val="007136D0"/>
    <w:rsid w:val="00713A5D"/>
    <w:rsid w:val="00713DE4"/>
    <w:rsid w:val="00714A41"/>
    <w:rsid w:val="00714C47"/>
    <w:rsid w:val="00715485"/>
    <w:rsid w:val="0071590F"/>
    <w:rsid w:val="0071632A"/>
    <w:rsid w:val="00716462"/>
    <w:rsid w:val="0071649D"/>
    <w:rsid w:val="0072040B"/>
    <w:rsid w:val="00721084"/>
    <w:rsid w:val="00721262"/>
    <w:rsid w:val="00721AAA"/>
    <w:rsid w:val="00721D9B"/>
    <w:rsid w:val="00722121"/>
    <w:rsid w:val="007224B9"/>
    <w:rsid w:val="007226F8"/>
    <w:rsid w:val="00722F94"/>
    <w:rsid w:val="00723AA7"/>
    <w:rsid w:val="0072432E"/>
    <w:rsid w:val="00724593"/>
    <w:rsid w:val="007246B9"/>
    <w:rsid w:val="007258FB"/>
    <w:rsid w:val="00725EBE"/>
    <w:rsid w:val="00726036"/>
    <w:rsid w:val="00726279"/>
    <w:rsid w:val="007269CB"/>
    <w:rsid w:val="00726A9B"/>
    <w:rsid w:val="00727530"/>
    <w:rsid w:val="00727F9F"/>
    <w:rsid w:val="00730222"/>
    <w:rsid w:val="007313FE"/>
    <w:rsid w:val="00731E7C"/>
    <w:rsid w:val="00732687"/>
    <w:rsid w:val="007329EF"/>
    <w:rsid w:val="007330CD"/>
    <w:rsid w:val="0073327A"/>
    <w:rsid w:val="00734E88"/>
    <w:rsid w:val="00734EBE"/>
    <w:rsid w:val="00735223"/>
    <w:rsid w:val="00735504"/>
    <w:rsid w:val="00736076"/>
    <w:rsid w:val="007369A0"/>
    <w:rsid w:val="00736DD8"/>
    <w:rsid w:val="0074076A"/>
    <w:rsid w:val="00740D56"/>
    <w:rsid w:val="007413D8"/>
    <w:rsid w:val="00741AF4"/>
    <w:rsid w:val="00741DCC"/>
    <w:rsid w:val="00742008"/>
    <w:rsid w:val="0074203A"/>
    <w:rsid w:val="00742062"/>
    <w:rsid w:val="00742492"/>
    <w:rsid w:val="0074264F"/>
    <w:rsid w:val="007427B5"/>
    <w:rsid w:val="00742865"/>
    <w:rsid w:val="0074296C"/>
    <w:rsid w:val="00742C83"/>
    <w:rsid w:val="0074360F"/>
    <w:rsid w:val="00744181"/>
    <w:rsid w:val="007442DE"/>
    <w:rsid w:val="00744A1C"/>
    <w:rsid w:val="00744A64"/>
    <w:rsid w:val="00744AD3"/>
    <w:rsid w:val="00744D47"/>
    <w:rsid w:val="00744EA0"/>
    <w:rsid w:val="007459E0"/>
    <w:rsid w:val="0074638D"/>
    <w:rsid w:val="00746484"/>
    <w:rsid w:val="00746726"/>
    <w:rsid w:val="0074686A"/>
    <w:rsid w:val="0074704F"/>
    <w:rsid w:val="00747F48"/>
    <w:rsid w:val="00747F4C"/>
    <w:rsid w:val="007508DB"/>
    <w:rsid w:val="00751091"/>
    <w:rsid w:val="00751B83"/>
    <w:rsid w:val="00751D0A"/>
    <w:rsid w:val="007524ED"/>
    <w:rsid w:val="00752975"/>
    <w:rsid w:val="00754359"/>
    <w:rsid w:val="00754411"/>
    <w:rsid w:val="00754BD9"/>
    <w:rsid w:val="00754E7A"/>
    <w:rsid w:val="0075540C"/>
    <w:rsid w:val="007557B0"/>
    <w:rsid w:val="00755DB1"/>
    <w:rsid w:val="0075687A"/>
    <w:rsid w:val="007569EF"/>
    <w:rsid w:val="007574FC"/>
    <w:rsid w:val="0075775E"/>
    <w:rsid w:val="00757CB8"/>
    <w:rsid w:val="007605AF"/>
    <w:rsid w:val="00760975"/>
    <w:rsid w:val="00760C76"/>
    <w:rsid w:val="00761FDA"/>
    <w:rsid w:val="007621FF"/>
    <w:rsid w:val="007628D8"/>
    <w:rsid w:val="007634E3"/>
    <w:rsid w:val="00763B00"/>
    <w:rsid w:val="00764194"/>
    <w:rsid w:val="007644F3"/>
    <w:rsid w:val="00764981"/>
    <w:rsid w:val="0076503B"/>
    <w:rsid w:val="00765167"/>
    <w:rsid w:val="00765ED3"/>
    <w:rsid w:val="0076681D"/>
    <w:rsid w:val="0076698C"/>
    <w:rsid w:val="00766A65"/>
    <w:rsid w:val="00766EC9"/>
    <w:rsid w:val="007671F5"/>
    <w:rsid w:val="007676B8"/>
    <w:rsid w:val="00767755"/>
    <w:rsid w:val="00770127"/>
    <w:rsid w:val="00770633"/>
    <w:rsid w:val="00770DB0"/>
    <w:rsid w:val="0077175C"/>
    <w:rsid w:val="00771870"/>
    <w:rsid w:val="00771960"/>
    <w:rsid w:val="00771BF9"/>
    <w:rsid w:val="00772F8A"/>
    <w:rsid w:val="0077302F"/>
    <w:rsid w:val="007739C6"/>
    <w:rsid w:val="0077479B"/>
    <w:rsid w:val="00774889"/>
    <w:rsid w:val="00774F9E"/>
    <w:rsid w:val="00774FF5"/>
    <w:rsid w:val="007750B3"/>
    <w:rsid w:val="0077543A"/>
    <w:rsid w:val="00775507"/>
    <w:rsid w:val="007756DF"/>
    <w:rsid w:val="00775B47"/>
    <w:rsid w:val="00775F76"/>
    <w:rsid w:val="00776AAB"/>
    <w:rsid w:val="00776AEA"/>
    <w:rsid w:val="007776E9"/>
    <w:rsid w:val="00777BA0"/>
    <w:rsid w:val="007803BD"/>
    <w:rsid w:val="007811DC"/>
    <w:rsid w:val="00781D16"/>
    <w:rsid w:val="007820FA"/>
    <w:rsid w:val="007825F7"/>
    <w:rsid w:val="0078285F"/>
    <w:rsid w:val="00782CEF"/>
    <w:rsid w:val="00783207"/>
    <w:rsid w:val="00783E1D"/>
    <w:rsid w:val="0078421E"/>
    <w:rsid w:val="00784609"/>
    <w:rsid w:val="0078483B"/>
    <w:rsid w:val="00784EED"/>
    <w:rsid w:val="00785900"/>
    <w:rsid w:val="00786533"/>
    <w:rsid w:val="00786958"/>
    <w:rsid w:val="00786E71"/>
    <w:rsid w:val="0079162F"/>
    <w:rsid w:val="007920CE"/>
    <w:rsid w:val="00792788"/>
    <w:rsid w:val="00793DF2"/>
    <w:rsid w:val="00794924"/>
    <w:rsid w:val="00794A5E"/>
    <w:rsid w:val="007961D3"/>
    <w:rsid w:val="0079695B"/>
    <w:rsid w:val="007A084D"/>
    <w:rsid w:val="007A0BC2"/>
    <w:rsid w:val="007A1F44"/>
    <w:rsid w:val="007A23FF"/>
    <w:rsid w:val="007A2564"/>
    <w:rsid w:val="007A295B"/>
    <w:rsid w:val="007A3232"/>
    <w:rsid w:val="007A3424"/>
    <w:rsid w:val="007A35EF"/>
    <w:rsid w:val="007A3A05"/>
    <w:rsid w:val="007A43A2"/>
    <w:rsid w:val="007A4C7E"/>
    <w:rsid w:val="007A4D04"/>
    <w:rsid w:val="007A64A2"/>
    <w:rsid w:val="007A6736"/>
    <w:rsid w:val="007A74B1"/>
    <w:rsid w:val="007A7857"/>
    <w:rsid w:val="007A7983"/>
    <w:rsid w:val="007A7A96"/>
    <w:rsid w:val="007B03AF"/>
    <w:rsid w:val="007B042F"/>
    <w:rsid w:val="007B0909"/>
    <w:rsid w:val="007B1543"/>
    <w:rsid w:val="007B196E"/>
    <w:rsid w:val="007B1AC0"/>
    <w:rsid w:val="007B1E5A"/>
    <w:rsid w:val="007B270A"/>
    <w:rsid w:val="007B2D3B"/>
    <w:rsid w:val="007B3626"/>
    <w:rsid w:val="007B51FB"/>
    <w:rsid w:val="007B52CD"/>
    <w:rsid w:val="007B6891"/>
    <w:rsid w:val="007B68C1"/>
    <w:rsid w:val="007B6C2D"/>
    <w:rsid w:val="007B78DE"/>
    <w:rsid w:val="007B7BD1"/>
    <w:rsid w:val="007B7DC1"/>
    <w:rsid w:val="007B7EDB"/>
    <w:rsid w:val="007C19AD"/>
    <w:rsid w:val="007C1D37"/>
    <w:rsid w:val="007C3598"/>
    <w:rsid w:val="007C3FA8"/>
    <w:rsid w:val="007C4296"/>
    <w:rsid w:val="007C6479"/>
    <w:rsid w:val="007C68DA"/>
    <w:rsid w:val="007C7F34"/>
    <w:rsid w:val="007D0DE1"/>
    <w:rsid w:val="007D1A1C"/>
    <w:rsid w:val="007D229A"/>
    <w:rsid w:val="007D2527"/>
    <w:rsid w:val="007D2534"/>
    <w:rsid w:val="007D2C5F"/>
    <w:rsid w:val="007D2F44"/>
    <w:rsid w:val="007D2F4D"/>
    <w:rsid w:val="007D3315"/>
    <w:rsid w:val="007D395D"/>
    <w:rsid w:val="007D4178"/>
    <w:rsid w:val="007D478E"/>
    <w:rsid w:val="007D4B97"/>
    <w:rsid w:val="007D4D33"/>
    <w:rsid w:val="007D6111"/>
    <w:rsid w:val="007D6B84"/>
    <w:rsid w:val="007D7175"/>
    <w:rsid w:val="007E1369"/>
    <w:rsid w:val="007E1A1B"/>
    <w:rsid w:val="007E1A88"/>
    <w:rsid w:val="007E3EE7"/>
    <w:rsid w:val="007E4C88"/>
    <w:rsid w:val="007E4E99"/>
    <w:rsid w:val="007E585E"/>
    <w:rsid w:val="007E64CB"/>
    <w:rsid w:val="007E7DDF"/>
    <w:rsid w:val="007E7EAA"/>
    <w:rsid w:val="007F0EA7"/>
    <w:rsid w:val="007F11C8"/>
    <w:rsid w:val="007F1CFB"/>
    <w:rsid w:val="007F220B"/>
    <w:rsid w:val="007F27DD"/>
    <w:rsid w:val="007F3374"/>
    <w:rsid w:val="007F3A1F"/>
    <w:rsid w:val="007F3C58"/>
    <w:rsid w:val="007F4445"/>
    <w:rsid w:val="007F54AC"/>
    <w:rsid w:val="007F5677"/>
    <w:rsid w:val="007F5AF5"/>
    <w:rsid w:val="007F6880"/>
    <w:rsid w:val="007F76B4"/>
    <w:rsid w:val="008001B4"/>
    <w:rsid w:val="00800769"/>
    <w:rsid w:val="008008AD"/>
    <w:rsid w:val="00800ED2"/>
    <w:rsid w:val="00802A4D"/>
    <w:rsid w:val="00802E74"/>
    <w:rsid w:val="00803554"/>
    <w:rsid w:val="00803AC8"/>
    <w:rsid w:val="00804B92"/>
    <w:rsid w:val="00804E21"/>
    <w:rsid w:val="00805092"/>
    <w:rsid w:val="00805634"/>
    <w:rsid w:val="008059BD"/>
    <w:rsid w:val="00805AC0"/>
    <w:rsid w:val="00806037"/>
    <w:rsid w:val="00806AAF"/>
    <w:rsid w:val="008070AC"/>
    <w:rsid w:val="00807999"/>
    <w:rsid w:val="00807B9C"/>
    <w:rsid w:val="008101FD"/>
    <w:rsid w:val="00810925"/>
    <w:rsid w:val="00810D8D"/>
    <w:rsid w:val="008117C0"/>
    <w:rsid w:val="00811835"/>
    <w:rsid w:val="008146EA"/>
    <w:rsid w:val="00814DB4"/>
    <w:rsid w:val="00815048"/>
    <w:rsid w:val="0081581D"/>
    <w:rsid w:val="008172BE"/>
    <w:rsid w:val="00817B71"/>
    <w:rsid w:val="0082000B"/>
    <w:rsid w:val="00820244"/>
    <w:rsid w:val="00820565"/>
    <w:rsid w:val="00820BA5"/>
    <w:rsid w:val="008218B9"/>
    <w:rsid w:val="008221B3"/>
    <w:rsid w:val="0082248E"/>
    <w:rsid w:val="00823021"/>
    <w:rsid w:val="00824327"/>
    <w:rsid w:val="00824FDF"/>
    <w:rsid w:val="00825108"/>
    <w:rsid w:val="00825125"/>
    <w:rsid w:val="008257CC"/>
    <w:rsid w:val="00826783"/>
    <w:rsid w:val="00826D83"/>
    <w:rsid w:val="008274BF"/>
    <w:rsid w:val="0083053E"/>
    <w:rsid w:val="00830DC3"/>
    <w:rsid w:val="00831555"/>
    <w:rsid w:val="00831F52"/>
    <w:rsid w:val="00832154"/>
    <w:rsid w:val="00832B76"/>
    <w:rsid w:val="00832CF5"/>
    <w:rsid w:val="00832F5C"/>
    <w:rsid w:val="008335B5"/>
    <w:rsid w:val="0083389B"/>
    <w:rsid w:val="00833DDE"/>
    <w:rsid w:val="00835812"/>
    <w:rsid w:val="008359E0"/>
    <w:rsid w:val="00836C32"/>
    <w:rsid w:val="008376F6"/>
    <w:rsid w:val="00837D5B"/>
    <w:rsid w:val="00840607"/>
    <w:rsid w:val="0084091A"/>
    <w:rsid w:val="00841686"/>
    <w:rsid w:val="00841CD2"/>
    <w:rsid w:val="00842B77"/>
    <w:rsid w:val="00842B7A"/>
    <w:rsid w:val="0084309F"/>
    <w:rsid w:val="0084341D"/>
    <w:rsid w:val="00843507"/>
    <w:rsid w:val="008448E6"/>
    <w:rsid w:val="00844FCF"/>
    <w:rsid w:val="00845542"/>
    <w:rsid w:val="00845C12"/>
    <w:rsid w:val="008469D9"/>
    <w:rsid w:val="00846DC0"/>
    <w:rsid w:val="008474A7"/>
    <w:rsid w:val="00850048"/>
    <w:rsid w:val="008506B6"/>
    <w:rsid w:val="00850AE0"/>
    <w:rsid w:val="008524D2"/>
    <w:rsid w:val="00852E19"/>
    <w:rsid w:val="00853A3F"/>
    <w:rsid w:val="008542D4"/>
    <w:rsid w:val="00855AFF"/>
    <w:rsid w:val="00856833"/>
    <w:rsid w:val="00856840"/>
    <w:rsid w:val="0085729B"/>
    <w:rsid w:val="0085776B"/>
    <w:rsid w:val="00857858"/>
    <w:rsid w:val="00857932"/>
    <w:rsid w:val="00857B82"/>
    <w:rsid w:val="00860407"/>
    <w:rsid w:val="0086087C"/>
    <w:rsid w:val="00860D8E"/>
    <w:rsid w:val="00861942"/>
    <w:rsid w:val="00862406"/>
    <w:rsid w:val="0086275E"/>
    <w:rsid w:val="00864440"/>
    <w:rsid w:val="00864483"/>
    <w:rsid w:val="00864D76"/>
    <w:rsid w:val="00864D77"/>
    <w:rsid w:val="008650FC"/>
    <w:rsid w:val="00865C63"/>
    <w:rsid w:val="00866EB3"/>
    <w:rsid w:val="00866F73"/>
    <w:rsid w:val="0086701A"/>
    <w:rsid w:val="00867BD2"/>
    <w:rsid w:val="0087006F"/>
    <w:rsid w:val="00870522"/>
    <w:rsid w:val="00870C98"/>
    <w:rsid w:val="008712FD"/>
    <w:rsid w:val="008716A1"/>
    <w:rsid w:val="00871A89"/>
    <w:rsid w:val="00872D3F"/>
    <w:rsid w:val="008733E4"/>
    <w:rsid w:val="00873F15"/>
    <w:rsid w:val="00874096"/>
    <w:rsid w:val="00874683"/>
    <w:rsid w:val="00874CD7"/>
    <w:rsid w:val="008756A4"/>
    <w:rsid w:val="008757B9"/>
    <w:rsid w:val="00875B13"/>
    <w:rsid w:val="00875E1C"/>
    <w:rsid w:val="00875F73"/>
    <w:rsid w:val="008764E8"/>
    <w:rsid w:val="00880F30"/>
    <w:rsid w:val="00881CD6"/>
    <w:rsid w:val="008827DA"/>
    <w:rsid w:val="00882A6D"/>
    <w:rsid w:val="00882F73"/>
    <w:rsid w:val="008833C1"/>
    <w:rsid w:val="008833E8"/>
    <w:rsid w:val="00883484"/>
    <w:rsid w:val="00883F48"/>
    <w:rsid w:val="00884879"/>
    <w:rsid w:val="008850AE"/>
    <w:rsid w:val="00886E04"/>
    <w:rsid w:val="00887B48"/>
    <w:rsid w:val="00890B1C"/>
    <w:rsid w:val="0089139E"/>
    <w:rsid w:val="0089176E"/>
    <w:rsid w:val="008917E0"/>
    <w:rsid w:val="00892365"/>
    <w:rsid w:val="00892A92"/>
    <w:rsid w:val="00892BE5"/>
    <w:rsid w:val="0089306F"/>
    <w:rsid w:val="0089387C"/>
    <w:rsid w:val="00893B85"/>
    <w:rsid w:val="0089444E"/>
    <w:rsid w:val="0089494D"/>
    <w:rsid w:val="008949DF"/>
    <w:rsid w:val="00894C7B"/>
    <w:rsid w:val="00894EA9"/>
    <w:rsid w:val="008951DB"/>
    <w:rsid w:val="00895A01"/>
    <w:rsid w:val="00896C81"/>
    <w:rsid w:val="00896D83"/>
    <w:rsid w:val="008A0AB2"/>
    <w:rsid w:val="008A0B94"/>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612"/>
    <w:rsid w:val="008B289C"/>
    <w:rsid w:val="008B2A76"/>
    <w:rsid w:val="008B3749"/>
    <w:rsid w:val="008B389D"/>
    <w:rsid w:val="008B3C5C"/>
    <w:rsid w:val="008B3FA3"/>
    <w:rsid w:val="008B478A"/>
    <w:rsid w:val="008B4D8A"/>
    <w:rsid w:val="008B5299"/>
    <w:rsid w:val="008B5A5F"/>
    <w:rsid w:val="008B5AB0"/>
    <w:rsid w:val="008B5C49"/>
    <w:rsid w:val="008B6054"/>
    <w:rsid w:val="008B66A5"/>
    <w:rsid w:val="008B75D6"/>
    <w:rsid w:val="008B7B08"/>
    <w:rsid w:val="008C12BD"/>
    <w:rsid w:val="008C13F0"/>
    <w:rsid w:val="008C1CFD"/>
    <w:rsid w:val="008C1F26"/>
    <w:rsid w:val="008C2A3A"/>
    <w:rsid w:val="008C498C"/>
    <w:rsid w:val="008C4C7E"/>
    <w:rsid w:val="008C5C46"/>
    <w:rsid w:val="008C6184"/>
    <w:rsid w:val="008C635F"/>
    <w:rsid w:val="008C64CD"/>
    <w:rsid w:val="008C785E"/>
    <w:rsid w:val="008D0ACD"/>
    <w:rsid w:val="008D0AFB"/>
    <w:rsid w:val="008D0DFE"/>
    <w:rsid w:val="008D1511"/>
    <w:rsid w:val="008D1ABE"/>
    <w:rsid w:val="008D2441"/>
    <w:rsid w:val="008D3250"/>
    <w:rsid w:val="008D32DF"/>
    <w:rsid w:val="008D35E9"/>
    <w:rsid w:val="008D3959"/>
    <w:rsid w:val="008D3966"/>
    <w:rsid w:val="008D3CA8"/>
    <w:rsid w:val="008D4352"/>
    <w:rsid w:val="008D5118"/>
    <w:rsid w:val="008D52EB"/>
    <w:rsid w:val="008D5C4B"/>
    <w:rsid w:val="008D60BC"/>
    <w:rsid w:val="008D6D7B"/>
    <w:rsid w:val="008D7C43"/>
    <w:rsid w:val="008D7EB7"/>
    <w:rsid w:val="008E0B64"/>
    <w:rsid w:val="008E0B6C"/>
    <w:rsid w:val="008E0DB9"/>
    <w:rsid w:val="008E0EB8"/>
    <w:rsid w:val="008E10A6"/>
    <w:rsid w:val="008E1271"/>
    <w:rsid w:val="008E15C7"/>
    <w:rsid w:val="008E186A"/>
    <w:rsid w:val="008E2251"/>
    <w:rsid w:val="008E24B3"/>
    <w:rsid w:val="008E24CA"/>
    <w:rsid w:val="008E2F6E"/>
    <w:rsid w:val="008E38AD"/>
    <w:rsid w:val="008E3EEC"/>
    <w:rsid w:val="008E4CFB"/>
    <w:rsid w:val="008E5BB7"/>
    <w:rsid w:val="008E5BF2"/>
    <w:rsid w:val="008E5C81"/>
    <w:rsid w:val="008E6BD1"/>
    <w:rsid w:val="008E75E7"/>
    <w:rsid w:val="008F0A38"/>
    <w:rsid w:val="008F0C91"/>
    <w:rsid w:val="008F0F84"/>
    <w:rsid w:val="008F1014"/>
    <w:rsid w:val="008F11C9"/>
    <w:rsid w:val="008F177B"/>
    <w:rsid w:val="008F1F51"/>
    <w:rsid w:val="008F23D8"/>
    <w:rsid w:val="008F2FD5"/>
    <w:rsid w:val="008F3783"/>
    <w:rsid w:val="008F37E5"/>
    <w:rsid w:val="008F3823"/>
    <w:rsid w:val="008F387C"/>
    <w:rsid w:val="008F3998"/>
    <w:rsid w:val="008F41B4"/>
    <w:rsid w:val="008F48C2"/>
    <w:rsid w:val="008F5840"/>
    <w:rsid w:val="008F5EEF"/>
    <w:rsid w:val="008F6262"/>
    <w:rsid w:val="008F66FE"/>
    <w:rsid w:val="008F72CC"/>
    <w:rsid w:val="008F72CD"/>
    <w:rsid w:val="00900885"/>
    <w:rsid w:val="00900FA9"/>
    <w:rsid w:val="00901978"/>
    <w:rsid w:val="00901CA9"/>
    <w:rsid w:val="00902140"/>
    <w:rsid w:val="00902F51"/>
    <w:rsid w:val="00903802"/>
    <w:rsid w:val="0090566D"/>
    <w:rsid w:val="0090696D"/>
    <w:rsid w:val="00906CD6"/>
    <w:rsid w:val="00906E4D"/>
    <w:rsid w:val="00906F31"/>
    <w:rsid w:val="009078B3"/>
    <w:rsid w:val="00907A77"/>
    <w:rsid w:val="00907AE4"/>
    <w:rsid w:val="00907BDF"/>
    <w:rsid w:val="00907E00"/>
    <w:rsid w:val="009103C5"/>
    <w:rsid w:val="009107E7"/>
    <w:rsid w:val="0091088D"/>
    <w:rsid w:val="00910C1F"/>
    <w:rsid w:val="00910FC9"/>
    <w:rsid w:val="009117DC"/>
    <w:rsid w:val="009124BD"/>
    <w:rsid w:val="0091291A"/>
    <w:rsid w:val="00913612"/>
    <w:rsid w:val="0091366A"/>
    <w:rsid w:val="00913824"/>
    <w:rsid w:val="00914C21"/>
    <w:rsid w:val="00915157"/>
    <w:rsid w:val="00915757"/>
    <w:rsid w:val="009159B3"/>
    <w:rsid w:val="00916181"/>
    <w:rsid w:val="009200CF"/>
    <w:rsid w:val="009204C5"/>
    <w:rsid w:val="00920B56"/>
    <w:rsid w:val="00920D87"/>
    <w:rsid w:val="0092180D"/>
    <w:rsid w:val="00922258"/>
    <w:rsid w:val="009232C9"/>
    <w:rsid w:val="00923608"/>
    <w:rsid w:val="009238E5"/>
    <w:rsid w:val="00923AC3"/>
    <w:rsid w:val="00923F12"/>
    <w:rsid w:val="00924AF7"/>
    <w:rsid w:val="00924FF8"/>
    <w:rsid w:val="00925B33"/>
    <w:rsid w:val="00925BA8"/>
    <w:rsid w:val="00925BAA"/>
    <w:rsid w:val="00926DA7"/>
    <w:rsid w:val="0092781E"/>
    <w:rsid w:val="00927F8B"/>
    <w:rsid w:val="0093003D"/>
    <w:rsid w:val="0093094D"/>
    <w:rsid w:val="009325F3"/>
    <w:rsid w:val="009328C7"/>
    <w:rsid w:val="009336EC"/>
    <w:rsid w:val="00933A62"/>
    <w:rsid w:val="00933C1C"/>
    <w:rsid w:val="00933F56"/>
    <w:rsid w:val="00934582"/>
    <w:rsid w:val="00934C13"/>
    <w:rsid w:val="00935228"/>
    <w:rsid w:val="0093558F"/>
    <w:rsid w:val="009355A2"/>
    <w:rsid w:val="00935F9E"/>
    <w:rsid w:val="009364B6"/>
    <w:rsid w:val="00936D98"/>
    <w:rsid w:val="00940163"/>
    <w:rsid w:val="009403DF"/>
    <w:rsid w:val="009407A6"/>
    <w:rsid w:val="009425E0"/>
    <w:rsid w:val="0094285B"/>
    <w:rsid w:val="00942C80"/>
    <w:rsid w:val="00943197"/>
    <w:rsid w:val="00943576"/>
    <w:rsid w:val="009435F2"/>
    <w:rsid w:val="009442A5"/>
    <w:rsid w:val="00944D44"/>
    <w:rsid w:val="00945180"/>
    <w:rsid w:val="0094590C"/>
    <w:rsid w:val="0094599E"/>
    <w:rsid w:val="00946355"/>
    <w:rsid w:val="009468B7"/>
    <w:rsid w:val="0094724E"/>
    <w:rsid w:val="00947973"/>
    <w:rsid w:val="00947BE6"/>
    <w:rsid w:val="00947E32"/>
    <w:rsid w:val="00947F84"/>
    <w:rsid w:val="0095048D"/>
    <w:rsid w:val="0095055E"/>
    <w:rsid w:val="00951459"/>
    <w:rsid w:val="00951491"/>
    <w:rsid w:val="009515DC"/>
    <w:rsid w:val="00951ADB"/>
    <w:rsid w:val="0095380C"/>
    <w:rsid w:val="00953976"/>
    <w:rsid w:val="00953A39"/>
    <w:rsid w:val="00954353"/>
    <w:rsid w:val="00955C0A"/>
    <w:rsid w:val="00955C4F"/>
    <w:rsid w:val="009563C7"/>
    <w:rsid w:val="00956C8C"/>
    <w:rsid w:val="00957CE3"/>
    <w:rsid w:val="00960DA1"/>
    <w:rsid w:val="00960F20"/>
    <w:rsid w:val="0096354D"/>
    <w:rsid w:val="009639CF"/>
    <w:rsid w:val="00964054"/>
    <w:rsid w:val="00964248"/>
    <w:rsid w:val="00964983"/>
    <w:rsid w:val="009657C4"/>
    <w:rsid w:val="009657F1"/>
    <w:rsid w:val="00965DE9"/>
    <w:rsid w:val="009661D8"/>
    <w:rsid w:val="0096625D"/>
    <w:rsid w:val="00967A44"/>
    <w:rsid w:val="00967DDC"/>
    <w:rsid w:val="0097099B"/>
    <w:rsid w:val="009709F8"/>
    <w:rsid w:val="00970C26"/>
    <w:rsid w:val="0097171F"/>
    <w:rsid w:val="0097258B"/>
    <w:rsid w:val="00972929"/>
    <w:rsid w:val="00972F91"/>
    <w:rsid w:val="00973827"/>
    <w:rsid w:val="00973991"/>
    <w:rsid w:val="009742D3"/>
    <w:rsid w:val="00974E52"/>
    <w:rsid w:val="00975017"/>
    <w:rsid w:val="009756F7"/>
    <w:rsid w:val="00975E57"/>
    <w:rsid w:val="00975E86"/>
    <w:rsid w:val="0097626F"/>
    <w:rsid w:val="0097673E"/>
    <w:rsid w:val="00976CE6"/>
    <w:rsid w:val="00977635"/>
    <w:rsid w:val="00977BA7"/>
    <w:rsid w:val="0098020A"/>
    <w:rsid w:val="00980517"/>
    <w:rsid w:val="009812C4"/>
    <w:rsid w:val="0098194F"/>
    <w:rsid w:val="00981FD1"/>
    <w:rsid w:val="009826C8"/>
    <w:rsid w:val="009828AC"/>
    <w:rsid w:val="00983015"/>
    <w:rsid w:val="009836E4"/>
    <w:rsid w:val="00983BE5"/>
    <w:rsid w:val="0098412F"/>
    <w:rsid w:val="00985F28"/>
    <w:rsid w:val="00986149"/>
    <w:rsid w:val="00986176"/>
    <w:rsid w:val="009868C1"/>
    <w:rsid w:val="00986E7F"/>
    <w:rsid w:val="00987536"/>
    <w:rsid w:val="00987678"/>
    <w:rsid w:val="00987ADC"/>
    <w:rsid w:val="009901F0"/>
    <w:rsid w:val="00990BD5"/>
    <w:rsid w:val="00990E40"/>
    <w:rsid w:val="0099196F"/>
    <w:rsid w:val="00992388"/>
    <w:rsid w:val="00992B98"/>
    <w:rsid w:val="0099359F"/>
    <w:rsid w:val="00994871"/>
    <w:rsid w:val="00994E08"/>
    <w:rsid w:val="009951F9"/>
    <w:rsid w:val="00995810"/>
    <w:rsid w:val="009958E0"/>
    <w:rsid w:val="00995C95"/>
    <w:rsid w:val="00995E85"/>
    <w:rsid w:val="00996468"/>
    <w:rsid w:val="00996876"/>
    <w:rsid w:val="009968B2"/>
    <w:rsid w:val="00996FFA"/>
    <w:rsid w:val="009973F1"/>
    <w:rsid w:val="009973F3"/>
    <w:rsid w:val="009A010D"/>
    <w:rsid w:val="009A0789"/>
    <w:rsid w:val="009A0C01"/>
    <w:rsid w:val="009A0C6F"/>
    <w:rsid w:val="009A14EF"/>
    <w:rsid w:val="009A1507"/>
    <w:rsid w:val="009A2950"/>
    <w:rsid w:val="009A2DF9"/>
    <w:rsid w:val="009A3633"/>
    <w:rsid w:val="009A3A51"/>
    <w:rsid w:val="009A3A86"/>
    <w:rsid w:val="009A4869"/>
    <w:rsid w:val="009A633B"/>
    <w:rsid w:val="009A6A6B"/>
    <w:rsid w:val="009B074D"/>
    <w:rsid w:val="009B07C3"/>
    <w:rsid w:val="009B1EF9"/>
    <w:rsid w:val="009B26AC"/>
    <w:rsid w:val="009B3090"/>
    <w:rsid w:val="009B37E2"/>
    <w:rsid w:val="009B4519"/>
    <w:rsid w:val="009B506B"/>
    <w:rsid w:val="009B57EF"/>
    <w:rsid w:val="009B5B85"/>
    <w:rsid w:val="009B62D7"/>
    <w:rsid w:val="009B7204"/>
    <w:rsid w:val="009C0074"/>
    <w:rsid w:val="009C022F"/>
    <w:rsid w:val="009C0564"/>
    <w:rsid w:val="009C16D9"/>
    <w:rsid w:val="009C2685"/>
    <w:rsid w:val="009C2EEC"/>
    <w:rsid w:val="009C3518"/>
    <w:rsid w:val="009C35D5"/>
    <w:rsid w:val="009C39BC"/>
    <w:rsid w:val="009C3D0E"/>
    <w:rsid w:val="009C4788"/>
    <w:rsid w:val="009C4BC2"/>
    <w:rsid w:val="009C4BC4"/>
    <w:rsid w:val="009C4D22"/>
    <w:rsid w:val="009C50E4"/>
    <w:rsid w:val="009C6BBC"/>
    <w:rsid w:val="009C6F12"/>
    <w:rsid w:val="009C7320"/>
    <w:rsid w:val="009D0198"/>
    <w:rsid w:val="009D0729"/>
    <w:rsid w:val="009D0C36"/>
    <w:rsid w:val="009D0F66"/>
    <w:rsid w:val="009D0F94"/>
    <w:rsid w:val="009D11EC"/>
    <w:rsid w:val="009D14C7"/>
    <w:rsid w:val="009D18B3"/>
    <w:rsid w:val="009D1A06"/>
    <w:rsid w:val="009D1BA4"/>
    <w:rsid w:val="009D22E4"/>
    <w:rsid w:val="009D22F7"/>
    <w:rsid w:val="009D2E05"/>
    <w:rsid w:val="009D310C"/>
    <w:rsid w:val="009D319C"/>
    <w:rsid w:val="009D4677"/>
    <w:rsid w:val="009D52F0"/>
    <w:rsid w:val="009D5474"/>
    <w:rsid w:val="009D5BAB"/>
    <w:rsid w:val="009D5C97"/>
    <w:rsid w:val="009D6916"/>
    <w:rsid w:val="009D6A0A"/>
    <w:rsid w:val="009D7954"/>
    <w:rsid w:val="009E058F"/>
    <w:rsid w:val="009E0A9E"/>
    <w:rsid w:val="009E19A2"/>
    <w:rsid w:val="009E38AC"/>
    <w:rsid w:val="009E3AFD"/>
    <w:rsid w:val="009E3CDD"/>
    <w:rsid w:val="009E3D6C"/>
    <w:rsid w:val="009E4B16"/>
    <w:rsid w:val="009E4D97"/>
    <w:rsid w:val="009E545F"/>
    <w:rsid w:val="009E5C60"/>
    <w:rsid w:val="009E64DB"/>
    <w:rsid w:val="009E6572"/>
    <w:rsid w:val="009E6794"/>
    <w:rsid w:val="009E7189"/>
    <w:rsid w:val="009E74E1"/>
    <w:rsid w:val="009E7E46"/>
    <w:rsid w:val="009E7FC1"/>
    <w:rsid w:val="009F01E1"/>
    <w:rsid w:val="009F0772"/>
    <w:rsid w:val="009F0B4D"/>
    <w:rsid w:val="009F0CC2"/>
    <w:rsid w:val="009F0F2C"/>
    <w:rsid w:val="009F1096"/>
    <w:rsid w:val="009F1481"/>
    <w:rsid w:val="009F150E"/>
    <w:rsid w:val="009F165D"/>
    <w:rsid w:val="009F27AD"/>
    <w:rsid w:val="009F3FB5"/>
    <w:rsid w:val="009F47B7"/>
    <w:rsid w:val="009F521F"/>
    <w:rsid w:val="009F53C6"/>
    <w:rsid w:val="009F553C"/>
    <w:rsid w:val="009F59F8"/>
    <w:rsid w:val="009F657C"/>
    <w:rsid w:val="00A005B0"/>
    <w:rsid w:val="00A01F17"/>
    <w:rsid w:val="00A022A5"/>
    <w:rsid w:val="00A02470"/>
    <w:rsid w:val="00A0338C"/>
    <w:rsid w:val="00A033ED"/>
    <w:rsid w:val="00A03550"/>
    <w:rsid w:val="00A03A22"/>
    <w:rsid w:val="00A03E62"/>
    <w:rsid w:val="00A04018"/>
    <w:rsid w:val="00A0411D"/>
    <w:rsid w:val="00A04634"/>
    <w:rsid w:val="00A04EF5"/>
    <w:rsid w:val="00A0543B"/>
    <w:rsid w:val="00A055B5"/>
    <w:rsid w:val="00A06119"/>
    <w:rsid w:val="00A071F0"/>
    <w:rsid w:val="00A078DE"/>
    <w:rsid w:val="00A07A48"/>
    <w:rsid w:val="00A108EE"/>
    <w:rsid w:val="00A10BB8"/>
    <w:rsid w:val="00A1121C"/>
    <w:rsid w:val="00A11548"/>
    <w:rsid w:val="00A11740"/>
    <w:rsid w:val="00A1200D"/>
    <w:rsid w:val="00A12252"/>
    <w:rsid w:val="00A137E4"/>
    <w:rsid w:val="00A14813"/>
    <w:rsid w:val="00A1566A"/>
    <w:rsid w:val="00A15A97"/>
    <w:rsid w:val="00A165BF"/>
    <w:rsid w:val="00A169EC"/>
    <w:rsid w:val="00A17068"/>
    <w:rsid w:val="00A172E8"/>
    <w:rsid w:val="00A179FF"/>
    <w:rsid w:val="00A20696"/>
    <w:rsid w:val="00A21A36"/>
    <w:rsid w:val="00A22473"/>
    <w:rsid w:val="00A23050"/>
    <w:rsid w:val="00A23B4D"/>
    <w:rsid w:val="00A23E00"/>
    <w:rsid w:val="00A25294"/>
    <w:rsid w:val="00A254EE"/>
    <w:rsid w:val="00A25A85"/>
    <w:rsid w:val="00A25BE7"/>
    <w:rsid w:val="00A25E6F"/>
    <w:rsid w:val="00A27008"/>
    <w:rsid w:val="00A27CDF"/>
    <w:rsid w:val="00A30654"/>
    <w:rsid w:val="00A309C6"/>
    <w:rsid w:val="00A30D13"/>
    <w:rsid w:val="00A314F9"/>
    <w:rsid w:val="00A319D0"/>
    <w:rsid w:val="00A32316"/>
    <w:rsid w:val="00A33172"/>
    <w:rsid w:val="00A33322"/>
    <w:rsid w:val="00A338D1"/>
    <w:rsid w:val="00A3432B"/>
    <w:rsid w:val="00A346BA"/>
    <w:rsid w:val="00A347B0"/>
    <w:rsid w:val="00A3494F"/>
    <w:rsid w:val="00A34C67"/>
    <w:rsid w:val="00A34D62"/>
    <w:rsid w:val="00A35D85"/>
    <w:rsid w:val="00A3611D"/>
    <w:rsid w:val="00A36339"/>
    <w:rsid w:val="00A366E4"/>
    <w:rsid w:val="00A370D8"/>
    <w:rsid w:val="00A371BD"/>
    <w:rsid w:val="00A4038A"/>
    <w:rsid w:val="00A419CF"/>
    <w:rsid w:val="00A4376F"/>
    <w:rsid w:val="00A4549F"/>
    <w:rsid w:val="00A4593C"/>
    <w:rsid w:val="00A45B9B"/>
    <w:rsid w:val="00A45EE4"/>
    <w:rsid w:val="00A462FE"/>
    <w:rsid w:val="00A501C9"/>
    <w:rsid w:val="00A50506"/>
    <w:rsid w:val="00A511FF"/>
    <w:rsid w:val="00A51E30"/>
    <w:rsid w:val="00A52131"/>
    <w:rsid w:val="00A52A4C"/>
    <w:rsid w:val="00A52C21"/>
    <w:rsid w:val="00A52F80"/>
    <w:rsid w:val="00A53A0D"/>
    <w:rsid w:val="00A53F55"/>
    <w:rsid w:val="00A5417B"/>
    <w:rsid w:val="00A54599"/>
    <w:rsid w:val="00A54B82"/>
    <w:rsid w:val="00A54E68"/>
    <w:rsid w:val="00A54E8C"/>
    <w:rsid w:val="00A569D4"/>
    <w:rsid w:val="00A571CC"/>
    <w:rsid w:val="00A57F1A"/>
    <w:rsid w:val="00A60163"/>
    <w:rsid w:val="00A6038D"/>
    <w:rsid w:val="00A60CF0"/>
    <w:rsid w:val="00A61429"/>
    <w:rsid w:val="00A61514"/>
    <w:rsid w:val="00A61645"/>
    <w:rsid w:val="00A619E9"/>
    <w:rsid w:val="00A62080"/>
    <w:rsid w:val="00A62272"/>
    <w:rsid w:val="00A62949"/>
    <w:rsid w:val="00A630A2"/>
    <w:rsid w:val="00A632B8"/>
    <w:rsid w:val="00A637A6"/>
    <w:rsid w:val="00A63BF3"/>
    <w:rsid w:val="00A64942"/>
    <w:rsid w:val="00A64A8D"/>
    <w:rsid w:val="00A65911"/>
    <w:rsid w:val="00A6643C"/>
    <w:rsid w:val="00A67544"/>
    <w:rsid w:val="00A705CE"/>
    <w:rsid w:val="00A7075B"/>
    <w:rsid w:val="00A70E5D"/>
    <w:rsid w:val="00A71CE6"/>
    <w:rsid w:val="00A71D23"/>
    <w:rsid w:val="00A724C4"/>
    <w:rsid w:val="00A72761"/>
    <w:rsid w:val="00A7333A"/>
    <w:rsid w:val="00A73C7E"/>
    <w:rsid w:val="00A73D0D"/>
    <w:rsid w:val="00A74088"/>
    <w:rsid w:val="00A74A92"/>
    <w:rsid w:val="00A75CC1"/>
    <w:rsid w:val="00A75E88"/>
    <w:rsid w:val="00A76979"/>
    <w:rsid w:val="00A772DF"/>
    <w:rsid w:val="00A775C7"/>
    <w:rsid w:val="00A77DC6"/>
    <w:rsid w:val="00A80540"/>
    <w:rsid w:val="00A8056E"/>
    <w:rsid w:val="00A816B0"/>
    <w:rsid w:val="00A81752"/>
    <w:rsid w:val="00A82158"/>
    <w:rsid w:val="00A82480"/>
    <w:rsid w:val="00A82D58"/>
    <w:rsid w:val="00A8399D"/>
    <w:rsid w:val="00A83E3D"/>
    <w:rsid w:val="00A8443A"/>
    <w:rsid w:val="00A8479C"/>
    <w:rsid w:val="00A8557B"/>
    <w:rsid w:val="00A85A05"/>
    <w:rsid w:val="00A86D63"/>
    <w:rsid w:val="00A87797"/>
    <w:rsid w:val="00A9061D"/>
    <w:rsid w:val="00A90E72"/>
    <w:rsid w:val="00A922A2"/>
    <w:rsid w:val="00A92561"/>
    <w:rsid w:val="00A9327B"/>
    <w:rsid w:val="00A9332D"/>
    <w:rsid w:val="00A93B69"/>
    <w:rsid w:val="00A93ED8"/>
    <w:rsid w:val="00A94366"/>
    <w:rsid w:val="00A94D01"/>
    <w:rsid w:val="00A95265"/>
    <w:rsid w:val="00A957E7"/>
    <w:rsid w:val="00A963C7"/>
    <w:rsid w:val="00AA0369"/>
    <w:rsid w:val="00AA0871"/>
    <w:rsid w:val="00AA1626"/>
    <w:rsid w:val="00AA19A6"/>
    <w:rsid w:val="00AA1C25"/>
    <w:rsid w:val="00AA36C4"/>
    <w:rsid w:val="00AA3CD1"/>
    <w:rsid w:val="00AA3DB7"/>
    <w:rsid w:val="00AA51F5"/>
    <w:rsid w:val="00AA57A7"/>
    <w:rsid w:val="00AA5BF7"/>
    <w:rsid w:val="00AA5E3B"/>
    <w:rsid w:val="00AA689C"/>
    <w:rsid w:val="00AA68B4"/>
    <w:rsid w:val="00AA6DFC"/>
    <w:rsid w:val="00AA7DF8"/>
    <w:rsid w:val="00AB0543"/>
    <w:rsid w:val="00AB0AC9"/>
    <w:rsid w:val="00AB1626"/>
    <w:rsid w:val="00AB185A"/>
    <w:rsid w:val="00AB1BA7"/>
    <w:rsid w:val="00AB1E04"/>
    <w:rsid w:val="00AB1ED4"/>
    <w:rsid w:val="00AB1FFA"/>
    <w:rsid w:val="00AB29CF"/>
    <w:rsid w:val="00AB2FAB"/>
    <w:rsid w:val="00AB3113"/>
    <w:rsid w:val="00AB348A"/>
    <w:rsid w:val="00AB3A1F"/>
    <w:rsid w:val="00AB3F38"/>
    <w:rsid w:val="00AB43EC"/>
    <w:rsid w:val="00AB493C"/>
    <w:rsid w:val="00AB4BF4"/>
    <w:rsid w:val="00AB50E5"/>
    <w:rsid w:val="00AB5ADF"/>
    <w:rsid w:val="00AB5DBE"/>
    <w:rsid w:val="00AB5DE1"/>
    <w:rsid w:val="00AB5E57"/>
    <w:rsid w:val="00AB6EAA"/>
    <w:rsid w:val="00AB725F"/>
    <w:rsid w:val="00AC0705"/>
    <w:rsid w:val="00AC109B"/>
    <w:rsid w:val="00AC2291"/>
    <w:rsid w:val="00AC256D"/>
    <w:rsid w:val="00AC3396"/>
    <w:rsid w:val="00AC48CA"/>
    <w:rsid w:val="00AC49D9"/>
    <w:rsid w:val="00AC5349"/>
    <w:rsid w:val="00AC53D0"/>
    <w:rsid w:val="00AC65EB"/>
    <w:rsid w:val="00AC74DA"/>
    <w:rsid w:val="00AC74ED"/>
    <w:rsid w:val="00AC7835"/>
    <w:rsid w:val="00AC7A2B"/>
    <w:rsid w:val="00AC7C25"/>
    <w:rsid w:val="00AD0A51"/>
    <w:rsid w:val="00AD0B37"/>
    <w:rsid w:val="00AD106A"/>
    <w:rsid w:val="00AD11F7"/>
    <w:rsid w:val="00AD1DB7"/>
    <w:rsid w:val="00AD2655"/>
    <w:rsid w:val="00AD2852"/>
    <w:rsid w:val="00AD3147"/>
    <w:rsid w:val="00AD3976"/>
    <w:rsid w:val="00AD418B"/>
    <w:rsid w:val="00AD48E8"/>
    <w:rsid w:val="00AD4D2A"/>
    <w:rsid w:val="00AD4E01"/>
    <w:rsid w:val="00AD4F10"/>
    <w:rsid w:val="00AD5063"/>
    <w:rsid w:val="00AD542F"/>
    <w:rsid w:val="00AD5BAD"/>
    <w:rsid w:val="00AD606F"/>
    <w:rsid w:val="00AD66C6"/>
    <w:rsid w:val="00AD7305"/>
    <w:rsid w:val="00AD7E64"/>
    <w:rsid w:val="00AE0C56"/>
    <w:rsid w:val="00AE149E"/>
    <w:rsid w:val="00AE1563"/>
    <w:rsid w:val="00AE1752"/>
    <w:rsid w:val="00AE1D9A"/>
    <w:rsid w:val="00AE22F2"/>
    <w:rsid w:val="00AE29FC"/>
    <w:rsid w:val="00AE2C08"/>
    <w:rsid w:val="00AE2F3F"/>
    <w:rsid w:val="00AE3844"/>
    <w:rsid w:val="00AE3B4E"/>
    <w:rsid w:val="00AE3D7B"/>
    <w:rsid w:val="00AE48CB"/>
    <w:rsid w:val="00AE50EF"/>
    <w:rsid w:val="00AE59EC"/>
    <w:rsid w:val="00AE602D"/>
    <w:rsid w:val="00AE67B3"/>
    <w:rsid w:val="00AE6DE8"/>
    <w:rsid w:val="00AE7864"/>
    <w:rsid w:val="00AE7949"/>
    <w:rsid w:val="00AF0362"/>
    <w:rsid w:val="00AF0655"/>
    <w:rsid w:val="00AF0FBA"/>
    <w:rsid w:val="00AF23F2"/>
    <w:rsid w:val="00AF25D5"/>
    <w:rsid w:val="00AF3041"/>
    <w:rsid w:val="00AF397B"/>
    <w:rsid w:val="00AF3DBB"/>
    <w:rsid w:val="00AF3E74"/>
    <w:rsid w:val="00AF496E"/>
    <w:rsid w:val="00AF5194"/>
    <w:rsid w:val="00AF53EF"/>
    <w:rsid w:val="00AF73C3"/>
    <w:rsid w:val="00AF785B"/>
    <w:rsid w:val="00AF795C"/>
    <w:rsid w:val="00AF7D94"/>
    <w:rsid w:val="00B00752"/>
    <w:rsid w:val="00B026C1"/>
    <w:rsid w:val="00B02B9C"/>
    <w:rsid w:val="00B0353B"/>
    <w:rsid w:val="00B03846"/>
    <w:rsid w:val="00B039A8"/>
    <w:rsid w:val="00B040B2"/>
    <w:rsid w:val="00B04694"/>
    <w:rsid w:val="00B05CE3"/>
    <w:rsid w:val="00B1000C"/>
    <w:rsid w:val="00B1029D"/>
    <w:rsid w:val="00B10558"/>
    <w:rsid w:val="00B10B8D"/>
    <w:rsid w:val="00B112F0"/>
    <w:rsid w:val="00B11F2F"/>
    <w:rsid w:val="00B11FF3"/>
    <w:rsid w:val="00B12CD0"/>
    <w:rsid w:val="00B147F5"/>
    <w:rsid w:val="00B14A7B"/>
    <w:rsid w:val="00B156A9"/>
    <w:rsid w:val="00B15E75"/>
    <w:rsid w:val="00B15F83"/>
    <w:rsid w:val="00B160FF"/>
    <w:rsid w:val="00B16322"/>
    <w:rsid w:val="00B1662E"/>
    <w:rsid w:val="00B16A6F"/>
    <w:rsid w:val="00B17C06"/>
    <w:rsid w:val="00B17D7E"/>
    <w:rsid w:val="00B201C8"/>
    <w:rsid w:val="00B221DF"/>
    <w:rsid w:val="00B2236A"/>
    <w:rsid w:val="00B225B9"/>
    <w:rsid w:val="00B22C0D"/>
    <w:rsid w:val="00B23830"/>
    <w:rsid w:val="00B23AF4"/>
    <w:rsid w:val="00B23C15"/>
    <w:rsid w:val="00B23FD7"/>
    <w:rsid w:val="00B24FE7"/>
    <w:rsid w:val="00B25230"/>
    <w:rsid w:val="00B25274"/>
    <w:rsid w:val="00B25762"/>
    <w:rsid w:val="00B25B40"/>
    <w:rsid w:val="00B25FDE"/>
    <w:rsid w:val="00B26622"/>
    <w:rsid w:val="00B26AB0"/>
    <w:rsid w:val="00B26AD2"/>
    <w:rsid w:val="00B26CA2"/>
    <w:rsid w:val="00B3010A"/>
    <w:rsid w:val="00B30B4E"/>
    <w:rsid w:val="00B30B8D"/>
    <w:rsid w:val="00B30F48"/>
    <w:rsid w:val="00B31246"/>
    <w:rsid w:val="00B31C2F"/>
    <w:rsid w:val="00B326FF"/>
    <w:rsid w:val="00B3287F"/>
    <w:rsid w:val="00B335C3"/>
    <w:rsid w:val="00B33805"/>
    <w:rsid w:val="00B33D12"/>
    <w:rsid w:val="00B340AA"/>
    <w:rsid w:val="00B34A9F"/>
    <w:rsid w:val="00B34AB1"/>
    <w:rsid w:val="00B34B80"/>
    <w:rsid w:val="00B35CDA"/>
    <w:rsid w:val="00B362D2"/>
    <w:rsid w:val="00B372D2"/>
    <w:rsid w:val="00B3776E"/>
    <w:rsid w:val="00B37D97"/>
    <w:rsid w:val="00B40CDB"/>
    <w:rsid w:val="00B411BD"/>
    <w:rsid w:val="00B41559"/>
    <w:rsid w:val="00B417D7"/>
    <w:rsid w:val="00B418E8"/>
    <w:rsid w:val="00B42285"/>
    <w:rsid w:val="00B4274B"/>
    <w:rsid w:val="00B42BF0"/>
    <w:rsid w:val="00B435B1"/>
    <w:rsid w:val="00B4367F"/>
    <w:rsid w:val="00B438BA"/>
    <w:rsid w:val="00B44905"/>
    <w:rsid w:val="00B44F99"/>
    <w:rsid w:val="00B45655"/>
    <w:rsid w:val="00B45743"/>
    <w:rsid w:val="00B45876"/>
    <w:rsid w:val="00B45AD5"/>
    <w:rsid w:val="00B465EF"/>
    <w:rsid w:val="00B466FE"/>
    <w:rsid w:val="00B47C8A"/>
    <w:rsid w:val="00B5025A"/>
    <w:rsid w:val="00B51542"/>
    <w:rsid w:val="00B51D1D"/>
    <w:rsid w:val="00B5310E"/>
    <w:rsid w:val="00B54ACC"/>
    <w:rsid w:val="00B54DCB"/>
    <w:rsid w:val="00B55AC2"/>
    <w:rsid w:val="00B560C9"/>
    <w:rsid w:val="00B56250"/>
    <w:rsid w:val="00B56533"/>
    <w:rsid w:val="00B56552"/>
    <w:rsid w:val="00B56779"/>
    <w:rsid w:val="00B56CFC"/>
    <w:rsid w:val="00B57148"/>
    <w:rsid w:val="00B57777"/>
    <w:rsid w:val="00B57A17"/>
    <w:rsid w:val="00B57A42"/>
    <w:rsid w:val="00B61BE2"/>
    <w:rsid w:val="00B6258D"/>
    <w:rsid w:val="00B6266F"/>
    <w:rsid w:val="00B62E0B"/>
    <w:rsid w:val="00B63C32"/>
    <w:rsid w:val="00B6427F"/>
    <w:rsid w:val="00B64318"/>
    <w:rsid w:val="00B643B6"/>
    <w:rsid w:val="00B64434"/>
    <w:rsid w:val="00B66491"/>
    <w:rsid w:val="00B66E27"/>
    <w:rsid w:val="00B671C5"/>
    <w:rsid w:val="00B678FD"/>
    <w:rsid w:val="00B70197"/>
    <w:rsid w:val="00B711CE"/>
    <w:rsid w:val="00B71779"/>
    <w:rsid w:val="00B71797"/>
    <w:rsid w:val="00B71DC8"/>
    <w:rsid w:val="00B733A2"/>
    <w:rsid w:val="00B73476"/>
    <w:rsid w:val="00B73DD9"/>
    <w:rsid w:val="00B746C6"/>
    <w:rsid w:val="00B74EC2"/>
    <w:rsid w:val="00B75382"/>
    <w:rsid w:val="00B75C3E"/>
    <w:rsid w:val="00B7604C"/>
    <w:rsid w:val="00B7652C"/>
    <w:rsid w:val="00B766BF"/>
    <w:rsid w:val="00B76FA6"/>
    <w:rsid w:val="00B77418"/>
    <w:rsid w:val="00B80910"/>
    <w:rsid w:val="00B80B96"/>
    <w:rsid w:val="00B818F4"/>
    <w:rsid w:val="00B81B21"/>
    <w:rsid w:val="00B81BC9"/>
    <w:rsid w:val="00B8222F"/>
    <w:rsid w:val="00B825A3"/>
    <w:rsid w:val="00B82615"/>
    <w:rsid w:val="00B83444"/>
    <w:rsid w:val="00B836ED"/>
    <w:rsid w:val="00B84AAA"/>
    <w:rsid w:val="00B84C5A"/>
    <w:rsid w:val="00B853BE"/>
    <w:rsid w:val="00B86476"/>
    <w:rsid w:val="00B86A3D"/>
    <w:rsid w:val="00B86D04"/>
    <w:rsid w:val="00B875C7"/>
    <w:rsid w:val="00B90AA5"/>
    <w:rsid w:val="00B90D10"/>
    <w:rsid w:val="00B90FE5"/>
    <w:rsid w:val="00B919AD"/>
    <w:rsid w:val="00B91A2B"/>
    <w:rsid w:val="00B92645"/>
    <w:rsid w:val="00B92B8D"/>
    <w:rsid w:val="00B93204"/>
    <w:rsid w:val="00B9346A"/>
    <w:rsid w:val="00B93C8D"/>
    <w:rsid w:val="00B94C8B"/>
    <w:rsid w:val="00B94E17"/>
    <w:rsid w:val="00B957FE"/>
    <w:rsid w:val="00B95F02"/>
    <w:rsid w:val="00B9616A"/>
    <w:rsid w:val="00B96BEF"/>
    <w:rsid w:val="00B96FC0"/>
    <w:rsid w:val="00B97068"/>
    <w:rsid w:val="00B97260"/>
    <w:rsid w:val="00B97A69"/>
    <w:rsid w:val="00BA03FC"/>
    <w:rsid w:val="00BA0632"/>
    <w:rsid w:val="00BA0AAA"/>
    <w:rsid w:val="00BA0DFB"/>
    <w:rsid w:val="00BA15D2"/>
    <w:rsid w:val="00BA2FEF"/>
    <w:rsid w:val="00BA3C50"/>
    <w:rsid w:val="00BA46A7"/>
    <w:rsid w:val="00BA4FC0"/>
    <w:rsid w:val="00BA5A68"/>
    <w:rsid w:val="00BA5D32"/>
    <w:rsid w:val="00BA6C5F"/>
    <w:rsid w:val="00BA6D83"/>
    <w:rsid w:val="00BB023F"/>
    <w:rsid w:val="00BB0ADB"/>
    <w:rsid w:val="00BB1548"/>
    <w:rsid w:val="00BB1CE7"/>
    <w:rsid w:val="00BB229F"/>
    <w:rsid w:val="00BB2FD3"/>
    <w:rsid w:val="00BB2FDF"/>
    <w:rsid w:val="00BB2FFF"/>
    <w:rsid w:val="00BB3F65"/>
    <w:rsid w:val="00BB41C9"/>
    <w:rsid w:val="00BB4E6A"/>
    <w:rsid w:val="00BB53EE"/>
    <w:rsid w:val="00BB5920"/>
    <w:rsid w:val="00BB5F8E"/>
    <w:rsid w:val="00BB5FCB"/>
    <w:rsid w:val="00BB604B"/>
    <w:rsid w:val="00BB6A24"/>
    <w:rsid w:val="00BC00E2"/>
    <w:rsid w:val="00BC00EC"/>
    <w:rsid w:val="00BC08C5"/>
    <w:rsid w:val="00BC12FB"/>
    <w:rsid w:val="00BC173E"/>
    <w:rsid w:val="00BC1B01"/>
    <w:rsid w:val="00BC1C3C"/>
    <w:rsid w:val="00BC2AA4"/>
    <w:rsid w:val="00BC2E9A"/>
    <w:rsid w:val="00BC307F"/>
    <w:rsid w:val="00BC3159"/>
    <w:rsid w:val="00BC3257"/>
    <w:rsid w:val="00BC3283"/>
    <w:rsid w:val="00BC39DB"/>
    <w:rsid w:val="00BC3A32"/>
    <w:rsid w:val="00BC3B07"/>
    <w:rsid w:val="00BC46EF"/>
    <w:rsid w:val="00BC5342"/>
    <w:rsid w:val="00BC6F50"/>
    <w:rsid w:val="00BC6FD6"/>
    <w:rsid w:val="00BD008E"/>
    <w:rsid w:val="00BD2F3B"/>
    <w:rsid w:val="00BD32A8"/>
    <w:rsid w:val="00BD3372"/>
    <w:rsid w:val="00BD3BEB"/>
    <w:rsid w:val="00BD410F"/>
    <w:rsid w:val="00BD462A"/>
    <w:rsid w:val="00BD50AA"/>
    <w:rsid w:val="00BD5135"/>
    <w:rsid w:val="00BD557D"/>
    <w:rsid w:val="00BD70F9"/>
    <w:rsid w:val="00BD7291"/>
    <w:rsid w:val="00BD7750"/>
    <w:rsid w:val="00BD7EA3"/>
    <w:rsid w:val="00BD7FE2"/>
    <w:rsid w:val="00BE06AA"/>
    <w:rsid w:val="00BE0B19"/>
    <w:rsid w:val="00BE0DD8"/>
    <w:rsid w:val="00BE13F0"/>
    <w:rsid w:val="00BE15C1"/>
    <w:rsid w:val="00BE1BE8"/>
    <w:rsid w:val="00BE1D82"/>
    <w:rsid w:val="00BE1EE4"/>
    <w:rsid w:val="00BE1F8B"/>
    <w:rsid w:val="00BE2B4F"/>
    <w:rsid w:val="00BE2E57"/>
    <w:rsid w:val="00BE2F39"/>
    <w:rsid w:val="00BE332D"/>
    <w:rsid w:val="00BE3830"/>
    <w:rsid w:val="00BE3CF1"/>
    <w:rsid w:val="00BE4B20"/>
    <w:rsid w:val="00BE4FAD"/>
    <w:rsid w:val="00BE536C"/>
    <w:rsid w:val="00BE5379"/>
    <w:rsid w:val="00BE55F1"/>
    <w:rsid w:val="00BE5877"/>
    <w:rsid w:val="00BE5FC4"/>
    <w:rsid w:val="00BE62E9"/>
    <w:rsid w:val="00BE6B75"/>
    <w:rsid w:val="00BE6FF4"/>
    <w:rsid w:val="00BE7C4D"/>
    <w:rsid w:val="00BE7F6A"/>
    <w:rsid w:val="00BF0274"/>
    <w:rsid w:val="00BF08C4"/>
    <w:rsid w:val="00BF0BAF"/>
    <w:rsid w:val="00BF19CE"/>
    <w:rsid w:val="00BF2B6F"/>
    <w:rsid w:val="00BF31EB"/>
    <w:rsid w:val="00BF3220"/>
    <w:rsid w:val="00BF351A"/>
    <w:rsid w:val="00BF3914"/>
    <w:rsid w:val="00BF3F26"/>
    <w:rsid w:val="00BF49B1"/>
    <w:rsid w:val="00BF4E43"/>
    <w:rsid w:val="00BF520A"/>
    <w:rsid w:val="00BF5552"/>
    <w:rsid w:val="00BF6735"/>
    <w:rsid w:val="00BF73F2"/>
    <w:rsid w:val="00BF78F9"/>
    <w:rsid w:val="00BF7B3C"/>
    <w:rsid w:val="00C010E8"/>
    <w:rsid w:val="00C01671"/>
    <w:rsid w:val="00C01A6E"/>
    <w:rsid w:val="00C02419"/>
    <w:rsid w:val="00C02766"/>
    <w:rsid w:val="00C035A9"/>
    <w:rsid w:val="00C0364E"/>
    <w:rsid w:val="00C03EE8"/>
    <w:rsid w:val="00C05398"/>
    <w:rsid w:val="00C05BEC"/>
    <w:rsid w:val="00C0627E"/>
    <w:rsid w:val="00C06BF8"/>
    <w:rsid w:val="00C06E7D"/>
    <w:rsid w:val="00C075A6"/>
    <w:rsid w:val="00C1112B"/>
    <w:rsid w:val="00C11A88"/>
    <w:rsid w:val="00C11C22"/>
    <w:rsid w:val="00C12012"/>
    <w:rsid w:val="00C12767"/>
    <w:rsid w:val="00C12874"/>
    <w:rsid w:val="00C12BC1"/>
    <w:rsid w:val="00C13016"/>
    <w:rsid w:val="00C13BDA"/>
    <w:rsid w:val="00C13FFD"/>
    <w:rsid w:val="00C14632"/>
    <w:rsid w:val="00C15EDB"/>
    <w:rsid w:val="00C164C4"/>
    <w:rsid w:val="00C16B4B"/>
    <w:rsid w:val="00C16C30"/>
    <w:rsid w:val="00C17C22"/>
    <w:rsid w:val="00C20A00"/>
    <w:rsid w:val="00C21673"/>
    <w:rsid w:val="00C21C17"/>
    <w:rsid w:val="00C21C7A"/>
    <w:rsid w:val="00C2208F"/>
    <w:rsid w:val="00C23130"/>
    <w:rsid w:val="00C23E53"/>
    <w:rsid w:val="00C255A5"/>
    <w:rsid w:val="00C2584B"/>
    <w:rsid w:val="00C25942"/>
    <w:rsid w:val="00C25DD9"/>
    <w:rsid w:val="00C2663F"/>
    <w:rsid w:val="00C266B6"/>
    <w:rsid w:val="00C26A2B"/>
    <w:rsid w:val="00C26ACC"/>
    <w:rsid w:val="00C26DB8"/>
    <w:rsid w:val="00C273F4"/>
    <w:rsid w:val="00C322E0"/>
    <w:rsid w:val="00C329B5"/>
    <w:rsid w:val="00C32FD4"/>
    <w:rsid w:val="00C3400F"/>
    <w:rsid w:val="00C34B64"/>
    <w:rsid w:val="00C34C36"/>
    <w:rsid w:val="00C352B3"/>
    <w:rsid w:val="00C3654C"/>
    <w:rsid w:val="00C36BF5"/>
    <w:rsid w:val="00C36DBC"/>
    <w:rsid w:val="00C371BD"/>
    <w:rsid w:val="00C3754A"/>
    <w:rsid w:val="00C376BA"/>
    <w:rsid w:val="00C40373"/>
    <w:rsid w:val="00C4082D"/>
    <w:rsid w:val="00C40AE6"/>
    <w:rsid w:val="00C40B83"/>
    <w:rsid w:val="00C411AF"/>
    <w:rsid w:val="00C4138D"/>
    <w:rsid w:val="00C41E3A"/>
    <w:rsid w:val="00C427AA"/>
    <w:rsid w:val="00C43032"/>
    <w:rsid w:val="00C4304C"/>
    <w:rsid w:val="00C43315"/>
    <w:rsid w:val="00C4357D"/>
    <w:rsid w:val="00C4371E"/>
    <w:rsid w:val="00C441D7"/>
    <w:rsid w:val="00C444BD"/>
    <w:rsid w:val="00C44F98"/>
    <w:rsid w:val="00C452F5"/>
    <w:rsid w:val="00C453D7"/>
    <w:rsid w:val="00C46555"/>
    <w:rsid w:val="00C469E4"/>
    <w:rsid w:val="00C46B15"/>
    <w:rsid w:val="00C46F7D"/>
    <w:rsid w:val="00C473D9"/>
    <w:rsid w:val="00C479B5"/>
    <w:rsid w:val="00C47B60"/>
    <w:rsid w:val="00C50242"/>
    <w:rsid w:val="00C5034D"/>
    <w:rsid w:val="00C5050E"/>
    <w:rsid w:val="00C50D18"/>
    <w:rsid w:val="00C50E99"/>
    <w:rsid w:val="00C52744"/>
    <w:rsid w:val="00C53EB3"/>
    <w:rsid w:val="00C542D4"/>
    <w:rsid w:val="00C54D71"/>
    <w:rsid w:val="00C563F5"/>
    <w:rsid w:val="00C56498"/>
    <w:rsid w:val="00C570F7"/>
    <w:rsid w:val="00C60CE8"/>
    <w:rsid w:val="00C62217"/>
    <w:rsid w:val="00C623FE"/>
    <w:rsid w:val="00C62810"/>
    <w:rsid w:val="00C62CD5"/>
    <w:rsid w:val="00C636E6"/>
    <w:rsid w:val="00C639D6"/>
    <w:rsid w:val="00C63F8E"/>
    <w:rsid w:val="00C647FB"/>
    <w:rsid w:val="00C64D44"/>
    <w:rsid w:val="00C654E0"/>
    <w:rsid w:val="00C65B96"/>
    <w:rsid w:val="00C65BFF"/>
    <w:rsid w:val="00C65C5D"/>
    <w:rsid w:val="00C6620C"/>
    <w:rsid w:val="00C67304"/>
    <w:rsid w:val="00C67EAB"/>
    <w:rsid w:val="00C67F62"/>
    <w:rsid w:val="00C70871"/>
    <w:rsid w:val="00C7094D"/>
    <w:rsid w:val="00C70DFF"/>
    <w:rsid w:val="00C7235E"/>
    <w:rsid w:val="00C72606"/>
    <w:rsid w:val="00C727B6"/>
    <w:rsid w:val="00C73B4F"/>
    <w:rsid w:val="00C73CC6"/>
    <w:rsid w:val="00C74B32"/>
    <w:rsid w:val="00C75A6B"/>
    <w:rsid w:val="00C763B6"/>
    <w:rsid w:val="00C7644F"/>
    <w:rsid w:val="00C768F6"/>
    <w:rsid w:val="00C76E43"/>
    <w:rsid w:val="00C77116"/>
    <w:rsid w:val="00C77ED2"/>
    <w:rsid w:val="00C80073"/>
    <w:rsid w:val="00C8059C"/>
    <w:rsid w:val="00C80D1D"/>
    <w:rsid w:val="00C80DEA"/>
    <w:rsid w:val="00C81D67"/>
    <w:rsid w:val="00C826D8"/>
    <w:rsid w:val="00C82B6A"/>
    <w:rsid w:val="00C832DC"/>
    <w:rsid w:val="00C8377F"/>
    <w:rsid w:val="00C84A62"/>
    <w:rsid w:val="00C855C5"/>
    <w:rsid w:val="00C8646D"/>
    <w:rsid w:val="00C90AD2"/>
    <w:rsid w:val="00C90D55"/>
    <w:rsid w:val="00C90D7B"/>
    <w:rsid w:val="00C91C13"/>
    <w:rsid w:val="00C91DE3"/>
    <w:rsid w:val="00C92C7F"/>
    <w:rsid w:val="00C9304C"/>
    <w:rsid w:val="00C9330E"/>
    <w:rsid w:val="00C9369D"/>
    <w:rsid w:val="00C944FA"/>
    <w:rsid w:val="00C94A9D"/>
    <w:rsid w:val="00C955AB"/>
    <w:rsid w:val="00C95854"/>
    <w:rsid w:val="00C95EFF"/>
    <w:rsid w:val="00C96E6F"/>
    <w:rsid w:val="00C97065"/>
    <w:rsid w:val="00C97872"/>
    <w:rsid w:val="00CA0532"/>
    <w:rsid w:val="00CA0C22"/>
    <w:rsid w:val="00CA17D9"/>
    <w:rsid w:val="00CA1F3B"/>
    <w:rsid w:val="00CA21E6"/>
    <w:rsid w:val="00CA2241"/>
    <w:rsid w:val="00CA2993"/>
    <w:rsid w:val="00CA2EB3"/>
    <w:rsid w:val="00CA3CDD"/>
    <w:rsid w:val="00CA403B"/>
    <w:rsid w:val="00CA4F50"/>
    <w:rsid w:val="00CA505A"/>
    <w:rsid w:val="00CA59DD"/>
    <w:rsid w:val="00CA60BC"/>
    <w:rsid w:val="00CA681F"/>
    <w:rsid w:val="00CA7DFF"/>
    <w:rsid w:val="00CB008E"/>
    <w:rsid w:val="00CB01FA"/>
    <w:rsid w:val="00CB0737"/>
    <w:rsid w:val="00CB097A"/>
    <w:rsid w:val="00CB0A5A"/>
    <w:rsid w:val="00CB0BC5"/>
    <w:rsid w:val="00CB147A"/>
    <w:rsid w:val="00CB1E1F"/>
    <w:rsid w:val="00CB2543"/>
    <w:rsid w:val="00CB26EC"/>
    <w:rsid w:val="00CB29F4"/>
    <w:rsid w:val="00CB2D2A"/>
    <w:rsid w:val="00CB3C59"/>
    <w:rsid w:val="00CB4E61"/>
    <w:rsid w:val="00CB5978"/>
    <w:rsid w:val="00CB5B1E"/>
    <w:rsid w:val="00CB5CC4"/>
    <w:rsid w:val="00CB683C"/>
    <w:rsid w:val="00CB72FA"/>
    <w:rsid w:val="00CB7346"/>
    <w:rsid w:val="00CB787A"/>
    <w:rsid w:val="00CC0A17"/>
    <w:rsid w:val="00CC0C4A"/>
    <w:rsid w:val="00CC17F0"/>
    <w:rsid w:val="00CC1853"/>
    <w:rsid w:val="00CC1FAE"/>
    <w:rsid w:val="00CC28CD"/>
    <w:rsid w:val="00CC3A23"/>
    <w:rsid w:val="00CC462C"/>
    <w:rsid w:val="00CC5B1D"/>
    <w:rsid w:val="00CC6A93"/>
    <w:rsid w:val="00CC737C"/>
    <w:rsid w:val="00CC7C88"/>
    <w:rsid w:val="00CD087D"/>
    <w:rsid w:val="00CD08A3"/>
    <w:rsid w:val="00CD0F5D"/>
    <w:rsid w:val="00CD199E"/>
    <w:rsid w:val="00CD1C0B"/>
    <w:rsid w:val="00CD239A"/>
    <w:rsid w:val="00CD3555"/>
    <w:rsid w:val="00CD42DC"/>
    <w:rsid w:val="00CD4F58"/>
    <w:rsid w:val="00CD5512"/>
    <w:rsid w:val="00CD6D73"/>
    <w:rsid w:val="00CD6E3D"/>
    <w:rsid w:val="00CD71AB"/>
    <w:rsid w:val="00CE0109"/>
    <w:rsid w:val="00CE07CD"/>
    <w:rsid w:val="00CE09CA"/>
    <w:rsid w:val="00CE1856"/>
    <w:rsid w:val="00CE1FC5"/>
    <w:rsid w:val="00CE29AB"/>
    <w:rsid w:val="00CE2CB2"/>
    <w:rsid w:val="00CE46E5"/>
    <w:rsid w:val="00CE485A"/>
    <w:rsid w:val="00CE4C60"/>
    <w:rsid w:val="00CE5279"/>
    <w:rsid w:val="00CE57B1"/>
    <w:rsid w:val="00CE5A78"/>
    <w:rsid w:val="00CE781F"/>
    <w:rsid w:val="00CE78AE"/>
    <w:rsid w:val="00CE7AD3"/>
    <w:rsid w:val="00CE7E62"/>
    <w:rsid w:val="00CF051E"/>
    <w:rsid w:val="00CF1887"/>
    <w:rsid w:val="00CF195E"/>
    <w:rsid w:val="00CF19DA"/>
    <w:rsid w:val="00CF1C7F"/>
    <w:rsid w:val="00CF1CC0"/>
    <w:rsid w:val="00CF1EEA"/>
    <w:rsid w:val="00CF1F6A"/>
    <w:rsid w:val="00CF24F8"/>
    <w:rsid w:val="00CF2587"/>
    <w:rsid w:val="00CF2653"/>
    <w:rsid w:val="00CF3690"/>
    <w:rsid w:val="00CF4247"/>
    <w:rsid w:val="00CF4ED1"/>
    <w:rsid w:val="00CF5263"/>
    <w:rsid w:val="00CF5B41"/>
    <w:rsid w:val="00CF5D9B"/>
    <w:rsid w:val="00CF60B5"/>
    <w:rsid w:val="00CF6E82"/>
    <w:rsid w:val="00D004FA"/>
    <w:rsid w:val="00D01440"/>
    <w:rsid w:val="00D01B21"/>
    <w:rsid w:val="00D01DDD"/>
    <w:rsid w:val="00D01E2F"/>
    <w:rsid w:val="00D03102"/>
    <w:rsid w:val="00D03727"/>
    <w:rsid w:val="00D03740"/>
    <w:rsid w:val="00D0378A"/>
    <w:rsid w:val="00D03C15"/>
    <w:rsid w:val="00D03CF6"/>
    <w:rsid w:val="00D05025"/>
    <w:rsid w:val="00D050A7"/>
    <w:rsid w:val="00D05132"/>
    <w:rsid w:val="00D05785"/>
    <w:rsid w:val="00D05C09"/>
    <w:rsid w:val="00D05CF7"/>
    <w:rsid w:val="00D05EA9"/>
    <w:rsid w:val="00D071F8"/>
    <w:rsid w:val="00D07252"/>
    <w:rsid w:val="00D074F4"/>
    <w:rsid w:val="00D07A65"/>
    <w:rsid w:val="00D07CE1"/>
    <w:rsid w:val="00D100A3"/>
    <w:rsid w:val="00D1026A"/>
    <w:rsid w:val="00D107CF"/>
    <w:rsid w:val="00D11B0B"/>
    <w:rsid w:val="00D121A0"/>
    <w:rsid w:val="00D12293"/>
    <w:rsid w:val="00D125C7"/>
    <w:rsid w:val="00D13CBD"/>
    <w:rsid w:val="00D13E3E"/>
    <w:rsid w:val="00D14236"/>
    <w:rsid w:val="00D14553"/>
    <w:rsid w:val="00D14DB1"/>
    <w:rsid w:val="00D15ECD"/>
    <w:rsid w:val="00D15F43"/>
    <w:rsid w:val="00D166B3"/>
    <w:rsid w:val="00D16E87"/>
    <w:rsid w:val="00D177F8"/>
    <w:rsid w:val="00D17FC2"/>
    <w:rsid w:val="00D20B8B"/>
    <w:rsid w:val="00D20D0D"/>
    <w:rsid w:val="00D2162C"/>
    <w:rsid w:val="00D21A3C"/>
    <w:rsid w:val="00D2330C"/>
    <w:rsid w:val="00D233F1"/>
    <w:rsid w:val="00D23627"/>
    <w:rsid w:val="00D23685"/>
    <w:rsid w:val="00D236DD"/>
    <w:rsid w:val="00D245EA"/>
    <w:rsid w:val="00D256F8"/>
    <w:rsid w:val="00D2685C"/>
    <w:rsid w:val="00D268E2"/>
    <w:rsid w:val="00D26A3B"/>
    <w:rsid w:val="00D27248"/>
    <w:rsid w:val="00D302FD"/>
    <w:rsid w:val="00D3038A"/>
    <w:rsid w:val="00D3098D"/>
    <w:rsid w:val="00D30B96"/>
    <w:rsid w:val="00D30D4B"/>
    <w:rsid w:val="00D31A02"/>
    <w:rsid w:val="00D31D06"/>
    <w:rsid w:val="00D3323C"/>
    <w:rsid w:val="00D33456"/>
    <w:rsid w:val="00D3348B"/>
    <w:rsid w:val="00D3396F"/>
    <w:rsid w:val="00D33D4D"/>
    <w:rsid w:val="00D34A0B"/>
    <w:rsid w:val="00D35205"/>
    <w:rsid w:val="00D36234"/>
    <w:rsid w:val="00D36371"/>
    <w:rsid w:val="00D36B72"/>
    <w:rsid w:val="00D37CFE"/>
    <w:rsid w:val="00D40370"/>
    <w:rsid w:val="00D40541"/>
    <w:rsid w:val="00D406A6"/>
    <w:rsid w:val="00D412B4"/>
    <w:rsid w:val="00D41433"/>
    <w:rsid w:val="00D42288"/>
    <w:rsid w:val="00D43251"/>
    <w:rsid w:val="00D437D8"/>
    <w:rsid w:val="00D43B3F"/>
    <w:rsid w:val="00D43C4D"/>
    <w:rsid w:val="00D44944"/>
    <w:rsid w:val="00D44994"/>
    <w:rsid w:val="00D45DF3"/>
    <w:rsid w:val="00D46174"/>
    <w:rsid w:val="00D46A05"/>
    <w:rsid w:val="00D46F26"/>
    <w:rsid w:val="00D47354"/>
    <w:rsid w:val="00D47DD0"/>
    <w:rsid w:val="00D50183"/>
    <w:rsid w:val="00D5051F"/>
    <w:rsid w:val="00D513C5"/>
    <w:rsid w:val="00D51D12"/>
    <w:rsid w:val="00D5362B"/>
    <w:rsid w:val="00D53722"/>
    <w:rsid w:val="00D55072"/>
    <w:rsid w:val="00D551B5"/>
    <w:rsid w:val="00D5524E"/>
    <w:rsid w:val="00D555B3"/>
    <w:rsid w:val="00D5566A"/>
    <w:rsid w:val="00D55F55"/>
    <w:rsid w:val="00D561FB"/>
    <w:rsid w:val="00D562CE"/>
    <w:rsid w:val="00D56DB2"/>
    <w:rsid w:val="00D57303"/>
    <w:rsid w:val="00D5747F"/>
    <w:rsid w:val="00D57495"/>
    <w:rsid w:val="00D574FA"/>
    <w:rsid w:val="00D576EE"/>
    <w:rsid w:val="00D6045E"/>
    <w:rsid w:val="00D60C8D"/>
    <w:rsid w:val="00D61374"/>
    <w:rsid w:val="00D614A6"/>
    <w:rsid w:val="00D6168A"/>
    <w:rsid w:val="00D616A5"/>
    <w:rsid w:val="00D61738"/>
    <w:rsid w:val="00D61FF0"/>
    <w:rsid w:val="00D6211D"/>
    <w:rsid w:val="00D62665"/>
    <w:rsid w:val="00D62C97"/>
    <w:rsid w:val="00D62CB8"/>
    <w:rsid w:val="00D62F63"/>
    <w:rsid w:val="00D63517"/>
    <w:rsid w:val="00D63B75"/>
    <w:rsid w:val="00D64CA0"/>
    <w:rsid w:val="00D6584E"/>
    <w:rsid w:val="00D659B1"/>
    <w:rsid w:val="00D66E18"/>
    <w:rsid w:val="00D672BC"/>
    <w:rsid w:val="00D6734D"/>
    <w:rsid w:val="00D679CF"/>
    <w:rsid w:val="00D679D3"/>
    <w:rsid w:val="00D7009C"/>
    <w:rsid w:val="00D70CC3"/>
    <w:rsid w:val="00D70F56"/>
    <w:rsid w:val="00D71C1D"/>
    <w:rsid w:val="00D7356F"/>
    <w:rsid w:val="00D73587"/>
    <w:rsid w:val="00D73EBB"/>
    <w:rsid w:val="00D74D3F"/>
    <w:rsid w:val="00D74E43"/>
    <w:rsid w:val="00D751FB"/>
    <w:rsid w:val="00D754D6"/>
    <w:rsid w:val="00D761AA"/>
    <w:rsid w:val="00D76FAE"/>
    <w:rsid w:val="00D777D7"/>
    <w:rsid w:val="00D7784F"/>
    <w:rsid w:val="00D77F41"/>
    <w:rsid w:val="00D80AB8"/>
    <w:rsid w:val="00D81417"/>
    <w:rsid w:val="00D8148F"/>
    <w:rsid w:val="00D81792"/>
    <w:rsid w:val="00D817D5"/>
    <w:rsid w:val="00D819B1"/>
    <w:rsid w:val="00D82494"/>
    <w:rsid w:val="00D82919"/>
    <w:rsid w:val="00D82E73"/>
    <w:rsid w:val="00D83AE9"/>
    <w:rsid w:val="00D854A3"/>
    <w:rsid w:val="00D857B8"/>
    <w:rsid w:val="00D859F7"/>
    <w:rsid w:val="00D86328"/>
    <w:rsid w:val="00D86351"/>
    <w:rsid w:val="00D87175"/>
    <w:rsid w:val="00D879CF"/>
    <w:rsid w:val="00D87ABF"/>
    <w:rsid w:val="00D90024"/>
    <w:rsid w:val="00D90CD3"/>
    <w:rsid w:val="00D90E41"/>
    <w:rsid w:val="00D90EEE"/>
    <w:rsid w:val="00D919E6"/>
    <w:rsid w:val="00D91BE1"/>
    <w:rsid w:val="00D92C29"/>
    <w:rsid w:val="00D92EC9"/>
    <w:rsid w:val="00D93494"/>
    <w:rsid w:val="00D936E2"/>
    <w:rsid w:val="00D95104"/>
    <w:rsid w:val="00D953AD"/>
    <w:rsid w:val="00D95600"/>
    <w:rsid w:val="00D95805"/>
    <w:rsid w:val="00D9683C"/>
    <w:rsid w:val="00D97884"/>
    <w:rsid w:val="00DA0A7F"/>
    <w:rsid w:val="00DA1481"/>
    <w:rsid w:val="00DA16E4"/>
    <w:rsid w:val="00DA1C31"/>
    <w:rsid w:val="00DA20BC"/>
    <w:rsid w:val="00DA2ED7"/>
    <w:rsid w:val="00DA31B6"/>
    <w:rsid w:val="00DA3E7A"/>
    <w:rsid w:val="00DA430C"/>
    <w:rsid w:val="00DA615D"/>
    <w:rsid w:val="00DA6240"/>
    <w:rsid w:val="00DA6598"/>
    <w:rsid w:val="00DA6C0F"/>
    <w:rsid w:val="00DA6C79"/>
    <w:rsid w:val="00DA702F"/>
    <w:rsid w:val="00DA73A4"/>
    <w:rsid w:val="00DA7571"/>
    <w:rsid w:val="00DA76F6"/>
    <w:rsid w:val="00DA790C"/>
    <w:rsid w:val="00DA7F8A"/>
    <w:rsid w:val="00DB0176"/>
    <w:rsid w:val="00DB0404"/>
    <w:rsid w:val="00DB0AF7"/>
    <w:rsid w:val="00DB0E3D"/>
    <w:rsid w:val="00DB11F8"/>
    <w:rsid w:val="00DB163C"/>
    <w:rsid w:val="00DB1731"/>
    <w:rsid w:val="00DB18F8"/>
    <w:rsid w:val="00DB1F2A"/>
    <w:rsid w:val="00DB297F"/>
    <w:rsid w:val="00DB2D99"/>
    <w:rsid w:val="00DB3153"/>
    <w:rsid w:val="00DB317A"/>
    <w:rsid w:val="00DB3B82"/>
    <w:rsid w:val="00DB3FC2"/>
    <w:rsid w:val="00DB485D"/>
    <w:rsid w:val="00DB63FE"/>
    <w:rsid w:val="00DB66A3"/>
    <w:rsid w:val="00DB6FF5"/>
    <w:rsid w:val="00DB7BF5"/>
    <w:rsid w:val="00DC1070"/>
    <w:rsid w:val="00DC1327"/>
    <w:rsid w:val="00DC1350"/>
    <w:rsid w:val="00DC2AF9"/>
    <w:rsid w:val="00DC2D35"/>
    <w:rsid w:val="00DC2E02"/>
    <w:rsid w:val="00DC3237"/>
    <w:rsid w:val="00DC32EF"/>
    <w:rsid w:val="00DC3657"/>
    <w:rsid w:val="00DC40EC"/>
    <w:rsid w:val="00DC41A4"/>
    <w:rsid w:val="00DC451F"/>
    <w:rsid w:val="00DC5672"/>
    <w:rsid w:val="00DC59A3"/>
    <w:rsid w:val="00DC5EB3"/>
    <w:rsid w:val="00DC60A2"/>
    <w:rsid w:val="00DC63DD"/>
    <w:rsid w:val="00DC6600"/>
    <w:rsid w:val="00DC67BD"/>
    <w:rsid w:val="00DC6924"/>
    <w:rsid w:val="00DC71F2"/>
    <w:rsid w:val="00DD01AD"/>
    <w:rsid w:val="00DD1B7A"/>
    <w:rsid w:val="00DD2025"/>
    <w:rsid w:val="00DD22EA"/>
    <w:rsid w:val="00DD23A0"/>
    <w:rsid w:val="00DD2A2C"/>
    <w:rsid w:val="00DD3EF5"/>
    <w:rsid w:val="00DD463F"/>
    <w:rsid w:val="00DD47A0"/>
    <w:rsid w:val="00DD49D9"/>
    <w:rsid w:val="00DD5274"/>
    <w:rsid w:val="00DD53FA"/>
    <w:rsid w:val="00DD5F42"/>
    <w:rsid w:val="00DD617B"/>
    <w:rsid w:val="00DD6BF8"/>
    <w:rsid w:val="00DE07A2"/>
    <w:rsid w:val="00DE0E59"/>
    <w:rsid w:val="00DE0F6C"/>
    <w:rsid w:val="00DE2026"/>
    <w:rsid w:val="00DE219B"/>
    <w:rsid w:val="00DE2C8A"/>
    <w:rsid w:val="00DE2CE1"/>
    <w:rsid w:val="00DE32AC"/>
    <w:rsid w:val="00DE3D3C"/>
    <w:rsid w:val="00DE431E"/>
    <w:rsid w:val="00DE4C7D"/>
    <w:rsid w:val="00DE52E3"/>
    <w:rsid w:val="00DE6A05"/>
    <w:rsid w:val="00DE7C00"/>
    <w:rsid w:val="00DF03E9"/>
    <w:rsid w:val="00DF03ED"/>
    <w:rsid w:val="00DF04EE"/>
    <w:rsid w:val="00DF0BF4"/>
    <w:rsid w:val="00DF1407"/>
    <w:rsid w:val="00DF179D"/>
    <w:rsid w:val="00DF1E9C"/>
    <w:rsid w:val="00DF2AA2"/>
    <w:rsid w:val="00DF30BF"/>
    <w:rsid w:val="00DF4572"/>
    <w:rsid w:val="00DF4658"/>
    <w:rsid w:val="00DF466A"/>
    <w:rsid w:val="00DF5CD2"/>
    <w:rsid w:val="00DF6C8B"/>
    <w:rsid w:val="00DF6F17"/>
    <w:rsid w:val="00DF7858"/>
    <w:rsid w:val="00DF78FA"/>
    <w:rsid w:val="00DF7B3B"/>
    <w:rsid w:val="00DF7B42"/>
    <w:rsid w:val="00DF7C11"/>
    <w:rsid w:val="00E002F1"/>
    <w:rsid w:val="00E0082C"/>
    <w:rsid w:val="00E01DAA"/>
    <w:rsid w:val="00E023E5"/>
    <w:rsid w:val="00E02432"/>
    <w:rsid w:val="00E03321"/>
    <w:rsid w:val="00E04022"/>
    <w:rsid w:val="00E04FEB"/>
    <w:rsid w:val="00E0511E"/>
    <w:rsid w:val="00E0584A"/>
    <w:rsid w:val="00E05BD4"/>
    <w:rsid w:val="00E0728F"/>
    <w:rsid w:val="00E0755C"/>
    <w:rsid w:val="00E07726"/>
    <w:rsid w:val="00E14A7E"/>
    <w:rsid w:val="00E151E1"/>
    <w:rsid w:val="00E15B06"/>
    <w:rsid w:val="00E16D35"/>
    <w:rsid w:val="00E17619"/>
    <w:rsid w:val="00E17805"/>
    <w:rsid w:val="00E20612"/>
    <w:rsid w:val="00E20F79"/>
    <w:rsid w:val="00E21278"/>
    <w:rsid w:val="00E2150C"/>
    <w:rsid w:val="00E2174C"/>
    <w:rsid w:val="00E22CCD"/>
    <w:rsid w:val="00E23A11"/>
    <w:rsid w:val="00E23BDA"/>
    <w:rsid w:val="00E23FB7"/>
    <w:rsid w:val="00E24A27"/>
    <w:rsid w:val="00E25F89"/>
    <w:rsid w:val="00E26150"/>
    <w:rsid w:val="00E2715B"/>
    <w:rsid w:val="00E30348"/>
    <w:rsid w:val="00E319F8"/>
    <w:rsid w:val="00E31FD9"/>
    <w:rsid w:val="00E321BF"/>
    <w:rsid w:val="00E325DE"/>
    <w:rsid w:val="00E32832"/>
    <w:rsid w:val="00E32D62"/>
    <w:rsid w:val="00E32D9E"/>
    <w:rsid w:val="00E333F9"/>
    <w:rsid w:val="00E3373D"/>
    <w:rsid w:val="00E339DC"/>
    <w:rsid w:val="00E33E15"/>
    <w:rsid w:val="00E350AA"/>
    <w:rsid w:val="00E35F53"/>
    <w:rsid w:val="00E361B8"/>
    <w:rsid w:val="00E36A1B"/>
    <w:rsid w:val="00E36B58"/>
    <w:rsid w:val="00E424F8"/>
    <w:rsid w:val="00E429ED"/>
    <w:rsid w:val="00E4311B"/>
    <w:rsid w:val="00E4318A"/>
    <w:rsid w:val="00E43352"/>
    <w:rsid w:val="00E43F37"/>
    <w:rsid w:val="00E450ED"/>
    <w:rsid w:val="00E45980"/>
    <w:rsid w:val="00E476BA"/>
    <w:rsid w:val="00E4791B"/>
    <w:rsid w:val="00E47E31"/>
    <w:rsid w:val="00E50A97"/>
    <w:rsid w:val="00E50AC6"/>
    <w:rsid w:val="00E50F86"/>
    <w:rsid w:val="00E51DDD"/>
    <w:rsid w:val="00E51FDD"/>
    <w:rsid w:val="00E52435"/>
    <w:rsid w:val="00E52654"/>
    <w:rsid w:val="00E52DA8"/>
    <w:rsid w:val="00E53122"/>
    <w:rsid w:val="00E532EE"/>
    <w:rsid w:val="00E5351B"/>
    <w:rsid w:val="00E53D5C"/>
    <w:rsid w:val="00E53FA9"/>
    <w:rsid w:val="00E5414C"/>
    <w:rsid w:val="00E541D8"/>
    <w:rsid w:val="00E5424B"/>
    <w:rsid w:val="00E54723"/>
    <w:rsid w:val="00E547B3"/>
    <w:rsid w:val="00E55033"/>
    <w:rsid w:val="00E5623C"/>
    <w:rsid w:val="00E56515"/>
    <w:rsid w:val="00E5733D"/>
    <w:rsid w:val="00E60A8F"/>
    <w:rsid w:val="00E60FBA"/>
    <w:rsid w:val="00E61CC0"/>
    <w:rsid w:val="00E6277B"/>
    <w:rsid w:val="00E63554"/>
    <w:rsid w:val="00E6368B"/>
    <w:rsid w:val="00E64424"/>
    <w:rsid w:val="00E64C99"/>
    <w:rsid w:val="00E64CD3"/>
    <w:rsid w:val="00E654DA"/>
    <w:rsid w:val="00E65C41"/>
    <w:rsid w:val="00E66CBA"/>
    <w:rsid w:val="00E671C9"/>
    <w:rsid w:val="00E67315"/>
    <w:rsid w:val="00E6743F"/>
    <w:rsid w:val="00E6758E"/>
    <w:rsid w:val="00E67B9E"/>
    <w:rsid w:val="00E67E23"/>
    <w:rsid w:val="00E70016"/>
    <w:rsid w:val="00E70BC7"/>
    <w:rsid w:val="00E70CC0"/>
    <w:rsid w:val="00E70FBC"/>
    <w:rsid w:val="00E71C6D"/>
    <w:rsid w:val="00E71E2A"/>
    <w:rsid w:val="00E72C01"/>
    <w:rsid w:val="00E735CD"/>
    <w:rsid w:val="00E73B34"/>
    <w:rsid w:val="00E741AC"/>
    <w:rsid w:val="00E75174"/>
    <w:rsid w:val="00E75EBA"/>
    <w:rsid w:val="00E763B4"/>
    <w:rsid w:val="00E7694C"/>
    <w:rsid w:val="00E77848"/>
    <w:rsid w:val="00E80514"/>
    <w:rsid w:val="00E80960"/>
    <w:rsid w:val="00E80E5B"/>
    <w:rsid w:val="00E816C5"/>
    <w:rsid w:val="00E81958"/>
    <w:rsid w:val="00E81CE0"/>
    <w:rsid w:val="00E81D27"/>
    <w:rsid w:val="00E81E7C"/>
    <w:rsid w:val="00E82104"/>
    <w:rsid w:val="00E8224D"/>
    <w:rsid w:val="00E82D4E"/>
    <w:rsid w:val="00E8496E"/>
    <w:rsid w:val="00E8519F"/>
    <w:rsid w:val="00E8582E"/>
    <w:rsid w:val="00E85CC3"/>
    <w:rsid w:val="00E8644A"/>
    <w:rsid w:val="00E87939"/>
    <w:rsid w:val="00E90279"/>
    <w:rsid w:val="00E90635"/>
    <w:rsid w:val="00E909A1"/>
    <w:rsid w:val="00E90BFF"/>
    <w:rsid w:val="00E91851"/>
    <w:rsid w:val="00E91F04"/>
    <w:rsid w:val="00E91F35"/>
    <w:rsid w:val="00E92241"/>
    <w:rsid w:val="00E92EB5"/>
    <w:rsid w:val="00E93096"/>
    <w:rsid w:val="00E940F1"/>
    <w:rsid w:val="00E9441F"/>
    <w:rsid w:val="00E94ECD"/>
    <w:rsid w:val="00E95624"/>
    <w:rsid w:val="00E95BA6"/>
    <w:rsid w:val="00E962A1"/>
    <w:rsid w:val="00E96F7E"/>
    <w:rsid w:val="00E97110"/>
    <w:rsid w:val="00E97648"/>
    <w:rsid w:val="00E97B9F"/>
    <w:rsid w:val="00EA0210"/>
    <w:rsid w:val="00EA0691"/>
    <w:rsid w:val="00EA0E4A"/>
    <w:rsid w:val="00EA1A54"/>
    <w:rsid w:val="00EA2226"/>
    <w:rsid w:val="00EA2552"/>
    <w:rsid w:val="00EA26FC"/>
    <w:rsid w:val="00EA3417"/>
    <w:rsid w:val="00EA3B5A"/>
    <w:rsid w:val="00EA3C70"/>
    <w:rsid w:val="00EA410E"/>
    <w:rsid w:val="00EA47AB"/>
    <w:rsid w:val="00EA4FD1"/>
    <w:rsid w:val="00EA53C2"/>
    <w:rsid w:val="00EA565C"/>
    <w:rsid w:val="00EA5695"/>
    <w:rsid w:val="00EA57EE"/>
    <w:rsid w:val="00EA5B0A"/>
    <w:rsid w:val="00EA65AD"/>
    <w:rsid w:val="00EA6B69"/>
    <w:rsid w:val="00EA7FCF"/>
    <w:rsid w:val="00EB099F"/>
    <w:rsid w:val="00EB0BF0"/>
    <w:rsid w:val="00EB0CA3"/>
    <w:rsid w:val="00EB104F"/>
    <w:rsid w:val="00EB1B27"/>
    <w:rsid w:val="00EB1DA8"/>
    <w:rsid w:val="00EB2895"/>
    <w:rsid w:val="00EB4CFF"/>
    <w:rsid w:val="00EB5476"/>
    <w:rsid w:val="00EB70B0"/>
    <w:rsid w:val="00EB7633"/>
    <w:rsid w:val="00EB7736"/>
    <w:rsid w:val="00EC0454"/>
    <w:rsid w:val="00EC1670"/>
    <w:rsid w:val="00EC1BE5"/>
    <w:rsid w:val="00EC2E2D"/>
    <w:rsid w:val="00EC349E"/>
    <w:rsid w:val="00EC3564"/>
    <w:rsid w:val="00EC43A3"/>
    <w:rsid w:val="00EC462B"/>
    <w:rsid w:val="00EC46AA"/>
    <w:rsid w:val="00EC4723"/>
    <w:rsid w:val="00EC56E0"/>
    <w:rsid w:val="00EC6057"/>
    <w:rsid w:val="00EC6847"/>
    <w:rsid w:val="00EC7C27"/>
    <w:rsid w:val="00EC7DB6"/>
    <w:rsid w:val="00ED05D4"/>
    <w:rsid w:val="00ED0736"/>
    <w:rsid w:val="00ED162F"/>
    <w:rsid w:val="00ED2E52"/>
    <w:rsid w:val="00ED2FE0"/>
    <w:rsid w:val="00ED3024"/>
    <w:rsid w:val="00ED3884"/>
    <w:rsid w:val="00ED4415"/>
    <w:rsid w:val="00ED5FE4"/>
    <w:rsid w:val="00ED65F2"/>
    <w:rsid w:val="00ED67DE"/>
    <w:rsid w:val="00ED70F1"/>
    <w:rsid w:val="00ED71C5"/>
    <w:rsid w:val="00EE068B"/>
    <w:rsid w:val="00EE0F9F"/>
    <w:rsid w:val="00EE149E"/>
    <w:rsid w:val="00EE16FA"/>
    <w:rsid w:val="00EE1870"/>
    <w:rsid w:val="00EE1A2D"/>
    <w:rsid w:val="00EE2477"/>
    <w:rsid w:val="00EE3B02"/>
    <w:rsid w:val="00EE3C42"/>
    <w:rsid w:val="00EE3D4F"/>
    <w:rsid w:val="00EE4720"/>
    <w:rsid w:val="00EE534D"/>
    <w:rsid w:val="00EE5560"/>
    <w:rsid w:val="00EE55FD"/>
    <w:rsid w:val="00EE6D8A"/>
    <w:rsid w:val="00EE6F1E"/>
    <w:rsid w:val="00EE7046"/>
    <w:rsid w:val="00EF0348"/>
    <w:rsid w:val="00EF0FC2"/>
    <w:rsid w:val="00EF1A1B"/>
    <w:rsid w:val="00EF1F9C"/>
    <w:rsid w:val="00EF4366"/>
    <w:rsid w:val="00EF4422"/>
    <w:rsid w:val="00EF4CD6"/>
    <w:rsid w:val="00EF55A0"/>
    <w:rsid w:val="00EF63D1"/>
    <w:rsid w:val="00EF6513"/>
    <w:rsid w:val="00EF661D"/>
    <w:rsid w:val="00EF6683"/>
    <w:rsid w:val="00EF66EA"/>
    <w:rsid w:val="00EF7002"/>
    <w:rsid w:val="00EF752E"/>
    <w:rsid w:val="00EF769B"/>
    <w:rsid w:val="00EF77E1"/>
    <w:rsid w:val="00F001CF"/>
    <w:rsid w:val="00F00D82"/>
    <w:rsid w:val="00F027BA"/>
    <w:rsid w:val="00F033A2"/>
    <w:rsid w:val="00F03E79"/>
    <w:rsid w:val="00F049C2"/>
    <w:rsid w:val="00F04A2E"/>
    <w:rsid w:val="00F0523B"/>
    <w:rsid w:val="00F0628D"/>
    <w:rsid w:val="00F06651"/>
    <w:rsid w:val="00F06C29"/>
    <w:rsid w:val="00F073AE"/>
    <w:rsid w:val="00F074C1"/>
    <w:rsid w:val="00F07767"/>
    <w:rsid w:val="00F07DE6"/>
    <w:rsid w:val="00F1012D"/>
    <w:rsid w:val="00F1056C"/>
    <w:rsid w:val="00F107F1"/>
    <w:rsid w:val="00F10F95"/>
    <w:rsid w:val="00F10FC1"/>
    <w:rsid w:val="00F112FD"/>
    <w:rsid w:val="00F11C5A"/>
    <w:rsid w:val="00F12068"/>
    <w:rsid w:val="00F120B1"/>
    <w:rsid w:val="00F12486"/>
    <w:rsid w:val="00F133A1"/>
    <w:rsid w:val="00F13ECD"/>
    <w:rsid w:val="00F155CE"/>
    <w:rsid w:val="00F16629"/>
    <w:rsid w:val="00F16BF2"/>
    <w:rsid w:val="00F17AFE"/>
    <w:rsid w:val="00F17EAE"/>
    <w:rsid w:val="00F20EA5"/>
    <w:rsid w:val="00F218D4"/>
    <w:rsid w:val="00F21FF1"/>
    <w:rsid w:val="00F22122"/>
    <w:rsid w:val="00F2250A"/>
    <w:rsid w:val="00F240AB"/>
    <w:rsid w:val="00F242C6"/>
    <w:rsid w:val="00F244A7"/>
    <w:rsid w:val="00F24788"/>
    <w:rsid w:val="00F24B19"/>
    <w:rsid w:val="00F24BFA"/>
    <w:rsid w:val="00F261DE"/>
    <w:rsid w:val="00F262C6"/>
    <w:rsid w:val="00F2640F"/>
    <w:rsid w:val="00F273B7"/>
    <w:rsid w:val="00F27C34"/>
    <w:rsid w:val="00F27E46"/>
    <w:rsid w:val="00F301C2"/>
    <w:rsid w:val="00F302E1"/>
    <w:rsid w:val="00F30B9F"/>
    <w:rsid w:val="00F30C22"/>
    <w:rsid w:val="00F31211"/>
    <w:rsid w:val="00F31B22"/>
    <w:rsid w:val="00F31B49"/>
    <w:rsid w:val="00F3233B"/>
    <w:rsid w:val="00F3238D"/>
    <w:rsid w:val="00F32F56"/>
    <w:rsid w:val="00F330BC"/>
    <w:rsid w:val="00F33993"/>
    <w:rsid w:val="00F33D4F"/>
    <w:rsid w:val="00F3458E"/>
    <w:rsid w:val="00F34CD6"/>
    <w:rsid w:val="00F350C7"/>
    <w:rsid w:val="00F35873"/>
    <w:rsid w:val="00F35920"/>
    <w:rsid w:val="00F3654C"/>
    <w:rsid w:val="00F366A5"/>
    <w:rsid w:val="00F36C5F"/>
    <w:rsid w:val="00F36F79"/>
    <w:rsid w:val="00F37259"/>
    <w:rsid w:val="00F373EA"/>
    <w:rsid w:val="00F37507"/>
    <w:rsid w:val="00F37CD4"/>
    <w:rsid w:val="00F405A4"/>
    <w:rsid w:val="00F4099B"/>
    <w:rsid w:val="00F40DB1"/>
    <w:rsid w:val="00F417A8"/>
    <w:rsid w:val="00F41F05"/>
    <w:rsid w:val="00F42378"/>
    <w:rsid w:val="00F42D2B"/>
    <w:rsid w:val="00F433BD"/>
    <w:rsid w:val="00F43A5B"/>
    <w:rsid w:val="00F44DAD"/>
    <w:rsid w:val="00F44EC5"/>
    <w:rsid w:val="00F454E8"/>
    <w:rsid w:val="00F45CDE"/>
    <w:rsid w:val="00F4729F"/>
    <w:rsid w:val="00F47498"/>
    <w:rsid w:val="00F512B2"/>
    <w:rsid w:val="00F5283D"/>
    <w:rsid w:val="00F52ABA"/>
    <w:rsid w:val="00F52BC7"/>
    <w:rsid w:val="00F530BB"/>
    <w:rsid w:val="00F53BF4"/>
    <w:rsid w:val="00F54266"/>
    <w:rsid w:val="00F54C7C"/>
    <w:rsid w:val="00F55043"/>
    <w:rsid w:val="00F55CFD"/>
    <w:rsid w:val="00F5612A"/>
    <w:rsid w:val="00F56DCF"/>
    <w:rsid w:val="00F57034"/>
    <w:rsid w:val="00F57B41"/>
    <w:rsid w:val="00F6056B"/>
    <w:rsid w:val="00F60BE9"/>
    <w:rsid w:val="00F61AE6"/>
    <w:rsid w:val="00F61FD8"/>
    <w:rsid w:val="00F629C8"/>
    <w:rsid w:val="00F62DBF"/>
    <w:rsid w:val="00F64153"/>
    <w:rsid w:val="00F641FC"/>
    <w:rsid w:val="00F647F7"/>
    <w:rsid w:val="00F6583C"/>
    <w:rsid w:val="00F6589A"/>
    <w:rsid w:val="00F65AC8"/>
    <w:rsid w:val="00F65CF2"/>
    <w:rsid w:val="00F65E76"/>
    <w:rsid w:val="00F662F1"/>
    <w:rsid w:val="00F66390"/>
    <w:rsid w:val="00F66C3D"/>
    <w:rsid w:val="00F6783E"/>
    <w:rsid w:val="00F678D7"/>
    <w:rsid w:val="00F7021E"/>
    <w:rsid w:val="00F70DBE"/>
    <w:rsid w:val="00F71124"/>
    <w:rsid w:val="00F71888"/>
    <w:rsid w:val="00F719CD"/>
    <w:rsid w:val="00F71BB8"/>
    <w:rsid w:val="00F72584"/>
    <w:rsid w:val="00F7290D"/>
    <w:rsid w:val="00F7302F"/>
    <w:rsid w:val="00F732EC"/>
    <w:rsid w:val="00F73D08"/>
    <w:rsid w:val="00F74972"/>
    <w:rsid w:val="00F752C4"/>
    <w:rsid w:val="00F7586B"/>
    <w:rsid w:val="00F75912"/>
    <w:rsid w:val="00F7593A"/>
    <w:rsid w:val="00F75BA0"/>
    <w:rsid w:val="00F75F2F"/>
    <w:rsid w:val="00F76445"/>
    <w:rsid w:val="00F76ECC"/>
    <w:rsid w:val="00F77826"/>
    <w:rsid w:val="00F80399"/>
    <w:rsid w:val="00F80DC4"/>
    <w:rsid w:val="00F81235"/>
    <w:rsid w:val="00F812C8"/>
    <w:rsid w:val="00F8132D"/>
    <w:rsid w:val="00F818AE"/>
    <w:rsid w:val="00F81B40"/>
    <w:rsid w:val="00F81C7F"/>
    <w:rsid w:val="00F820C4"/>
    <w:rsid w:val="00F83078"/>
    <w:rsid w:val="00F83540"/>
    <w:rsid w:val="00F83829"/>
    <w:rsid w:val="00F84069"/>
    <w:rsid w:val="00F843D7"/>
    <w:rsid w:val="00F84658"/>
    <w:rsid w:val="00F85153"/>
    <w:rsid w:val="00F8537A"/>
    <w:rsid w:val="00F85536"/>
    <w:rsid w:val="00F8657A"/>
    <w:rsid w:val="00F8679A"/>
    <w:rsid w:val="00F87117"/>
    <w:rsid w:val="00F8736C"/>
    <w:rsid w:val="00F87DBD"/>
    <w:rsid w:val="00F9030E"/>
    <w:rsid w:val="00F90ADB"/>
    <w:rsid w:val="00F90E78"/>
    <w:rsid w:val="00F91209"/>
    <w:rsid w:val="00F9221F"/>
    <w:rsid w:val="00F931C7"/>
    <w:rsid w:val="00F93559"/>
    <w:rsid w:val="00F93838"/>
    <w:rsid w:val="00F93D72"/>
    <w:rsid w:val="00F93E65"/>
    <w:rsid w:val="00F94070"/>
    <w:rsid w:val="00F9482A"/>
    <w:rsid w:val="00F950B5"/>
    <w:rsid w:val="00F9513F"/>
    <w:rsid w:val="00F965C6"/>
    <w:rsid w:val="00F96D49"/>
    <w:rsid w:val="00F977F2"/>
    <w:rsid w:val="00F97908"/>
    <w:rsid w:val="00F97B43"/>
    <w:rsid w:val="00FA07F8"/>
    <w:rsid w:val="00FA105C"/>
    <w:rsid w:val="00FA1475"/>
    <w:rsid w:val="00FA148A"/>
    <w:rsid w:val="00FA1898"/>
    <w:rsid w:val="00FA22B3"/>
    <w:rsid w:val="00FA27C8"/>
    <w:rsid w:val="00FA2A7D"/>
    <w:rsid w:val="00FA3A7C"/>
    <w:rsid w:val="00FA3B76"/>
    <w:rsid w:val="00FA487C"/>
    <w:rsid w:val="00FA4D66"/>
    <w:rsid w:val="00FA5586"/>
    <w:rsid w:val="00FA5628"/>
    <w:rsid w:val="00FA5A4E"/>
    <w:rsid w:val="00FA7ED9"/>
    <w:rsid w:val="00FB0082"/>
    <w:rsid w:val="00FB0243"/>
    <w:rsid w:val="00FB0EC7"/>
    <w:rsid w:val="00FB1527"/>
    <w:rsid w:val="00FB2537"/>
    <w:rsid w:val="00FB33DC"/>
    <w:rsid w:val="00FB40A1"/>
    <w:rsid w:val="00FB4338"/>
    <w:rsid w:val="00FB477E"/>
    <w:rsid w:val="00FB4BE3"/>
    <w:rsid w:val="00FB4C9C"/>
    <w:rsid w:val="00FB6165"/>
    <w:rsid w:val="00FB638F"/>
    <w:rsid w:val="00FC0142"/>
    <w:rsid w:val="00FC0150"/>
    <w:rsid w:val="00FC03AB"/>
    <w:rsid w:val="00FC08C8"/>
    <w:rsid w:val="00FC31C2"/>
    <w:rsid w:val="00FC367E"/>
    <w:rsid w:val="00FC3CD3"/>
    <w:rsid w:val="00FC4729"/>
    <w:rsid w:val="00FC4A8C"/>
    <w:rsid w:val="00FC50E1"/>
    <w:rsid w:val="00FC53DB"/>
    <w:rsid w:val="00FC5C08"/>
    <w:rsid w:val="00FC5E5E"/>
    <w:rsid w:val="00FC5F24"/>
    <w:rsid w:val="00FC5FC2"/>
    <w:rsid w:val="00FC6177"/>
    <w:rsid w:val="00FC63D1"/>
    <w:rsid w:val="00FC7528"/>
    <w:rsid w:val="00FC7E09"/>
    <w:rsid w:val="00FD00AD"/>
    <w:rsid w:val="00FD00C7"/>
    <w:rsid w:val="00FD00D0"/>
    <w:rsid w:val="00FD0572"/>
    <w:rsid w:val="00FD074F"/>
    <w:rsid w:val="00FD0FD3"/>
    <w:rsid w:val="00FD1A97"/>
    <w:rsid w:val="00FD1B33"/>
    <w:rsid w:val="00FD1E78"/>
    <w:rsid w:val="00FD20C1"/>
    <w:rsid w:val="00FD2D7B"/>
    <w:rsid w:val="00FD33D3"/>
    <w:rsid w:val="00FD37F6"/>
    <w:rsid w:val="00FD4589"/>
    <w:rsid w:val="00FD4726"/>
    <w:rsid w:val="00FD473E"/>
    <w:rsid w:val="00FD4E76"/>
    <w:rsid w:val="00FD4F51"/>
    <w:rsid w:val="00FD6439"/>
    <w:rsid w:val="00FD7DF9"/>
    <w:rsid w:val="00FE0B03"/>
    <w:rsid w:val="00FE0B51"/>
    <w:rsid w:val="00FE0B78"/>
    <w:rsid w:val="00FE0ED4"/>
    <w:rsid w:val="00FE10D9"/>
    <w:rsid w:val="00FE15C3"/>
    <w:rsid w:val="00FE1DBC"/>
    <w:rsid w:val="00FE1EAB"/>
    <w:rsid w:val="00FE2298"/>
    <w:rsid w:val="00FE29AE"/>
    <w:rsid w:val="00FE3465"/>
    <w:rsid w:val="00FE348A"/>
    <w:rsid w:val="00FE4376"/>
    <w:rsid w:val="00FE50FF"/>
    <w:rsid w:val="00FE58F7"/>
    <w:rsid w:val="00FE6781"/>
    <w:rsid w:val="00FE67CF"/>
    <w:rsid w:val="00FE6C1E"/>
    <w:rsid w:val="00FE6D20"/>
    <w:rsid w:val="00FE6F0D"/>
    <w:rsid w:val="00FE6FB9"/>
    <w:rsid w:val="00FE702A"/>
    <w:rsid w:val="00FE7507"/>
    <w:rsid w:val="00FE7549"/>
    <w:rsid w:val="00FE7BCC"/>
    <w:rsid w:val="00FF03AA"/>
    <w:rsid w:val="00FF043D"/>
    <w:rsid w:val="00FF0632"/>
    <w:rsid w:val="00FF126D"/>
    <w:rsid w:val="00FF1BD8"/>
    <w:rsid w:val="00FF1F3F"/>
    <w:rsid w:val="00FF2310"/>
    <w:rsid w:val="00FF2E73"/>
    <w:rsid w:val="00FF30FB"/>
    <w:rsid w:val="00FF418F"/>
    <w:rsid w:val="00FF425C"/>
    <w:rsid w:val="00FF4AE2"/>
    <w:rsid w:val="00FF50A8"/>
    <w:rsid w:val="00FF571E"/>
    <w:rsid w:val="00FF58B9"/>
    <w:rsid w:val="00FF68AC"/>
    <w:rsid w:val="00FF6A30"/>
    <w:rsid w:val="00FF6BD1"/>
    <w:rsid w:val="00FF6CC0"/>
    <w:rsid w:val="00FF7512"/>
    <w:rsid w:val="00FF7563"/>
    <w:rsid w:val="15CF22C6"/>
    <w:rsid w:val="44117097"/>
    <w:rsid w:val="57932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0EB5D8B"/>
  <w15:docId w15:val="{58437FF2-EF27-42E5-A480-4E20A75DF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ED"/>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 w:val="left" w:pos="666"/>
      </w:tabs>
      <w:spacing w:before="120"/>
      <w:outlineLvl w:val="1"/>
    </w:pPr>
    <w:rPr>
      <w:b/>
      <w:bCs/>
      <w:sz w:val="24"/>
    </w:rPr>
  </w:style>
  <w:style w:type="paragraph" w:styleId="Heading3">
    <w:name w:val="heading 3"/>
    <w:basedOn w:val="Normal"/>
    <w:next w:val="Normal"/>
    <w:qFormat/>
    <w:pPr>
      <w:keepNext/>
      <w:numPr>
        <w:ilvl w:val="2"/>
        <w:numId w:val="1"/>
      </w:numPr>
      <w:tabs>
        <w:tab w:val="left" w:pos="432"/>
        <w:tab w:val="left" w:pos="720"/>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 Char2,cap Char Char Char Char Char Char Char,Caption Char2 Char,Caption Char1 Char1 Char,Caption Char Char Char Char,Caption Char1 Char Char Char Char,cap1"/>
    <w:basedOn w:val="Normal"/>
    <w:next w:val="Normal"/>
    <w:link w:val="CaptionChar"/>
    <w:uiPriority w:val="99"/>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semiHidden/>
    <w:unhideWhenUsed/>
    <w:qFormat/>
    <w:pPr>
      <w:jc w:val="left"/>
    </w:p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Chars="200" w:left="100" w:hangingChars="200" w:hanging="20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semiHidden/>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 Char2 Char1,cap Char Char Char Char Char Char Char Char1,Caption Char2 Char Char1,Caption Char1 Char1 Char Char1,cap1 Char1"/>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paragraph" w:customStyle="1" w:styleId="1">
    <w:name w:val="목록 단락1"/>
    <w:basedOn w:val="Normal"/>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Revision1">
    <w:name w:val="Revision1"/>
    <w:hidden/>
    <w:uiPriority w:val="99"/>
    <w:semiHidden/>
    <w:qFormat/>
    <w:rPr>
      <w:sz w:val="22"/>
      <w:szCs w:val="22"/>
    </w:rPr>
  </w:style>
  <w:style w:type="character" w:customStyle="1" w:styleId="apple-style-span">
    <w:name w:val="apple-style-span"/>
    <w:basedOn w:val="DefaultParagraphFont"/>
    <w:qFormat/>
  </w:style>
  <w:style w:type="character" w:customStyle="1" w:styleId="B1Char1">
    <w:name w:val="B1 Char1"/>
    <w:link w:val="B1"/>
    <w:qFormat/>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uiPriority w:val="99"/>
    <w:qFormat/>
    <w:rPr>
      <w:rFonts w:eastAsia="SimSun" w:cs="Times New Roman"/>
      <w:b/>
      <w:bCs/>
      <w:sz w:val="20"/>
      <w:szCs w:val="20"/>
      <w:lang w:val="en-GB" w:eastAsia="zh-CN"/>
    </w:rPr>
  </w:style>
  <w:style w:type="paragraph" w:customStyle="1" w:styleId="TdocHeader2">
    <w:name w:val="Tdoc_Header_2"/>
    <w:basedOn w:val="Normal"/>
    <w:rsid w:val="00CB72FA"/>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styleId="ListBullet2">
    <w:name w:val="List Bullet 2"/>
    <w:aliases w:val="lb2"/>
    <w:basedOn w:val="Normal"/>
    <w:rsid w:val="006B460C"/>
    <w:pPr>
      <w:numPr>
        <w:numId w:val="4"/>
      </w:numPr>
      <w:autoSpaceDE/>
      <w:autoSpaceDN/>
      <w:adjustRightInd/>
      <w:snapToGrid/>
      <w:spacing w:after="240"/>
      <w:jc w:val="left"/>
    </w:pPr>
    <w:rPr>
      <w:rFonts w:eastAsia="Times New Roman"/>
      <w:sz w:val="24"/>
      <w:szCs w:val="24"/>
      <w:lang w:val="en-HK" w:eastAsia="zh-CN"/>
    </w:rPr>
  </w:style>
  <w:style w:type="paragraph" w:customStyle="1" w:styleId="TAL">
    <w:name w:val="TAL"/>
    <w:basedOn w:val="Normal"/>
    <w:link w:val="TALCar"/>
    <w:qFormat/>
    <w:rsid w:val="00CE29AB"/>
    <w:pPr>
      <w:keepNext/>
      <w:keepLines/>
      <w:overflowPunct w:val="0"/>
      <w:snapToGrid/>
      <w:spacing w:after="0"/>
      <w:jc w:val="left"/>
      <w:textAlignment w:val="baseline"/>
    </w:pPr>
    <w:rPr>
      <w:rFonts w:ascii="Arial" w:eastAsia="Times New Roman" w:hAnsi="Arial"/>
      <w:sz w:val="18"/>
      <w:szCs w:val="24"/>
      <w:lang w:val="en-HK" w:eastAsia="en-GB"/>
    </w:rPr>
  </w:style>
  <w:style w:type="paragraph" w:customStyle="1" w:styleId="TAH">
    <w:name w:val="TAH"/>
    <w:basedOn w:val="Normal"/>
    <w:link w:val="TAHCar"/>
    <w:qFormat/>
    <w:rsid w:val="00CE29AB"/>
    <w:pPr>
      <w:keepNext/>
      <w:keepLines/>
      <w:overflowPunct w:val="0"/>
      <w:snapToGrid/>
      <w:spacing w:after="0"/>
      <w:jc w:val="center"/>
      <w:textAlignment w:val="baseline"/>
    </w:pPr>
    <w:rPr>
      <w:rFonts w:ascii="Arial" w:eastAsia="Times New Roman" w:hAnsi="Arial"/>
      <w:b/>
      <w:sz w:val="18"/>
      <w:szCs w:val="24"/>
      <w:lang w:val="en-HK" w:eastAsia="en-GB"/>
    </w:rPr>
  </w:style>
  <w:style w:type="character" w:customStyle="1" w:styleId="TALCar">
    <w:name w:val="TAL Car"/>
    <w:link w:val="TAL"/>
    <w:qFormat/>
    <w:locked/>
    <w:rsid w:val="00CE29AB"/>
    <w:rPr>
      <w:rFonts w:ascii="Arial" w:eastAsia="Times New Roman" w:hAnsi="Arial"/>
      <w:sz w:val="18"/>
      <w:szCs w:val="24"/>
      <w:lang w:val="en-HK" w:eastAsia="en-GB"/>
    </w:rPr>
  </w:style>
  <w:style w:type="character" w:customStyle="1" w:styleId="TAHCar">
    <w:name w:val="TAH Car"/>
    <w:link w:val="TAH"/>
    <w:qFormat/>
    <w:locked/>
    <w:rsid w:val="00CE29AB"/>
    <w:rPr>
      <w:rFonts w:ascii="Arial" w:eastAsia="Times New Roman" w:hAnsi="Arial"/>
      <w:b/>
      <w:sz w:val="18"/>
      <w:szCs w:val="24"/>
      <w:lang w:val="en-HK" w:eastAsia="en-GB"/>
    </w:rPr>
  </w:style>
  <w:style w:type="paragraph" w:customStyle="1" w:styleId="PL">
    <w:name w:val="PL"/>
    <w:link w:val="PLChar"/>
    <w:qFormat/>
    <w:rsid w:val="00CE29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E29AB"/>
    <w:rPr>
      <w:rFonts w:ascii="Courier New" w:eastAsia="Times New Roman" w:hAnsi="Courier New"/>
      <w:noProof/>
      <w:sz w:val="16"/>
      <w:lang w:val="en-GB" w:eastAsia="ja-JP"/>
    </w:rPr>
  </w:style>
  <w:style w:type="paragraph" w:customStyle="1" w:styleId="2">
    <w:name w:val="列出段落2"/>
    <w:basedOn w:val="Normal"/>
    <w:link w:val="a"/>
    <w:uiPriority w:val="34"/>
    <w:qFormat/>
    <w:rsid w:val="00555F08"/>
    <w:pPr>
      <w:suppressAutoHyphens/>
      <w:autoSpaceDE/>
      <w:autoSpaceDN/>
      <w:adjustRightInd/>
      <w:snapToGrid/>
      <w:spacing w:after="50"/>
      <w:ind w:left="840"/>
      <w:jc w:val="left"/>
    </w:pPr>
    <w:rPr>
      <w:rFonts w:ascii="Cambria" w:eastAsia="SimHei" w:hAnsi="Cambria" w:cs="SimSun"/>
      <w:sz w:val="20"/>
      <w:szCs w:val="20"/>
    </w:rPr>
  </w:style>
  <w:style w:type="character" w:customStyle="1" w:styleId="a">
    <w:name w:val="列出段落 字符"/>
    <w:link w:val="2"/>
    <w:uiPriority w:val="34"/>
    <w:qFormat/>
    <w:rsid w:val="00555F08"/>
    <w:rPr>
      <w:rFonts w:ascii="Cambria" w:eastAsia="SimHei" w:hAnsi="Cambria" w:cs="SimSun"/>
    </w:rPr>
  </w:style>
  <w:style w:type="table" w:styleId="GridTable1Light">
    <w:name w:val="Grid Table 1 Light"/>
    <w:basedOn w:val="TableNormal"/>
    <w:uiPriority w:val="46"/>
    <w:rsid w:val="00D70F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AA689C"/>
    <w:pPr>
      <w:autoSpaceDE/>
      <w:autoSpaceDN/>
      <w:adjustRightInd/>
      <w:snapToGrid/>
      <w:spacing w:before="100" w:beforeAutospacing="1" w:after="100" w:afterAutospacing="1"/>
      <w:jc w:val="left"/>
    </w:pPr>
    <w:rPr>
      <w:rFonts w:eastAsia="Times New Roman"/>
      <w:sz w:val="24"/>
      <w:szCs w:val="24"/>
    </w:rPr>
  </w:style>
  <w:style w:type="character" w:customStyle="1" w:styleId="3">
    <w:name w:val="标题 3 字符"/>
    <w:qFormat/>
    <w:rsid w:val="0017631D"/>
    <w:rPr>
      <w:rFonts w:ascii="Arial" w:hAnsi="Arial"/>
      <w:b/>
      <w:sz w:val="21"/>
      <w:szCs w:val="21"/>
      <w:lang w:val="en-GB"/>
    </w:rPr>
  </w:style>
  <w:style w:type="paragraph" w:customStyle="1" w:styleId="10">
    <w:name w:val="列出段落1"/>
    <w:basedOn w:val="Normal"/>
    <w:uiPriority w:val="34"/>
    <w:qFormat/>
    <w:rsid w:val="00EA6B69"/>
    <w:pPr>
      <w:suppressAutoHyphens/>
      <w:autoSpaceDE/>
      <w:autoSpaceDN/>
      <w:adjustRightInd/>
      <w:snapToGrid/>
      <w:spacing w:after="50"/>
      <w:ind w:left="840"/>
      <w:jc w:val="left"/>
    </w:pPr>
    <w:rPr>
      <w:rFonts w:ascii="Times" w:eastAsia="Batang" w:hAnsi="Times"/>
      <w:sz w:val="20"/>
      <w:szCs w:val="24"/>
      <w:lang w:val="en-GB" w:eastAsia="zh-CN"/>
    </w:rPr>
  </w:style>
  <w:style w:type="paragraph" w:customStyle="1" w:styleId="30">
    <w:name w:val="列出段落3"/>
    <w:basedOn w:val="Normal"/>
    <w:uiPriority w:val="34"/>
    <w:qFormat/>
    <w:rsid w:val="007605AF"/>
    <w:pPr>
      <w:suppressAutoHyphens/>
      <w:autoSpaceDE/>
      <w:autoSpaceDN/>
      <w:adjustRightInd/>
      <w:snapToGrid/>
      <w:spacing w:after="50"/>
      <w:ind w:left="840"/>
      <w:jc w:val="left"/>
    </w:pPr>
    <w:rPr>
      <w:rFonts w:ascii="Cambria" w:eastAsia="SimHei" w:hAnsi="Cambria" w:cs="SimSun"/>
      <w:sz w:val="20"/>
      <w:szCs w:val="20"/>
    </w:rPr>
  </w:style>
  <w:style w:type="character" w:customStyle="1" w:styleId="Heading1Char">
    <w:name w:val="Heading 1 Char"/>
    <w:basedOn w:val="DefaultParagraphFont"/>
    <w:link w:val="Heading1"/>
    <w:rsid w:val="005F338E"/>
    <w:rPr>
      <w:b/>
      <w:bCs/>
      <w:sz w:val="28"/>
      <w:szCs w:val="28"/>
    </w:rPr>
  </w:style>
  <w:style w:type="table" w:customStyle="1" w:styleId="TableGrid7">
    <w:name w:val="Table Grid7"/>
    <w:basedOn w:val="TableNormal"/>
    <w:uiPriority w:val="39"/>
    <w:qFormat/>
    <w:rsid w:val="00561343"/>
    <w:pPr>
      <w:spacing w:after="200" w:line="276" w:lineRule="auto"/>
    </w:pPr>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955AB"/>
    <w:pPr>
      <w:spacing w:after="120"/>
    </w:pPr>
    <w:rPr>
      <w:rFonts w:ascii="Arial" w:eastAsia="DengXian" w:hAnsi="Arial"/>
      <w:lang w:val="en-GB"/>
    </w:rPr>
  </w:style>
  <w:style w:type="paragraph" w:styleId="TOC3">
    <w:name w:val="toc 3"/>
    <w:basedOn w:val="TOC2"/>
    <w:semiHidden/>
    <w:rsid w:val="00C955AB"/>
    <w:pPr>
      <w:keepLines/>
      <w:widowControl w:val="0"/>
      <w:tabs>
        <w:tab w:val="right" w:leader="dot" w:pos="9639"/>
      </w:tabs>
      <w:overflowPunct w:val="0"/>
      <w:snapToGrid/>
      <w:spacing w:after="0"/>
      <w:ind w:left="1134" w:right="425" w:hanging="1134"/>
      <w:jc w:val="left"/>
      <w:textAlignment w:val="baseline"/>
    </w:pPr>
    <w:rPr>
      <w:rFonts w:eastAsia="DengXian"/>
      <w:noProof/>
      <w:sz w:val="20"/>
      <w:szCs w:val="20"/>
      <w:lang w:val="en-GB" w:eastAsia="en-GB"/>
    </w:rPr>
  </w:style>
  <w:style w:type="paragraph" w:styleId="TOC2">
    <w:name w:val="toc 2"/>
    <w:basedOn w:val="Normal"/>
    <w:next w:val="Normal"/>
    <w:autoRedefine/>
    <w:semiHidden/>
    <w:unhideWhenUsed/>
    <w:rsid w:val="00C955AB"/>
    <w:pPr>
      <w:spacing w:after="100"/>
      <w:ind w:left="220"/>
    </w:pPr>
  </w:style>
  <w:style w:type="character" w:customStyle="1" w:styleId="ListParagraphChar2">
    <w:name w:val="List Paragraph Char2"/>
    <w:qFormat/>
    <w:rsid w:val="008E0B64"/>
    <w:rPr>
      <w:rFonts w:eastAsia="Times New Roman"/>
    </w:rPr>
  </w:style>
  <w:style w:type="character" w:styleId="Strong">
    <w:name w:val="Strong"/>
    <w:basedOn w:val="DefaultParagraphFont"/>
    <w:uiPriority w:val="22"/>
    <w:qFormat/>
    <w:rsid w:val="00561285"/>
    <w:rPr>
      <w:b/>
      <w:bCs/>
    </w:rPr>
  </w:style>
  <w:style w:type="character" w:styleId="HTMLCode">
    <w:name w:val="HTML Code"/>
    <w:basedOn w:val="DefaultParagraphFont"/>
    <w:uiPriority w:val="99"/>
    <w:semiHidden/>
    <w:unhideWhenUsed/>
    <w:rsid w:val="00FB0EC7"/>
    <w:rPr>
      <w:rFonts w:ascii="Courier New" w:eastAsia="Times New Roman" w:hAnsi="Courier New" w:cs="Courier New"/>
      <w:sz w:val="20"/>
      <w:szCs w:val="20"/>
    </w:rPr>
  </w:style>
  <w:style w:type="character" w:customStyle="1" w:styleId="katex-mathml">
    <w:name w:val="katex-mathml"/>
    <w:basedOn w:val="DefaultParagraphFont"/>
    <w:rsid w:val="006038CE"/>
  </w:style>
  <w:style w:type="character" w:customStyle="1" w:styleId="mopen">
    <w:name w:val="mopen"/>
    <w:basedOn w:val="DefaultParagraphFont"/>
    <w:rsid w:val="006038CE"/>
  </w:style>
  <w:style w:type="character" w:customStyle="1" w:styleId="mord">
    <w:name w:val="mord"/>
    <w:basedOn w:val="DefaultParagraphFont"/>
    <w:rsid w:val="006038CE"/>
  </w:style>
  <w:style w:type="character" w:customStyle="1" w:styleId="vlist-s">
    <w:name w:val="vlist-s"/>
    <w:basedOn w:val="DefaultParagraphFont"/>
    <w:rsid w:val="006038CE"/>
  </w:style>
  <w:style w:type="character" w:customStyle="1" w:styleId="mclose">
    <w:name w:val="mclose"/>
    <w:basedOn w:val="DefaultParagraphFont"/>
    <w:rsid w:val="006038CE"/>
  </w:style>
  <w:style w:type="character" w:customStyle="1" w:styleId="mrel">
    <w:name w:val="mrel"/>
    <w:basedOn w:val="DefaultParagraphFont"/>
    <w:rsid w:val="00742062"/>
  </w:style>
  <w:style w:type="character" w:customStyle="1" w:styleId="mbin">
    <w:name w:val="mbin"/>
    <w:basedOn w:val="DefaultParagraphFont"/>
    <w:rsid w:val="00742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96351">
      <w:bodyDiv w:val="1"/>
      <w:marLeft w:val="0"/>
      <w:marRight w:val="0"/>
      <w:marTop w:val="0"/>
      <w:marBottom w:val="0"/>
      <w:divBdr>
        <w:top w:val="none" w:sz="0" w:space="0" w:color="auto"/>
        <w:left w:val="none" w:sz="0" w:space="0" w:color="auto"/>
        <w:bottom w:val="none" w:sz="0" w:space="0" w:color="auto"/>
        <w:right w:val="none" w:sz="0" w:space="0" w:color="auto"/>
      </w:divBdr>
    </w:div>
    <w:div w:id="78020162">
      <w:bodyDiv w:val="1"/>
      <w:marLeft w:val="0"/>
      <w:marRight w:val="0"/>
      <w:marTop w:val="0"/>
      <w:marBottom w:val="0"/>
      <w:divBdr>
        <w:top w:val="none" w:sz="0" w:space="0" w:color="auto"/>
        <w:left w:val="none" w:sz="0" w:space="0" w:color="auto"/>
        <w:bottom w:val="none" w:sz="0" w:space="0" w:color="auto"/>
        <w:right w:val="none" w:sz="0" w:space="0" w:color="auto"/>
      </w:divBdr>
    </w:div>
    <w:div w:id="81996155">
      <w:bodyDiv w:val="1"/>
      <w:marLeft w:val="0"/>
      <w:marRight w:val="0"/>
      <w:marTop w:val="0"/>
      <w:marBottom w:val="0"/>
      <w:divBdr>
        <w:top w:val="none" w:sz="0" w:space="0" w:color="auto"/>
        <w:left w:val="none" w:sz="0" w:space="0" w:color="auto"/>
        <w:bottom w:val="none" w:sz="0" w:space="0" w:color="auto"/>
        <w:right w:val="none" w:sz="0" w:space="0" w:color="auto"/>
      </w:divBdr>
    </w:div>
    <w:div w:id="92214272">
      <w:bodyDiv w:val="1"/>
      <w:marLeft w:val="0"/>
      <w:marRight w:val="0"/>
      <w:marTop w:val="0"/>
      <w:marBottom w:val="0"/>
      <w:divBdr>
        <w:top w:val="none" w:sz="0" w:space="0" w:color="auto"/>
        <w:left w:val="none" w:sz="0" w:space="0" w:color="auto"/>
        <w:bottom w:val="none" w:sz="0" w:space="0" w:color="auto"/>
        <w:right w:val="none" w:sz="0" w:space="0" w:color="auto"/>
      </w:divBdr>
      <w:divsChild>
        <w:div w:id="836534006">
          <w:marLeft w:val="0"/>
          <w:marRight w:val="0"/>
          <w:marTop w:val="0"/>
          <w:marBottom w:val="0"/>
          <w:divBdr>
            <w:top w:val="single" w:sz="2" w:space="0" w:color="auto"/>
            <w:left w:val="single" w:sz="2" w:space="0" w:color="auto"/>
            <w:bottom w:val="single" w:sz="2" w:space="0" w:color="auto"/>
            <w:right w:val="single" w:sz="2" w:space="0" w:color="auto"/>
          </w:divBdr>
          <w:divsChild>
            <w:div w:id="19057540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096828">
      <w:bodyDiv w:val="1"/>
      <w:marLeft w:val="0"/>
      <w:marRight w:val="0"/>
      <w:marTop w:val="0"/>
      <w:marBottom w:val="0"/>
      <w:divBdr>
        <w:top w:val="none" w:sz="0" w:space="0" w:color="auto"/>
        <w:left w:val="none" w:sz="0" w:space="0" w:color="auto"/>
        <w:bottom w:val="none" w:sz="0" w:space="0" w:color="auto"/>
        <w:right w:val="none" w:sz="0" w:space="0" w:color="auto"/>
      </w:divBdr>
    </w:div>
    <w:div w:id="129398992">
      <w:bodyDiv w:val="1"/>
      <w:marLeft w:val="0"/>
      <w:marRight w:val="0"/>
      <w:marTop w:val="0"/>
      <w:marBottom w:val="0"/>
      <w:divBdr>
        <w:top w:val="none" w:sz="0" w:space="0" w:color="auto"/>
        <w:left w:val="none" w:sz="0" w:space="0" w:color="auto"/>
        <w:bottom w:val="none" w:sz="0" w:space="0" w:color="auto"/>
        <w:right w:val="none" w:sz="0" w:space="0" w:color="auto"/>
      </w:divBdr>
    </w:div>
    <w:div w:id="134184175">
      <w:bodyDiv w:val="1"/>
      <w:marLeft w:val="0"/>
      <w:marRight w:val="0"/>
      <w:marTop w:val="0"/>
      <w:marBottom w:val="0"/>
      <w:divBdr>
        <w:top w:val="none" w:sz="0" w:space="0" w:color="auto"/>
        <w:left w:val="none" w:sz="0" w:space="0" w:color="auto"/>
        <w:bottom w:val="none" w:sz="0" w:space="0" w:color="auto"/>
        <w:right w:val="none" w:sz="0" w:space="0" w:color="auto"/>
      </w:divBdr>
    </w:div>
    <w:div w:id="137503920">
      <w:bodyDiv w:val="1"/>
      <w:marLeft w:val="0"/>
      <w:marRight w:val="0"/>
      <w:marTop w:val="0"/>
      <w:marBottom w:val="0"/>
      <w:divBdr>
        <w:top w:val="none" w:sz="0" w:space="0" w:color="auto"/>
        <w:left w:val="none" w:sz="0" w:space="0" w:color="auto"/>
        <w:bottom w:val="none" w:sz="0" w:space="0" w:color="auto"/>
        <w:right w:val="none" w:sz="0" w:space="0" w:color="auto"/>
      </w:divBdr>
    </w:div>
    <w:div w:id="177083524">
      <w:bodyDiv w:val="1"/>
      <w:marLeft w:val="0"/>
      <w:marRight w:val="0"/>
      <w:marTop w:val="0"/>
      <w:marBottom w:val="0"/>
      <w:divBdr>
        <w:top w:val="none" w:sz="0" w:space="0" w:color="auto"/>
        <w:left w:val="none" w:sz="0" w:space="0" w:color="auto"/>
        <w:bottom w:val="none" w:sz="0" w:space="0" w:color="auto"/>
        <w:right w:val="none" w:sz="0" w:space="0" w:color="auto"/>
      </w:divBdr>
      <w:divsChild>
        <w:div w:id="100077082">
          <w:marLeft w:val="0"/>
          <w:marRight w:val="0"/>
          <w:marTop w:val="0"/>
          <w:marBottom w:val="0"/>
          <w:divBdr>
            <w:top w:val="single" w:sz="2" w:space="0" w:color="auto"/>
            <w:left w:val="single" w:sz="2" w:space="0" w:color="auto"/>
            <w:bottom w:val="single" w:sz="2" w:space="0" w:color="auto"/>
            <w:right w:val="single" w:sz="2" w:space="0" w:color="auto"/>
          </w:divBdr>
          <w:divsChild>
            <w:div w:id="13914227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62998551">
      <w:bodyDiv w:val="1"/>
      <w:marLeft w:val="0"/>
      <w:marRight w:val="0"/>
      <w:marTop w:val="0"/>
      <w:marBottom w:val="0"/>
      <w:divBdr>
        <w:top w:val="none" w:sz="0" w:space="0" w:color="auto"/>
        <w:left w:val="none" w:sz="0" w:space="0" w:color="auto"/>
        <w:bottom w:val="none" w:sz="0" w:space="0" w:color="auto"/>
        <w:right w:val="none" w:sz="0" w:space="0" w:color="auto"/>
      </w:divBdr>
    </w:div>
    <w:div w:id="319430771">
      <w:bodyDiv w:val="1"/>
      <w:marLeft w:val="0"/>
      <w:marRight w:val="0"/>
      <w:marTop w:val="0"/>
      <w:marBottom w:val="0"/>
      <w:divBdr>
        <w:top w:val="none" w:sz="0" w:space="0" w:color="auto"/>
        <w:left w:val="none" w:sz="0" w:space="0" w:color="auto"/>
        <w:bottom w:val="none" w:sz="0" w:space="0" w:color="auto"/>
        <w:right w:val="none" w:sz="0" w:space="0" w:color="auto"/>
      </w:divBdr>
    </w:div>
    <w:div w:id="335306114">
      <w:bodyDiv w:val="1"/>
      <w:marLeft w:val="0"/>
      <w:marRight w:val="0"/>
      <w:marTop w:val="0"/>
      <w:marBottom w:val="0"/>
      <w:divBdr>
        <w:top w:val="none" w:sz="0" w:space="0" w:color="auto"/>
        <w:left w:val="none" w:sz="0" w:space="0" w:color="auto"/>
        <w:bottom w:val="none" w:sz="0" w:space="0" w:color="auto"/>
        <w:right w:val="none" w:sz="0" w:space="0" w:color="auto"/>
      </w:divBdr>
    </w:div>
    <w:div w:id="399596649">
      <w:bodyDiv w:val="1"/>
      <w:marLeft w:val="0"/>
      <w:marRight w:val="0"/>
      <w:marTop w:val="0"/>
      <w:marBottom w:val="0"/>
      <w:divBdr>
        <w:top w:val="none" w:sz="0" w:space="0" w:color="auto"/>
        <w:left w:val="none" w:sz="0" w:space="0" w:color="auto"/>
        <w:bottom w:val="none" w:sz="0" w:space="0" w:color="auto"/>
        <w:right w:val="none" w:sz="0" w:space="0" w:color="auto"/>
      </w:divBdr>
    </w:div>
    <w:div w:id="411199390">
      <w:bodyDiv w:val="1"/>
      <w:marLeft w:val="0"/>
      <w:marRight w:val="0"/>
      <w:marTop w:val="0"/>
      <w:marBottom w:val="0"/>
      <w:divBdr>
        <w:top w:val="none" w:sz="0" w:space="0" w:color="auto"/>
        <w:left w:val="none" w:sz="0" w:space="0" w:color="auto"/>
        <w:bottom w:val="none" w:sz="0" w:space="0" w:color="auto"/>
        <w:right w:val="none" w:sz="0" w:space="0" w:color="auto"/>
      </w:divBdr>
    </w:div>
    <w:div w:id="419446589">
      <w:bodyDiv w:val="1"/>
      <w:marLeft w:val="0"/>
      <w:marRight w:val="0"/>
      <w:marTop w:val="0"/>
      <w:marBottom w:val="0"/>
      <w:divBdr>
        <w:top w:val="none" w:sz="0" w:space="0" w:color="auto"/>
        <w:left w:val="none" w:sz="0" w:space="0" w:color="auto"/>
        <w:bottom w:val="none" w:sz="0" w:space="0" w:color="auto"/>
        <w:right w:val="none" w:sz="0" w:space="0" w:color="auto"/>
      </w:divBdr>
    </w:div>
    <w:div w:id="428697006">
      <w:bodyDiv w:val="1"/>
      <w:marLeft w:val="0"/>
      <w:marRight w:val="0"/>
      <w:marTop w:val="0"/>
      <w:marBottom w:val="0"/>
      <w:divBdr>
        <w:top w:val="none" w:sz="0" w:space="0" w:color="auto"/>
        <w:left w:val="none" w:sz="0" w:space="0" w:color="auto"/>
        <w:bottom w:val="none" w:sz="0" w:space="0" w:color="auto"/>
        <w:right w:val="none" w:sz="0" w:space="0" w:color="auto"/>
      </w:divBdr>
    </w:div>
    <w:div w:id="432558843">
      <w:bodyDiv w:val="1"/>
      <w:marLeft w:val="0"/>
      <w:marRight w:val="0"/>
      <w:marTop w:val="0"/>
      <w:marBottom w:val="0"/>
      <w:divBdr>
        <w:top w:val="none" w:sz="0" w:space="0" w:color="auto"/>
        <w:left w:val="none" w:sz="0" w:space="0" w:color="auto"/>
        <w:bottom w:val="none" w:sz="0" w:space="0" w:color="auto"/>
        <w:right w:val="none" w:sz="0" w:space="0" w:color="auto"/>
      </w:divBdr>
    </w:div>
    <w:div w:id="476460752">
      <w:bodyDiv w:val="1"/>
      <w:marLeft w:val="0"/>
      <w:marRight w:val="0"/>
      <w:marTop w:val="0"/>
      <w:marBottom w:val="0"/>
      <w:divBdr>
        <w:top w:val="none" w:sz="0" w:space="0" w:color="auto"/>
        <w:left w:val="none" w:sz="0" w:space="0" w:color="auto"/>
        <w:bottom w:val="none" w:sz="0" w:space="0" w:color="auto"/>
        <w:right w:val="none" w:sz="0" w:space="0" w:color="auto"/>
      </w:divBdr>
    </w:div>
    <w:div w:id="534465294">
      <w:bodyDiv w:val="1"/>
      <w:marLeft w:val="0"/>
      <w:marRight w:val="0"/>
      <w:marTop w:val="0"/>
      <w:marBottom w:val="0"/>
      <w:divBdr>
        <w:top w:val="none" w:sz="0" w:space="0" w:color="auto"/>
        <w:left w:val="none" w:sz="0" w:space="0" w:color="auto"/>
        <w:bottom w:val="none" w:sz="0" w:space="0" w:color="auto"/>
        <w:right w:val="none" w:sz="0" w:space="0" w:color="auto"/>
      </w:divBdr>
    </w:div>
    <w:div w:id="548687543">
      <w:bodyDiv w:val="1"/>
      <w:marLeft w:val="0"/>
      <w:marRight w:val="0"/>
      <w:marTop w:val="0"/>
      <w:marBottom w:val="0"/>
      <w:divBdr>
        <w:top w:val="none" w:sz="0" w:space="0" w:color="auto"/>
        <w:left w:val="none" w:sz="0" w:space="0" w:color="auto"/>
        <w:bottom w:val="none" w:sz="0" w:space="0" w:color="auto"/>
        <w:right w:val="none" w:sz="0" w:space="0" w:color="auto"/>
      </w:divBdr>
      <w:divsChild>
        <w:div w:id="1605454831">
          <w:marLeft w:val="0"/>
          <w:marRight w:val="0"/>
          <w:marTop w:val="0"/>
          <w:marBottom w:val="0"/>
          <w:divBdr>
            <w:top w:val="single" w:sz="2" w:space="0" w:color="E5E7EB"/>
            <w:left w:val="single" w:sz="2" w:space="0" w:color="E5E7EB"/>
            <w:bottom w:val="single" w:sz="2" w:space="0" w:color="E5E7EB"/>
            <w:right w:val="single" w:sz="2" w:space="0" w:color="E5E7EB"/>
          </w:divBdr>
          <w:divsChild>
            <w:div w:id="1946497056">
              <w:marLeft w:val="0"/>
              <w:marRight w:val="0"/>
              <w:marTop w:val="100"/>
              <w:marBottom w:val="100"/>
              <w:divBdr>
                <w:top w:val="single" w:sz="2" w:space="0" w:color="E5E7EB"/>
                <w:left w:val="single" w:sz="2" w:space="0" w:color="E5E7EB"/>
                <w:bottom w:val="single" w:sz="2" w:space="0" w:color="E5E7EB"/>
                <w:right w:val="single" w:sz="2" w:space="0" w:color="E5E7EB"/>
              </w:divBdr>
              <w:divsChild>
                <w:div w:id="1537155728">
                  <w:marLeft w:val="0"/>
                  <w:marRight w:val="0"/>
                  <w:marTop w:val="0"/>
                  <w:marBottom w:val="0"/>
                  <w:divBdr>
                    <w:top w:val="single" w:sz="2" w:space="0" w:color="E5E7EB"/>
                    <w:left w:val="single" w:sz="2" w:space="0" w:color="E5E7EB"/>
                    <w:bottom w:val="single" w:sz="2" w:space="0" w:color="E5E7EB"/>
                    <w:right w:val="single" w:sz="2" w:space="0" w:color="E5E7EB"/>
                  </w:divBdr>
                  <w:divsChild>
                    <w:div w:id="608319691">
                      <w:marLeft w:val="0"/>
                      <w:marRight w:val="0"/>
                      <w:marTop w:val="0"/>
                      <w:marBottom w:val="0"/>
                      <w:divBdr>
                        <w:top w:val="single" w:sz="2" w:space="0" w:color="E5E7EB"/>
                        <w:left w:val="single" w:sz="2" w:space="0" w:color="E5E7EB"/>
                        <w:bottom w:val="single" w:sz="2" w:space="0" w:color="E5E7EB"/>
                        <w:right w:val="single" w:sz="2" w:space="0" w:color="E5E7EB"/>
                      </w:divBdr>
                      <w:divsChild>
                        <w:div w:id="1751852542">
                          <w:marLeft w:val="0"/>
                          <w:marRight w:val="0"/>
                          <w:marTop w:val="0"/>
                          <w:marBottom w:val="0"/>
                          <w:divBdr>
                            <w:top w:val="single" w:sz="2" w:space="0" w:color="E5E7EB"/>
                            <w:left w:val="single" w:sz="2" w:space="0" w:color="E5E7EB"/>
                            <w:bottom w:val="single" w:sz="2" w:space="0" w:color="E5E7EB"/>
                            <w:right w:val="single" w:sz="2" w:space="0" w:color="E5E7EB"/>
                          </w:divBdr>
                          <w:divsChild>
                            <w:div w:id="1380667797">
                              <w:marLeft w:val="0"/>
                              <w:marRight w:val="0"/>
                              <w:marTop w:val="0"/>
                              <w:marBottom w:val="0"/>
                              <w:divBdr>
                                <w:top w:val="single" w:sz="2" w:space="0" w:color="E5E7EB"/>
                                <w:left w:val="single" w:sz="2" w:space="0" w:color="E5E7EB"/>
                                <w:bottom w:val="single" w:sz="2" w:space="0" w:color="E5E7EB"/>
                                <w:right w:val="single" w:sz="2" w:space="0" w:color="E5E7EB"/>
                              </w:divBdr>
                              <w:divsChild>
                                <w:div w:id="806243989">
                                  <w:marLeft w:val="0"/>
                                  <w:marRight w:val="0"/>
                                  <w:marTop w:val="0"/>
                                  <w:marBottom w:val="0"/>
                                  <w:divBdr>
                                    <w:top w:val="single" w:sz="2" w:space="0" w:color="E5E7EB"/>
                                    <w:left w:val="single" w:sz="2" w:space="0" w:color="E5E7EB"/>
                                    <w:bottom w:val="single" w:sz="2" w:space="0" w:color="E5E7EB"/>
                                    <w:right w:val="single" w:sz="2" w:space="0" w:color="E5E7EB"/>
                                  </w:divBdr>
                                  <w:divsChild>
                                    <w:div w:id="1286278413">
                                      <w:marLeft w:val="0"/>
                                      <w:marRight w:val="0"/>
                                      <w:marTop w:val="0"/>
                                      <w:marBottom w:val="0"/>
                                      <w:divBdr>
                                        <w:top w:val="single" w:sz="2" w:space="0" w:color="E5E7EB"/>
                                        <w:left w:val="single" w:sz="2" w:space="0" w:color="E5E7EB"/>
                                        <w:bottom w:val="single" w:sz="2" w:space="0" w:color="E5E7EB"/>
                                        <w:right w:val="single" w:sz="2" w:space="0" w:color="E5E7EB"/>
                                      </w:divBdr>
                                      <w:divsChild>
                                        <w:div w:id="21298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577054616">
      <w:bodyDiv w:val="1"/>
      <w:marLeft w:val="0"/>
      <w:marRight w:val="0"/>
      <w:marTop w:val="0"/>
      <w:marBottom w:val="0"/>
      <w:divBdr>
        <w:top w:val="none" w:sz="0" w:space="0" w:color="auto"/>
        <w:left w:val="none" w:sz="0" w:space="0" w:color="auto"/>
        <w:bottom w:val="none" w:sz="0" w:space="0" w:color="auto"/>
        <w:right w:val="none" w:sz="0" w:space="0" w:color="auto"/>
      </w:divBdr>
    </w:div>
    <w:div w:id="665984830">
      <w:bodyDiv w:val="1"/>
      <w:marLeft w:val="0"/>
      <w:marRight w:val="0"/>
      <w:marTop w:val="0"/>
      <w:marBottom w:val="0"/>
      <w:divBdr>
        <w:top w:val="none" w:sz="0" w:space="0" w:color="auto"/>
        <w:left w:val="none" w:sz="0" w:space="0" w:color="auto"/>
        <w:bottom w:val="none" w:sz="0" w:space="0" w:color="auto"/>
        <w:right w:val="none" w:sz="0" w:space="0" w:color="auto"/>
      </w:divBdr>
    </w:div>
    <w:div w:id="699890710">
      <w:bodyDiv w:val="1"/>
      <w:marLeft w:val="0"/>
      <w:marRight w:val="0"/>
      <w:marTop w:val="0"/>
      <w:marBottom w:val="0"/>
      <w:divBdr>
        <w:top w:val="none" w:sz="0" w:space="0" w:color="auto"/>
        <w:left w:val="none" w:sz="0" w:space="0" w:color="auto"/>
        <w:bottom w:val="none" w:sz="0" w:space="0" w:color="auto"/>
        <w:right w:val="none" w:sz="0" w:space="0" w:color="auto"/>
      </w:divBdr>
    </w:div>
    <w:div w:id="725642682">
      <w:bodyDiv w:val="1"/>
      <w:marLeft w:val="0"/>
      <w:marRight w:val="0"/>
      <w:marTop w:val="0"/>
      <w:marBottom w:val="0"/>
      <w:divBdr>
        <w:top w:val="none" w:sz="0" w:space="0" w:color="auto"/>
        <w:left w:val="none" w:sz="0" w:space="0" w:color="auto"/>
        <w:bottom w:val="none" w:sz="0" w:space="0" w:color="auto"/>
        <w:right w:val="none" w:sz="0" w:space="0" w:color="auto"/>
      </w:divBdr>
    </w:div>
    <w:div w:id="774249752">
      <w:bodyDiv w:val="1"/>
      <w:marLeft w:val="0"/>
      <w:marRight w:val="0"/>
      <w:marTop w:val="0"/>
      <w:marBottom w:val="0"/>
      <w:divBdr>
        <w:top w:val="none" w:sz="0" w:space="0" w:color="auto"/>
        <w:left w:val="none" w:sz="0" w:space="0" w:color="auto"/>
        <w:bottom w:val="none" w:sz="0" w:space="0" w:color="auto"/>
        <w:right w:val="none" w:sz="0" w:space="0" w:color="auto"/>
      </w:divBdr>
    </w:div>
    <w:div w:id="786772779">
      <w:bodyDiv w:val="1"/>
      <w:marLeft w:val="0"/>
      <w:marRight w:val="0"/>
      <w:marTop w:val="0"/>
      <w:marBottom w:val="0"/>
      <w:divBdr>
        <w:top w:val="none" w:sz="0" w:space="0" w:color="auto"/>
        <w:left w:val="none" w:sz="0" w:space="0" w:color="auto"/>
        <w:bottom w:val="none" w:sz="0" w:space="0" w:color="auto"/>
        <w:right w:val="none" w:sz="0" w:space="0" w:color="auto"/>
      </w:divBdr>
    </w:div>
    <w:div w:id="969625729">
      <w:bodyDiv w:val="1"/>
      <w:marLeft w:val="0"/>
      <w:marRight w:val="0"/>
      <w:marTop w:val="0"/>
      <w:marBottom w:val="0"/>
      <w:divBdr>
        <w:top w:val="none" w:sz="0" w:space="0" w:color="auto"/>
        <w:left w:val="none" w:sz="0" w:space="0" w:color="auto"/>
        <w:bottom w:val="none" w:sz="0" w:space="0" w:color="auto"/>
        <w:right w:val="none" w:sz="0" w:space="0" w:color="auto"/>
      </w:divBdr>
    </w:div>
    <w:div w:id="986473381">
      <w:bodyDiv w:val="1"/>
      <w:marLeft w:val="0"/>
      <w:marRight w:val="0"/>
      <w:marTop w:val="0"/>
      <w:marBottom w:val="0"/>
      <w:divBdr>
        <w:top w:val="none" w:sz="0" w:space="0" w:color="auto"/>
        <w:left w:val="none" w:sz="0" w:space="0" w:color="auto"/>
        <w:bottom w:val="none" w:sz="0" w:space="0" w:color="auto"/>
        <w:right w:val="none" w:sz="0" w:space="0" w:color="auto"/>
      </w:divBdr>
    </w:div>
    <w:div w:id="1021129029">
      <w:bodyDiv w:val="1"/>
      <w:marLeft w:val="0"/>
      <w:marRight w:val="0"/>
      <w:marTop w:val="0"/>
      <w:marBottom w:val="0"/>
      <w:divBdr>
        <w:top w:val="none" w:sz="0" w:space="0" w:color="auto"/>
        <w:left w:val="none" w:sz="0" w:space="0" w:color="auto"/>
        <w:bottom w:val="none" w:sz="0" w:space="0" w:color="auto"/>
        <w:right w:val="none" w:sz="0" w:space="0" w:color="auto"/>
      </w:divBdr>
    </w:div>
    <w:div w:id="1025713554">
      <w:bodyDiv w:val="1"/>
      <w:marLeft w:val="0"/>
      <w:marRight w:val="0"/>
      <w:marTop w:val="0"/>
      <w:marBottom w:val="0"/>
      <w:divBdr>
        <w:top w:val="none" w:sz="0" w:space="0" w:color="auto"/>
        <w:left w:val="none" w:sz="0" w:space="0" w:color="auto"/>
        <w:bottom w:val="none" w:sz="0" w:space="0" w:color="auto"/>
        <w:right w:val="none" w:sz="0" w:space="0" w:color="auto"/>
      </w:divBdr>
    </w:div>
    <w:div w:id="1085765964">
      <w:bodyDiv w:val="1"/>
      <w:marLeft w:val="0"/>
      <w:marRight w:val="0"/>
      <w:marTop w:val="0"/>
      <w:marBottom w:val="0"/>
      <w:divBdr>
        <w:top w:val="none" w:sz="0" w:space="0" w:color="auto"/>
        <w:left w:val="none" w:sz="0" w:space="0" w:color="auto"/>
        <w:bottom w:val="none" w:sz="0" w:space="0" w:color="auto"/>
        <w:right w:val="none" w:sz="0" w:space="0" w:color="auto"/>
      </w:divBdr>
    </w:div>
    <w:div w:id="1109550767">
      <w:bodyDiv w:val="1"/>
      <w:marLeft w:val="0"/>
      <w:marRight w:val="0"/>
      <w:marTop w:val="0"/>
      <w:marBottom w:val="0"/>
      <w:divBdr>
        <w:top w:val="none" w:sz="0" w:space="0" w:color="auto"/>
        <w:left w:val="none" w:sz="0" w:space="0" w:color="auto"/>
        <w:bottom w:val="none" w:sz="0" w:space="0" w:color="auto"/>
        <w:right w:val="none" w:sz="0" w:space="0" w:color="auto"/>
      </w:divBdr>
    </w:div>
    <w:div w:id="1125081136">
      <w:bodyDiv w:val="1"/>
      <w:marLeft w:val="0"/>
      <w:marRight w:val="0"/>
      <w:marTop w:val="0"/>
      <w:marBottom w:val="0"/>
      <w:divBdr>
        <w:top w:val="none" w:sz="0" w:space="0" w:color="auto"/>
        <w:left w:val="none" w:sz="0" w:space="0" w:color="auto"/>
        <w:bottom w:val="none" w:sz="0" w:space="0" w:color="auto"/>
        <w:right w:val="none" w:sz="0" w:space="0" w:color="auto"/>
      </w:divBdr>
    </w:div>
    <w:div w:id="1139689985">
      <w:bodyDiv w:val="1"/>
      <w:marLeft w:val="0"/>
      <w:marRight w:val="0"/>
      <w:marTop w:val="0"/>
      <w:marBottom w:val="0"/>
      <w:divBdr>
        <w:top w:val="none" w:sz="0" w:space="0" w:color="auto"/>
        <w:left w:val="none" w:sz="0" w:space="0" w:color="auto"/>
        <w:bottom w:val="none" w:sz="0" w:space="0" w:color="auto"/>
        <w:right w:val="none" w:sz="0" w:space="0" w:color="auto"/>
      </w:divBdr>
    </w:div>
    <w:div w:id="1178349617">
      <w:bodyDiv w:val="1"/>
      <w:marLeft w:val="0"/>
      <w:marRight w:val="0"/>
      <w:marTop w:val="0"/>
      <w:marBottom w:val="0"/>
      <w:divBdr>
        <w:top w:val="none" w:sz="0" w:space="0" w:color="auto"/>
        <w:left w:val="none" w:sz="0" w:space="0" w:color="auto"/>
        <w:bottom w:val="none" w:sz="0" w:space="0" w:color="auto"/>
        <w:right w:val="none" w:sz="0" w:space="0" w:color="auto"/>
      </w:divBdr>
    </w:div>
    <w:div w:id="1181625266">
      <w:bodyDiv w:val="1"/>
      <w:marLeft w:val="0"/>
      <w:marRight w:val="0"/>
      <w:marTop w:val="0"/>
      <w:marBottom w:val="0"/>
      <w:divBdr>
        <w:top w:val="none" w:sz="0" w:space="0" w:color="auto"/>
        <w:left w:val="none" w:sz="0" w:space="0" w:color="auto"/>
        <w:bottom w:val="none" w:sz="0" w:space="0" w:color="auto"/>
        <w:right w:val="none" w:sz="0" w:space="0" w:color="auto"/>
      </w:divBdr>
    </w:div>
    <w:div w:id="1202397025">
      <w:bodyDiv w:val="1"/>
      <w:marLeft w:val="0"/>
      <w:marRight w:val="0"/>
      <w:marTop w:val="0"/>
      <w:marBottom w:val="0"/>
      <w:divBdr>
        <w:top w:val="none" w:sz="0" w:space="0" w:color="auto"/>
        <w:left w:val="none" w:sz="0" w:space="0" w:color="auto"/>
        <w:bottom w:val="none" w:sz="0" w:space="0" w:color="auto"/>
        <w:right w:val="none" w:sz="0" w:space="0" w:color="auto"/>
      </w:divBdr>
    </w:div>
    <w:div w:id="1203862693">
      <w:bodyDiv w:val="1"/>
      <w:marLeft w:val="0"/>
      <w:marRight w:val="0"/>
      <w:marTop w:val="0"/>
      <w:marBottom w:val="0"/>
      <w:divBdr>
        <w:top w:val="none" w:sz="0" w:space="0" w:color="auto"/>
        <w:left w:val="none" w:sz="0" w:space="0" w:color="auto"/>
        <w:bottom w:val="none" w:sz="0" w:space="0" w:color="auto"/>
        <w:right w:val="none" w:sz="0" w:space="0" w:color="auto"/>
      </w:divBdr>
    </w:div>
    <w:div w:id="1261451454">
      <w:bodyDiv w:val="1"/>
      <w:marLeft w:val="0"/>
      <w:marRight w:val="0"/>
      <w:marTop w:val="0"/>
      <w:marBottom w:val="0"/>
      <w:divBdr>
        <w:top w:val="none" w:sz="0" w:space="0" w:color="auto"/>
        <w:left w:val="none" w:sz="0" w:space="0" w:color="auto"/>
        <w:bottom w:val="none" w:sz="0" w:space="0" w:color="auto"/>
        <w:right w:val="none" w:sz="0" w:space="0" w:color="auto"/>
      </w:divBdr>
    </w:div>
    <w:div w:id="1276257044">
      <w:bodyDiv w:val="1"/>
      <w:marLeft w:val="0"/>
      <w:marRight w:val="0"/>
      <w:marTop w:val="0"/>
      <w:marBottom w:val="0"/>
      <w:divBdr>
        <w:top w:val="none" w:sz="0" w:space="0" w:color="auto"/>
        <w:left w:val="none" w:sz="0" w:space="0" w:color="auto"/>
        <w:bottom w:val="none" w:sz="0" w:space="0" w:color="auto"/>
        <w:right w:val="none" w:sz="0" w:space="0" w:color="auto"/>
      </w:divBdr>
    </w:div>
    <w:div w:id="1318339236">
      <w:bodyDiv w:val="1"/>
      <w:marLeft w:val="0"/>
      <w:marRight w:val="0"/>
      <w:marTop w:val="0"/>
      <w:marBottom w:val="0"/>
      <w:divBdr>
        <w:top w:val="none" w:sz="0" w:space="0" w:color="auto"/>
        <w:left w:val="none" w:sz="0" w:space="0" w:color="auto"/>
        <w:bottom w:val="none" w:sz="0" w:space="0" w:color="auto"/>
        <w:right w:val="none" w:sz="0" w:space="0" w:color="auto"/>
      </w:divBdr>
    </w:div>
    <w:div w:id="1321814440">
      <w:bodyDiv w:val="1"/>
      <w:marLeft w:val="0"/>
      <w:marRight w:val="0"/>
      <w:marTop w:val="0"/>
      <w:marBottom w:val="0"/>
      <w:divBdr>
        <w:top w:val="none" w:sz="0" w:space="0" w:color="auto"/>
        <w:left w:val="none" w:sz="0" w:space="0" w:color="auto"/>
        <w:bottom w:val="none" w:sz="0" w:space="0" w:color="auto"/>
        <w:right w:val="none" w:sz="0" w:space="0" w:color="auto"/>
      </w:divBdr>
    </w:div>
    <w:div w:id="1362169639">
      <w:bodyDiv w:val="1"/>
      <w:marLeft w:val="0"/>
      <w:marRight w:val="0"/>
      <w:marTop w:val="0"/>
      <w:marBottom w:val="0"/>
      <w:divBdr>
        <w:top w:val="none" w:sz="0" w:space="0" w:color="auto"/>
        <w:left w:val="none" w:sz="0" w:space="0" w:color="auto"/>
        <w:bottom w:val="none" w:sz="0" w:space="0" w:color="auto"/>
        <w:right w:val="none" w:sz="0" w:space="0" w:color="auto"/>
      </w:divBdr>
    </w:div>
    <w:div w:id="1366177625">
      <w:bodyDiv w:val="1"/>
      <w:marLeft w:val="0"/>
      <w:marRight w:val="0"/>
      <w:marTop w:val="0"/>
      <w:marBottom w:val="0"/>
      <w:divBdr>
        <w:top w:val="none" w:sz="0" w:space="0" w:color="auto"/>
        <w:left w:val="none" w:sz="0" w:space="0" w:color="auto"/>
        <w:bottom w:val="none" w:sz="0" w:space="0" w:color="auto"/>
        <w:right w:val="none" w:sz="0" w:space="0" w:color="auto"/>
      </w:divBdr>
    </w:div>
    <w:div w:id="1384868792">
      <w:bodyDiv w:val="1"/>
      <w:marLeft w:val="0"/>
      <w:marRight w:val="0"/>
      <w:marTop w:val="0"/>
      <w:marBottom w:val="0"/>
      <w:divBdr>
        <w:top w:val="none" w:sz="0" w:space="0" w:color="auto"/>
        <w:left w:val="none" w:sz="0" w:space="0" w:color="auto"/>
        <w:bottom w:val="none" w:sz="0" w:space="0" w:color="auto"/>
        <w:right w:val="none" w:sz="0" w:space="0" w:color="auto"/>
      </w:divBdr>
    </w:div>
    <w:div w:id="1484542296">
      <w:bodyDiv w:val="1"/>
      <w:marLeft w:val="0"/>
      <w:marRight w:val="0"/>
      <w:marTop w:val="0"/>
      <w:marBottom w:val="0"/>
      <w:divBdr>
        <w:top w:val="none" w:sz="0" w:space="0" w:color="auto"/>
        <w:left w:val="none" w:sz="0" w:space="0" w:color="auto"/>
        <w:bottom w:val="none" w:sz="0" w:space="0" w:color="auto"/>
        <w:right w:val="none" w:sz="0" w:space="0" w:color="auto"/>
      </w:divBdr>
    </w:div>
    <w:div w:id="1560243606">
      <w:bodyDiv w:val="1"/>
      <w:marLeft w:val="0"/>
      <w:marRight w:val="0"/>
      <w:marTop w:val="0"/>
      <w:marBottom w:val="0"/>
      <w:divBdr>
        <w:top w:val="none" w:sz="0" w:space="0" w:color="auto"/>
        <w:left w:val="none" w:sz="0" w:space="0" w:color="auto"/>
        <w:bottom w:val="none" w:sz="0" w:space="0" w:color="auto"/>
        <w:right w:val="none" w:sz="0" w:space="0" w:color="auto"/>
      </w:divBdr>
    </w:div>
    <w:div w:id="1563172858">
      <w:bodyDiv w:val="1"/>
      <w:marLeft w:val="0"/>
      <w:marRight w:val="0"/>
      <w:marTop w:val="0"/>
      <w:marBottom w:val="0"/>
      <w:divBdr>
        <w:top w:val="none" w:sz="0" w:space="0" w:color="auto"/>
        <w:left w:val="none" w:sz="0" w:space="0" w:color="auto"/>
        <w:bottom w:val="none" w:sz="0" w:space="0" w:color="auto"/>
        <w:right w:val="none" w:sz="0" w:space="0" w:color="auto"/>
      </w:divBdr>
    </w:div>
    <w:div w:id="1564875133">
      <w:bodyDiv w:val="1"/>
      <w:marLeft w:val="0"/>
      <w:marRight w:val="0"/>
      <w:marTop w:val="0"/>
      <w:marBottom w:val="0"/>
      <w:divBdr>
        <w:top w:val="none" w:sz="0" w:space="0" w:color="auto"/>
        <w:left w:val="none" w:sz="0" w:space="0" w:color="auto"/>
        <w:bottom w:val="none" w:sz="0" w:space="0" w:color="auto"/>
        <w:right w:val="none" w:sz="0" w:space="0" w:color="auto"/>
      </w:divBdr>
    </w:div>
    <w:div w:id="1591622195">
      <w:bodyDiv w:val="1"/>
      <w:marLeft w:val="0"/>
      <w:marRight w:val="0"/>
      <w:marTop w:val="0"/>
      <w:marBottom w:val="0"/>
      <w:divBdr>
        <w:top w:val="none" w:sz="0" w:space="0" w:color="auto"/>
        <w:left w:val="none" w:sz="0" w:space="0" w:color="auto"/>
        <w:bottom w:val="none" w:sz="0" w:space="0" w:color="auto"/>
        <w:right w:val="none" w:sz="0" w:space="0" w:color="auto"/>
      </w:divBdr>
    </w:div>
    <w:div w:id="1638796528">
      <w:bodyDiv w:val="1"/>
      <w:marLeft w:val="0"/>
      <w:marRight w:val="0"/>
      <w:marTop w:val="0"/>
      <w:marBottom w:val="0"/>
      <w:divBdr>
        <w:top w:val="none" w:sz="0" w:space="0" w:color="auto"/>
        <w:left w:val="none" w:sz="0" w:space="0" w:color="auto"/>
        <w:bottom w:val="none" w:sz="0" w:space="0" w:color="auto"/>
        <w:right w:val="none" w:sz="0" w:space="0" w:color="auto"/>
      </w:divBdr>
    </w:div>
    <w:div w:id="1673604890">
      <w:bodyDiv w:val="1"/>
      <w:marLeft w:val="0"/>
      <w:marRight w:val="0"/>
      <w:marTop w:val="0"/>
      <w:marBottom w:val="0"/>
      <w:divBdr>
        <w:top w:val="none" w:sz="0" w:space="0" w:color="auto"/>
        <w:left w:val="none" w:sz="0" w:space="0" w:color="auto"/>
        <w:bottom w:val="none" w:sz="0" w:space="0" w:color="auto"/>
        <w:right w:val="none" w:sz="0" w:space="0" w:color="auto"/>
      </w:divBdr>
    </w:div>
    <w:div w:id="1752655573">
      <w:bodyDiv w:val="1"/>
      <w:marLeft w:val="0"/>
      <w:marRight w:val="0"/>
      <w:marTop w:val="0"/>
      <w:marBottom w:val="0"/>
      <w:divBdr>
        <w:top w:val="none" w:sz="0" w:space="0" w:color="auto"/>
        <w:left w:val="none" w:sz="0" w:space="0" w:color="auto"/>
        <w:bottom w:val="none" w:sz="0" w:space="0" w:color="auto"/>
        <w:right w:val="none" w:sz="0" w:space="0" w:color="auto"/>
      </w:divBdr>
      <w:divsChild>
        <w:div w:id="1891459673">
          <w:marLeft w:val="0"/>
          <w:marRight w:val="0"/>
          <w:marTop w:val="0"/>
          <w:marBottom w:val="0"/>
          <w:divBdr>
            <w:top w:val="single" w:sz="2" w:space="0" w:color="auto"/>
            <w:left w:val="single" w:sz="2" w:space="0" w:color="auto"/>
            <w:bottom w:val="single" w:sz="2" w:space="0" w:color="auto"/>
            <w:right w:val="single" w:sz="2" w:space="0" w:color="auto"/>
          </w:divBdr>
          <w:divsChild>
            <w:div w:id="14334772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72553845">
      <w:bodyDiv w:val="1"/>
      <w:marLeft w:val="0"/>
      <w:marRight w:val="0"/>
      <w:marTop w:val="0"/>
      <w:marBottom w:val="0"/>
      <w:divBdr>
        <w:top w:val="none" w:sz="0" w:space="0" w:color="auto"/>
        <w:left w:val="none" w:sz="0" w:space="0" w:color="auto"/>
        <w:bottom w:val="none" w:sz="0" w:space="0" w:color="auto"/>
        <w:right w:val="none" w:sz="0" w:space="0" w:color="auto"/>
      </w:divBdr>
      <w:divsChild>
        <w:div w:id="763110406">
          <w:marLeft w:val="0"/>
          <w:marRight w:val="0"/>
          <w:marTop w:val="0"/>
          <w:marBottom w:val="0"/>
          <w:divBdr>
            <w:top w:val="single" w:sz="2" w:space="0" w:color="auto"/>
            <w:left w:val="single" w:sz="2" w:space="0" w:color="auto"/>
            <w:bottom w:val="single" w:sz="2" w:space="0" w:color="auto"/>
            <w:right w:val="single" w:sz="2" w:space="0" w:color="auto"/>
          </w:divBdr>
          <w:divsChild>
            <w:div w:id="2014412423">
              <w:marLeft w:val="0"/>
              <w:marRight w:val="0"/>
              <w:marTop w:val="0"/>
              <w:marBottom w:val="0"/>
              <w:divBdr>
                <w:top w:val="single" w:sz="2" w:space="0" w:color="auto"/>
                <w:left w:val="single" w:sz="2" w:space="0" w:color="auto"/>
                <w:bottom w:val="single" w:sz="2" w:space="0" w:color="auto"/>
                <w:right w:val="single" w:sz="2" w:space="0" w:color="auto"/>
              </w:divBdr>
              <w:divsChild>
                <w:div w:id="2112046945">
                  <w:marLeft w:val="0"/>
                  <w:marRight w:val="0"/>
                  <w:marTop w:val="0"/>
                  <w:marBottom w:val="0"/>
                  <w:divBdr>
                    <w:top w:val="single" w:sz="2" w:space="0" w:color="auto"/>
                    <w:left w:val="single" w:sz="2" w:space="0" w:color="auto"/>
                    <w:bottom w:val="single" w:sz="2" w:space="0" w:color="auto"/>
                    <w:right w:val="single" w:sz="2" w:space="0" w:color="auto"/>
                  </w:divBdr>
                  <w:divsChild>
                    <w:div w:id="880556973">
                      <w:marLeft w:val="0"/>
                      <w:marRight w:val="0"/>
                      <w:marTop w:val="0"/>
                      <w:marBottom w:val="0"/>
                      <w:divBdr>
                        <w:top w:val="single" w:sz="2" w:space="0" w:color="auto"/>
                        <w:left w:val="single" w:sz="2" w:space="0" w:color="auto"/>
                        <w:bottom w:val="single" w:sz="2" w:space="0" w:color="auto"/>
                        <w:right w:val="single" w:sz="2" w:space="0" w:color="auto"/>
                      </w:divBdr>
                      <w:divsChild>
                        <w:div w:id="1894727702">
                          <w:marLeft w:val="0"/>
                          <w:marRight w:val="0"/>
                          <w:marTop w:val="0"/>
                          <w:marBottom w:val="0"/>
                          <w:divBdr>
                            <w:top w:val="single" w:sz="2" w:space="0" w:color="auto"/>
                            <w:left w:val="single" w:sz="2" w:space="0" w:color="auto"/>
                            <w:bottom w:val="single" w:sz="2" w:space="0" w:color="auto"/>
                            <w:right w:val="single" w:sz="2" w:space="0" w:color="auto"/>
                          </w:divBdr>
                          <w:divsChild>
                            <w:div w:id="464277839">
                              <w:marLeft w:val="0"/>
                              <w:marRight w:val="0"/>
                              <w:marTop w:val="0"/>
                              <w:marBottom w:val="0"/>
                              <w:divBdr>
                                <w:top w:val="single" w:sz="2" w:space="0" w:color="auto"/>
                                <w:left w:val="single" w:sz="2" w:space="0" w:color="auto"/>
                                <w:bottom w:val="single" w:sz="2" w:space="0" w:color="auto"/>
                                <w:right w:val="single" w:sz="2" w:space="0" w:color="auto"/>
                              </w:divBdr>
                              <w:divsChild>
                                <w:div w:id="227345385">
                                  <w:marLeft w:val="0"/>
                                  <w:marRight w:val="0"/>
                                  <w:marTop w:val="0"/>
                                  <w:marBottom w:val="0"/>
                                  <w:divBdr>
                                    <w:top w:val="single" w:sz="2" w:space="0" w:color="auto"/>
                                    <w:left w:val="single" w:sz="2" w:space="0" w:color="auto"/>
                                    <w:bottom w:val="single" w:sz="2" w:space="0" w:color="auto"/>
                                    <w:right w:val="single" w:sz="2" w:space="0" w:color="auto"/>
                                  </w:divBdr>
                                  <w:divsChild>
                                    <w:div w:id="5400200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798253786">
      <w:bodyDiv w:val="1"/>
      <w:marLeft w:val="0"/>
      <w:marRight w:val="0"/>
      <w:marTop w:val="0"/>
      <w:marBottom w:val="0"/>
      <w:divBdr>
        <w:top w:val="none" w:sz="0" w:space="0" w:color="auto"/>
        <w:left w:val="none" w:sz="0" w:space="0" w:color="auto"/>
        <w:bottom w:val="none" w:sz="0" w:space="0" w:color="auto"/>
        <w:right w:val="none" w:sz="0" w:space="0" w:color="auto"/>
      </w:divBdr>
    </w:div>
    <w:div w:id="1876966486">
      <w:bodyDiv w:val="1"/>
      <w:marLeft w:val="0"/>
      <w:marRight w:val="0"/>
      <w:marTop w:val="0"/>
      <w:marBottom w:val="0"/>
      <w:divBdr>
        <w:top w:val="none" w:sz="0" w:space="0" w:color="auto"/>
        <w:left w:val="none" w:sz="0" w:space="0" w:color="auto"/>
        <w:bottom w:val="none" w:sz="0" w:space="0" w:color="auto"/>
        <w:right w:val="none" w:sz="0" w:space="0" w:color="auto"/>
      </w:divBdr>
    </w:div>
    <w:div w:id="1888224158">
      <w:bodyDiv w:val="1"/>
      <w:marLeft w:val="0"/>
      <w:marRight w:val="0"/>
      <w:marTop w:val="0"/>
      <w:marBottom w:val="0"/>
      <w:divBdr>
        <w:top w:val="none" w:sz="0" w:space="0" w:color="auto"/>
        <w:left w:val="none" w:sz="0" w:space="0" w:color="auto"/>
        <w:bottom w:val="none" w:sz="0" w:space="0" w:color="auto"/>
        <w:right w:val="none" w:sz="0" w:space="0" w:color="auto"/>
      </w:divBdr>
    </w:div>
    <w:div w:id="1896502628">
      <w:bodyDiv w:val="1"/>
      <w:marLeft w:val="0"/>
      <w:marRight w:val="0"/>
      <w:marTop w:val="0"/>
      <w:marBottom w:val="0"/>
      <w:divBdr>
        <w:top w:val="none" w:sz="0" w:space="0" w:color="auto"/>
        <w:left w:val="none" w:sz="0" w:space="0" w:color="auto"/>
        <w:bottom w:val="none" w:sz="0" w:space="0" w:color="auto"/>
        <w:right w:val="none" w:sz="0" w:space="0" w:color="auto"/>
      </w:divBdr>
    </w:div>
    <w:div w:id="1929190692">
      <w:bodyDiv w:val="1"/>
      <w:marLeft w:val="0"/>
      <w:marRight w:val="0"/>
      <w:marTop w:val="0"/>
      <w:marBottom w:val="0"/>
      <w:divBdr>
        <w:top w:val="none" w:sz="0" w:space="0" w:color="auto"/>
        <w:left w:val="none" w:sz="0" w:space="0" w:color="auto"/>
        <w:bottom w:val="none" w:sz="0" w:space="0" w:color="auto"/>
        <w:right w:val="none" w:sz="0" w:space="0" w:color="auto"/>
      </w:divBdr>
    </w:div>
    <w:div w:id="1938783544">
      <w:bodyDiv w:val="1"/>
      <w:marLeft w:val="0"/>
      <w:marRight w:val="0"/>
      <w:marTop w:val="0"/>
      <w:marBottom w:val="0"/>
      <w:divBdr>
        <w:top w:val="none" w:sz="0" w:space="0" w:color="auto"/>
        <w:left w:val="none" w:sz="0" w:space="0" w:color="auto"/>
        <w:bottom w:val="none" w:sz="0" w:space="0" w:color="auto"/>
        <w:right w:val="none" w:sz="0" w:space="0" w:color="auto"/>
      </w:divBdr>
    </w:div>
    <w:div w:id="1944025753">
      <w:bodyDiv w:val="1"/>
      <w:marLeft w:val="0"/>
      <w:marRight w:val="0"/>
      <w:marTop w:val="0"/>
      <w:marBottom w:val="0"/>
      <w:divBdr>
        <w:top w:val="none" w:sz="0" w:space="0" w:color="auto"/>
        <w:left w:val="none" w:sz="0" w:space="0" w:color="auto"/>
        <w:bottom w:val="none" w:sz="0" w:space="0" w:color="auto"/>
        <w:right w:val="none" w:sz="0" w:space="0" w:color="auto"/>
      </w:divBdr>
    </w:div>
    <w:div w:id="1959800262">
      <w:bodyDiv w:val="1"/>
      <w:marLeft w:val="0"/>
      <w:marRight w:val="0"/>
      <w:marTop w:val="0"/>
      <w:marBottom w:val="0"/>
      <w:divBdr>
        <w:top w:val="none" w:sz="0" w:space="0" w:color="auto"/>
        <w:left w:val="none" w:sz="0" w:space="0" w:color="auto"/>
        <w:bottom w:val="none" w:sz="0" w:space="0" w:color="auto"/>
        <w:right w:val="none" w:sz="0" w:space="0" w:color="auto"/>
      </w:divBdr>
      <w:divsChild>
        <w:div w:id="1204758107">
          <w:marLeft w:val="0"/>
          <w:marRight w:val="0"/>
          <w:marTop w:val="0"/>
          <w:marBottom w:val="0"/>
          <w:divBdr>
            <w:top w:val="single" w:sz="2" w:space="0" w:color="E5E7EB"/>
            <w:left w:val="single" w:sz="2" w:space="0" w:color="E5E7EB"/>
            <w:bottom w:val="single" w:sz="2" w:space="0" w:color="E5E7EB"/>
            <w:right w:val="single" w:sz="2" w:space="0" w:color="E5E7EB"/>
          </w:divBdr>
          <w:divsChild>
            <w:div w:id="674456715">
              <w:marLeft w:val="0"/>
              <w:marRight w:val="0"/>
              <w:marTop w:val="100"/>
              <w:marBottom w:val="100"/>
              <w:divBdr>
                <w:top w:val="single" w:sz="2" w:space="0" w:color="E5E7EB"/>
                <w:left w:val="single" w:sz="2" w:space="0" w:color="E5E7EB"/>
                <w:bottom w:val="single" w:sz="2" w:space="0" w:color="E5E7EB"/>
                <w:right w:val="single" w:sz="2" w:space="0" w:color="E5E7EB"/>
              </w:divBdr>
              <w:divsChild>
                <w:div w:id="1235970366">
                  <w:marLeft w:val="0"/>
                  <w:marRight w:val="0"/>
                  <w:marTop w:val="0"/>
                  <w:marBottom w:val="0"/>
                  <w:divBdr>
                    <w:top w:val="single" w:sz="2" w:space="0" w:color="E5E7EB"/>
                    <w:left w:val="single" w:sz="2" w:space="0" w:color="E5E7EB"/>
                    <w:bottom w:val="single" w:sz="2" w:space="0" w:color="E5E7EB"/>
                    <w:right w:val="single" w:sz="2" w:space="0" w:color="E5E7EB"/>
                  </w:divBdr>
                  <w:divsChild>
                    <w:div w:id="117113601">
                      <w:marLeft w:val="0"/>
                      <w:marRight w:val="0"/>
                      <w:marTop w:val="0"/>
                      <w:marBottom w:val="0"/>
                      <w:divBdr>
                        <w:top w:val="single" w:sz="2" w:space="0" w:color="E5E7EB"/>
                        <w:left w:val="single" w:sz="2" w:space="0" w:color="E5E7EB"/>
                        <w:bottom w:val="single" w:sz="2" w:space="0" w:color="E5E7EB"/>
                        <w:right w:val="single" w:sz="2" w:space="0" w:color="E5E7EB"/>
                      </w:divBdr>
                      <w:divsChild>
                        <w:div w:id="121191618">
                          <w:marLeft w:val="0"/>
                          <w:marRight w:val="0"/>
                          <w:marTop w:val="0"/>
                          <w:marBottom w:val="0"/>
                          <w:divBdr>
                            <w:top w:val="single" w:sz="2" w:space="0" w:color="E5E7EB"/>
                            <w:left w:val="single" w:sz="2" w:space="0" w:color="E5E7EB"/>
                            <w:bottom w:val="single" w:sz="2" w:space="0" w:color="E5E7EB"/>
                            <w:right w:val="single" w:sz="2" w:space="0" w:color="E5E7EB"/>
                          </w:divBdr>
                          <w:divsChild>
                            <w:div w:id="151071360">
                              <w:marLeft w:val="0"/>
                              <w:marRight w:val="0"/>
                              <w:marTop w:val="0"/>
                              <w:marBottom w:val="0"/>
                              <w:divBdr>
                                <w:top w:val="single" w:sz="2" w:space="0" w:color="E5E7EB"/>
                                <w:left w:val="single" w:sz="2" w:space="0" w:color="E5E7EB"/>
                                <w:bottom w:val="single" w:sz="2" w:space="0" w:color="E5E7EB"/>
                                <w:right w:val="single" w:sz="2" w:space="0" w:color="E5E7EB"/>
                              </w:divBdr>
                              <w:divsChild>
                                <w:div w:id="1748919093">
                                  <w:marLeft w:val="0"/>
                                  <w:marRight w:val="0"/>
                                  <w:marTop w:val="0"/>
                                  <w:marBottom w:val="0"/>
                                  <w:divBdr>
                                    <w:top w:val="single" w:sz="2" w:space="0" w:color="E5E7EB"/>
                                    <w:left w:val="single" w:sz="2" w:space="0" w:color="E5E7EB"/>
                                    <w:bottom w:val="single" w:sz="2" w:space="0" w:color="E5E7EB"/>
                                    <w:right w:val="single" w:sz="2" w:space="0" w:color="E5E7EB"/>
                                  </w:divBdr>
                                  <w:divsChild>
                                    <w:div w:id="110056783">
                                      <w:marLeft w:val="0"/>
                                      <w:marRight w:val="0"/>
                                      <w:marTop w:val="0"/>
                                      <w:marBottom w:val="0"/>
                                      <w:divBdr>
                                        <w:top w:val="single" w:sz="2" w:space="0" w:color="E5E7EB"/>
                                        <w:left w:val="single" w:sz="2" w:space="0" w:color="E5E7EB"/>
                                        <w:bottom w:val="single" w:sz="2" w:space="0" w:color="E5E7EB"/>
                                        <w:right w:val="single" w:sz="2" w:space="0" w:color="E5E7EB"/>
                                      </w:divBdr>
                                      <w:divsChild>
                                        <w:div w:id="1186795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 w:id="2004315884">
      <w:bodyDiv w:val="1"/>
      <w:marLeft w:val="0"/>
      <w:marRight w:val="0"/>
      <w:marTop w:val="0"/>
      <w:marBottom w:val="0"/>
      <w:divBdr>
        <w:top w:val="none" w:sz="0" w:space="0" w:color="auto"/>
        <w:left w:val="none" w:sz="0" w:space="0" w:color="auto"/>
        <w:bottom w:val="none" w:sz="0" w:space="0" w:color="auto"/>
        <w:right w:val="none" w:sz="0" w:space="0" w:color="auto"/>
      </w:divBdr>
    </w:div>
    <w:div w:id="2031175378">
      <w:bodyDiv w:val="1"/>
      <w:marLeft w:val="0"/>
      <w:marRight w:val="0"/>
      <w:marTop w:val="0"/>
      <w:marBottom w:val="0"/>
      <w:divBdr>
        <w:top w:val="none" w:sz="0" w:space="0" w:color="auto"/>
        <w:left w:val="none" w:sz="0" w:space="0" w:color="auto"/>
        <w:bottom w:val="none" w:sz="0" w:space="0" w:color="auto"/>
        <w:right w:val="none" w:sz="0" w:space="0" w:color="auto"/>
      </w:divBdr>
    </w:div>
    <w:div w:id="2048216307">
      <w:bodyDiv w:val="1"/>
      <w:marLeft w:val="0"/>
      <w:marRight w:val="0"/>
      <w:marTop w:val="0"/>
      <w:marBottom w:val="0"/>
      <w:divBdr>
        <w:top w:val="none" w:sz="0" w:space="0" w:color="auto"/>
        <w:left w:val="none" w:sz="0" w:space="0" w:color="auto"/>
        <w:bottom w:val="none" w:sz="0" w:space="0" w:color="auto"/>
        <w:right w:val="none" w:sz="0" w:space="0" w:color="auto"/>
      </w:divBdr>
    </w:div>
    <w:div w:id="2049261559">
      <w:bodyDiv w:val="1"/>
      <w:marLeft w:val="0"/>
      <w:marRight w:val="0"/>
      <w:marTop w:val="0"/>
      <w:marBottom w:val="0"/>
      <w:divBdr>
        <w:top w:val="none" w:sz="0" w:space="0" w:color="auto"/>
        <w:left w:val="none" w:sz="0" w:space="0" w:color="auto"/>
        <w:bottom w:val="none" w:sz="0" w:space="0" w:color="auto"/>
        <w:right w:val="none" w:sz="0" w:space="0" w:color="auto"/>
      </w:divBdr>
    </w:div>
    <w:div w:id="2083940928">
      <w:bodyDiv w:val="1"/>
      <w:marLeft w:val="0"/>
      <w:marRight w:val="0"/>
      <w:marTop w:val="0"/>
      <w:marBottom w:val="0"/>
      <w:divBdr>
        <w:top w:val="none" w:sz="0" w:space="0" w:color="auto"/>
        <w:left w:val="none" w:sz="0" w:space="0" w:color="auto"/>
        <w:bottom w:val="none" w:sz="0" w:space="0" w:color="auto"/>
        <w:right w:val="none" w:sz="0" w:space="0" w:color="auto"/>
      </w:divBdr>
    </w:div>
    <w:div w:id="21315053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CBD14-4696-482F-8274-B77774C5D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22685</TotalTime>
  <Pages>5</Pages>
  <Words>1395</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Discussion  </vt:lpstr>
      <vt:lpstr>    UE specific time/frequency configuration of SBFD subbands</vt:lpstr>
      <vt:lpstr>    Guard period Configuration </vt:lpstr>
      <vt:lpstr>    Separate FH for PUCCH in SBFD and non-SBFD symbols </vt:lpstr>
      <vt:lpstr>    Separate UL power control for SRS, PUCCH and PUSCH in SBFD and non-SBFD symbols</vt:lpstr>
      <vt:lpstr>Conclusion</vt:lpstr>
      <vt:lpstr>References</vt:lpstr>
    </vt:vector>
  </TitlesOfParts>
  <Company>Huawei Technologies</Company>
  <LinksUpToDate>false</LinksUpToDate>
  <CharactersWithSpaces>9330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JanShahid</cp:lastModifiedBy>
  <cp:revision>1437</cp:revision>
  <cp:lastPrinted>2007-06-18T22:08:00Z</cp:lastPrinted>
  <dcterms:created xsi:type="dcterms:W3CDTF">2022-11-07T09:02:00Z</dcterms:created>
  <dcterms:modified xsi:type="dcterms:W3CDTF">2025-05-09T03:27:00Z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2052-11.1.0.11636</vt:lpwstr>
  </property>
  <property fmtid="{D5CDD505-2E9C-101B-9397-08002B2CF9AE}" pid="23" name="ICV">
    <vt:lpwstr>4A5D27D87F934F04A10DBE6DE35FAFD4</vt:lpwstr>
  </property>
</Properties>
</file>