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6"/>
        <w:tabs>
          <w:tab w:val="left" w:pos="1980"/>
        </w:tabs>
        <w:spacing w:after="0"/>
        <w:rPr>
          <w:rFonts w:ascii="Times New Roman" w:hAnsi="Times New Roman" w:eastAsiaTheme="minorHAnsi"/>
          <w:b/>
          <w:bCs/>
          <w:sz w:val="24"/>
          <w:szCs w:val="24"/>
          <w:lang w:val="en-US"/>
        </w:rPr>
      </w:pPr>
      <w:r>
        <w:rPr>
          <w:rFonts w:ascii="Times New Roman" w:hAnsi="Times New Roman" w:eastAsiaTheme="minorHAnsi"/>
          <w:b/>
          <w:bCs/>
          <w:sz w:val="24"/>
          <w:szCs w:val="24"/>
          <w:lang w:val="en-US"/>
        </w:rPr>
        <w:t>3GPP TSG RAN WG1 #118</w:t>
      </w:r>
      <w:r>
        <w:rPr>
          <w:rFonts w:ascii="Times New Roman" w:hAnsi="Times New Roman" w:eastAsiaTheme="minorHAnsi"/>
          <w:b/>
          <w:bCs/>
          <w:sz w:val="24"/>
          <w:szCs w:val="24"/>
          <w:lang w:val="en-US"/>
        </w:rPr>
        <w:tab/>
      </w:r>
      <w:r>
        <w:rPr>
          <w:rFonts w:ascii="Times New Roman" w:hAnsi="Times New Roman" w:eastAsiaTheme="minorHAnsi"/>
          <w:b/>
          <w:bCs/>
          <w:sz w:val="24"/>
          <w:szCs w:val="24"/>
          <w:lang w:val="en-US"/>
        </w:rPr>
        <w:tab/>
      </w:r>
      <w:r>
        <w:rPr>
          <w:rFonts w:ascii="Times New Roman" w:hAnsi="Times New Roman" w:eastAsiaTheme="minorHAnsi"/>
          <w:b/>
          <w:bCs/>
          <w:sz w:val="24"/>
          <w:szCs w:val="24"/>
          <w:lang w:val="en-US"/>
        </w:rPr>
        <w:tab/>
      </w:r>
      <w:r>
        <w:rPr>
          <w:rFonts w:ascii="Times New Roman" w:hAnsi="Times New Roman" w:eastAsiaTheme="minorHAnsi"/>
          <w:b/>
          <w:bCs/>
          <w:sz w:val="24"/>
          <w:szCs w:val="24"/>
          <w:lang w:val="en-US"/>
        </w:rPr>
        <w:tab/>
      </w:r>
      <w:r>
        <w:rPr>
          <w:rFonts w:ascii="Times New Roman" w:hAnsi="Times New Roman" w:eastAsiaTheme="minorHAnsi"/>
          <w:b/>
          <w:bCs/>
          <w:sz w:val="24"/>
          <w:szCs w:val="24"/>
          <w:lang w:val="en-US"/>
        </w:rPr>
        <w:tab/>
      </w:r>
      <w:r>
        <w:rPr>
          <w:rFonts w:ascii="Times New Roman" w:hAnsi="Times New Roman" w:eastAsiaTheme="minorHAnsi"/>
          <w:b/>
          <w:bCs/>
          <w:sz w:val="24"/>
          <w:szCs w:val="24"/>
          <w:lang w:val="en-US"/>
        </w:rPr>
        <w:tab/>
      </w:r>
      <w:r>
        <w:rPr>
          <w:rFonts w:ascii="Times New Roman" w:hAnsi="Times New Roman" w:eastAsiaTheme="minorHAnsi"/>
          <w:b/>
          <w:bCs/>
          <w:sz w:val="24"/>
          <w:szCs w:val="24"/>
          <w:lang w:val="en-US"/>
        </w:rPr>
        <w:t xml:space="preserve">          </w:t>
      </w:r>
      <w:r>
        <w:rPr>
          <w:rFonts w:ascii="Times New Roman" w:hAnsi="Times New Roman" w:eastAsiaTheme="minorHAnsi"/>
          <w:b/>
          <w:sz w:val="24"/>
          <w:szCs w:val="24"/>
          <w:lang w:val="en-US"/>
        </w:rPr>
        <w:t>R1-</w:t>
      </w:r>
      <w:r>
        <w:rPr>
          <w:rFonts w:ascii="Times New Roman" w:hAnsi="Times New Roman" w:eastAsiaTheme="minorHAnsi"/>
          <w:b/>
          <w:bCs/>
          <w:sz w:val="24"/>
          <w:szCs w:val="24"/>
          <w:lang w:val="en-US"/>
        </w:rPr>
        <w:t>2406503</w:t>
      </w:r>
    </w:p>
    <w:p>
      <w:pPr>
        <w:pStyle w:val="36"/>
        <w:tabs>
          <w:tab w:val="left" w:pos="1980"/>
        </w:tabs>
        <w:spacing w:after="0"/>
        <w:jc w:val="both"/>
        <w:rPr>
          <w:rFonts w:ascii="Times New Roman" w:hAnsi="Times New Roman" w:eastAsiaTheme="minorHAnsi"/>
          <w:b/>
          <w:bCs/>
          <w:sz w:val="24"/>
          <w:szCs w:val="24"/>
          <w:lang w:val="en-US"/>
        </w:rPr>
      </w:pPr>
      <w:r>
        <w:rPr>
          <w:rFonts w:ascii="Times New Roman" w:hAnsi="Times New Roman" w:eastAsiaTheme="minorHAnsi"/>
          <w:b/>
          <w:bCs/>
          <w:sz w:val="24"/>
          <w:szCs w:val="24"/>
          <w:lang w:val="en-US"/>
        </w:rPr>
        <w:t xml:space="preserve">Maastricht, </w:t>
      </w:r>
      <w:r>
        <w:rPr>
          <w:rFonts w:hint="default" w:ascii="Times New Roman" w:hAnsi="Times New Roman" w:eastAsiaTheme="minorHAnsi"/>
          <w:b/>
          <w:bCs/>
          <w:sz w:val="24"/>
          <w:szCs w:val="24"/>
          <w:lang w:val="en-US"/>
        </w:rPr>
        <w:t>NL</w:t>
      </w:r>
      <w:bookmarkStart w:id="27" w:name="_GoBack"/>
      <w:bookmarkEnd w:id="27"/>
      <w:r>
        <w:rPr>
          <w:rFonts w:ascii="Times New Roman" w:hAnsi="Times New Roman" w:eastAsiaTheme="minorHAnsi"/>
          <w:b/>
          <w:bCs/>
          <w:sz w:val="24"/>
          <w:szCs w:val="24"/>
          <w:lang w:val="en-US"/>
        </w:rPr>
        <w:t>, August 19</w:t>
      </w:r>
      <w:r>
        <w:rPr>
          <w:rFonts w:ascii="Times New Roman" w:hAnsi="Times New Roman" w:eastAsiaTheme="minorHAnsi"/>
          <w:b/>
          <w:bCs/>
          <w:sz w:val="24"/>
          <w:szCs w:val="24"/>
          <w:vertAlign w:val="superscript"/>
          <w:lang w:val="en-US"/>
        </w:rPr>
        <w:t>th</w:t>
      </w:r>
      <w:r>
        <w:rPr>
          <w:rFonts w:ascii="Times New Roman" w:hAnsi="Times New Roman" w:eastAsiaTheme="minorHAnsi"/>
          <w:b/>
          <w:bCs/>
          <w:sz w:val="24"/>
          <w:szCs w:val="24"/>
          <w:lang w:val="en-US"/>
        </w:rPr>
        <w:t>-23</w:t>
      </w:r>
      <w:r>
        <w:rPr>
          <w:rFonts w:ascii="Times New Roman" w:hAnsi="Times New Roman" w:eastAsiaTheme="minorHAnsi"/>
          <w:b/>
          <w:bCs/>
          <w:sz w:val="24"/>
          <w:szCs w:val="24"/>
          <w:vertAlign w:val="superscript"/>
          <w:lang w:val="en-US"/>
        </w:rPr>
        <w:t>rd</w:t>
      </w:r>
      <w:r>
        <w:rPr>
          <w:rFonts w:ascii="Times New Roman" w:hAnsi="Times New Roman" w:eastAsiaTheme="minorHAnsi"/>
          <w:b/>
          <w:bCs/>
          <w:sz w:val="24"/>
          <w:szCs w:val="24"/>
          <w:lang w:val="en-US"/>
        </w:rPr>
        <w:t>, 2024</w:t>
      </w:r>
    </w:p>
    <w:p>
      <w:pPr>
        <w:pStyle w:val="36"/>
        <w:tabs>
          <w:tab w:val="left" w:pos="1980"/>
        </w:tabs>
        <w:jc w:val="both"/>
        <w:rPr>
          <w:rFonts w:ascii="Times New Roman" w:hAnsi="Times New Roman"/>
          <w:b/>
          <w:bCs/>
          <w:sz w:val="24"/>
          <w:lang w:val="en-US"/>
        </w:rPr>
      </w:pPr>
    </w:p>
    <w:p>
      <w:pPr>
        <w:pStyle w:val="36"/>
        <w:tabs>
          <w:tab w:val="left" w:pos="1980"/>
        </w:tabs>
        <w:spacing w:after="0" w:line="276" w:lineRule="auto"/>
        <w:contextualSpacing/>
        <w:jc w:val="both"/>
        <w:rPr>
          <w:rFonts w:ascii="Times New Roman" w:hAnsi="Times New Roman"/>
          <w:b/>
          <w:bCs/>
          <w:sz w:val="22"/>
          <w:szCs w:val="22"/>
          <w:lang w:val="en-US" w:eastAsia="ja-JP"/>
        </w:rPr>
      </w:pPr>
      <w:r>
        <w:rPr>
          <w:rFonts w:ascii="Times New Roman" w:hAnsi="Times New Roman"/>
          <w:b/>
          <w:bCs/>
          <w:sz w:val="22"/>
          <w:szCs w:val="22"/>
          <w:lang w:val="en-US"/>
        </w:rPr>
        <w:t>Agenda Item:</w:t>
      </w:r>
      <w:r>
        <w:rPr>
          <w:rFonts w:ascii="Times New Roman" w:hAnsi="Times New Roman"/>
          <w:b/>
          <w:bCs/>
          <w:sz w:val="22"/>
          <w:szCs w:val="22"/>
          <w:lang w:val="en-US"/>
        </w:rPr>
        <w:tab/>
      </w:r>
      <w:r>
        <w:rPr>
          <w:rFonts w:ascii="Times New Roman" w:hAnsi="Times New Roman"/>
          <w:b/>
          <w:bCs/>
          <w:sz w:val="22"/>
          <w:szCs w:val="22"/>
          <w:lang w:val="en-US"/>
        </w:rPr>
        <w:t>9.1.3.3</w:t>
      </w:r>
      <w:r>
        <w:rPr>
          <w:rFonts w:ascii="Times New Roman" w:hAnsi="Times New Roman"/>
          <w:b/>
          <w:bCs/>
          <w:sz w:val="22"/>
          <w:szCs w:val="22"/>
          <w:lang w:val="en-US"/>
        </w:rPr>
        <w:tab/>
      </w:r>
    </w:p>
    <w:p>
      <w:pPr>
        <w:tabs>
          <w:tab w:val="left" w:pos="1985"/>
        </w:tabs>
        <w:spacing w:after="0" w:line="276" w:lineRule="auto"/>
        <w:contextualSpacing/>
        <w:rPr>
          <w:rFonts w:cs="Times New Roman"/>
          <w:bCs/>
        </w:rPr>
      </w:pPr>
      <w:r>
        <w:rPr>
          <w:rFonts w:cs="Times New Roman"/>
          <w:b/>
          <w:bCs/>
        </w:rPr>
        <w:t>Source:</w:t>
      </w:r>
      <w:r>
        <w:rPr>
          <w:rFonts w:cs="Times New Roman"/>
          <w:b/>
          <w:bCs/>
        </w:rPr>
        <w:tab/>
      </w:r>
      <w:r>
        <w:rPr>
          <w:rFonts w:cs="Times New Roman"/>
          <w:b/>
          <w:bCs/>
        </w:rPr>
        <w:t>InterDigital, Inc.</w:t>
      </w:r>
    </w:p>
    <w:p>
      <w:pPr>
        <w:spacing w:after="0" w:line="276" w:lineRule="auto"/>
        <w:ind w:left="1985" w:hanging="1985"/>
        <w:contextualSpacing/>
        <w:rPr>
          <w:rFonts w:cs="Times New Roman"/>
          <w:b/>
          <w:bCs/>
          <w:lang w:val="en-GB"/>
        </w:rPr>
      </w:pPr>
      <w:r>
        <w:rPr>
          <w:rFonts w:cs="Times New Roman"/>
          <w:b/>
          <w:bCs/>
        </w:rPr>
        <w:t>Title:</w:t>
      </w:r>
      <w:r>
        <w:rPr>
          <w:rFonts w:cs="Times New Roman"/>
          <w:b/>
          <w:bCs/>
        </w:rPr>
        <w:tab/>
      </w:r>
      <w:bookmarkStart w:id="0" w:name="_Hlk118196404"/>
      <w:r>
        <w:rPr>
          <w:rFonts w:cs="Times New Roman"/>
          <w:b/>
          <w:bCs/>
        </w:rPr>
        <w:t>Discussion on other aspects of AI/ML model and data</w:t>
      </w:r>
    </w:p>
    <w:bookmarkEnd w:id="0"/>
    <w:p>
      <w:pPr>
        <w:spacing w:after="0" w:line="276" w:lineRule="auto"/>
        <w:ind w:left="1985" w:hanging="1985"/>
        <w:contextualSpacing/>
        <w:rPr>
          <w:rFonts w:cs="Times New Roman"/>
          <w:b/>
          <w:bCs/>
        </w:rPr>
      </w:pPr>
      <w:r>
        <w:rPr>
          <w:rFonts w:cs="Times New Roman"/>
          <w:b/>
          <w:bCs/>
        </w:rPr>
        <w:t>Document for:</w:t>
      </w:r>
      <w:r>
        <w:rPr>
          <w:rFonts w:cs="Times New Roman"/>
          <w:b/>
          <w:bCs/>
        </w:rPr>
        <w:tab/>
      </w:r>
      <w:r>
        <w:rPr>
          <w:rFonts w:cs="Times New Roman"/>
          <w:b/>
          <w:bCs/>
        </w:rPr>
        <w:t>Discussion and Decision</w:t>
      </w:r>
    </w:p>
    <w:p>
      <w:pPr>
        <w:pStyle w:val="2"/>
      </w:pPr>
      <w:bookmarkStart w:id="1" w:name="_Ref513464071"/>
      <w:r>
        <w:t>Introduction</w:t>
      </w:r>
      <w:bookmarkEnd w:id="1"/>
    </w:p>
    <w:p>
      <w:r>
        <w:t xml:space="preserve">In RAN #102, the normative work on AI/ML for NR Air Interface has been approved with some additional studies which has not been finalized during the study phase </w:t>
      </w:r>
      <w:r>
        <w:fldChar w:fldCharType="begin"/>
      </w:r>
      <w:r>
        <w:instrText xml:space="preserve"> REF _Ref158763775 \r \h </w:instrText>
      </w:r>
      <w:r>
        <w:fldChar w:fldCharType="separate"/>
      </w:r>
      <w:r>
        <w:t>[1]</w:t>
      </w:r>
      <w:r>
        <w:fldChar w:fldCharType="end"/>
      </w:r>
      <w:r>
        <w:t xml:space="preserve">, that builds on the Rel-18 studies in FS_NR_AIML_Air </w:t>
      </w:r>
      <w:r>
        <w:fldChar w:fldCharType="begin"/>
      </w:r>
      <w:r>
        <w:instrText xml:space="preserve"> REF _Ref158764161 \r \h </w:instrText>
      </w:r>
      <w:r>
        <w:fldChar w:fldCharType="separate"/>
      </w:r>
      <w:r>
        <w:t>[2]</w:t>
      </w:r>
      <w:r>
        <w:fldChar w:fldCharType="end"/>
      </w:r>
      <w:r>
        <w:t xml:space="preserve">.  </w:t>
      </w:r>
    </w:p>
    <w:p>
      <w:r>
        <w:t xml:space="preserve">The Rel-19 AI/ML air interface work item will provide support for the general framework for AI/ML for air interface discussed in Rel-18. Additionally, a number of study objectives will address outstanding issues identified in the Rel-18 study and captured in TR 38.843 </w:t>
      </w:r>
      <w:r>
        <w:fldChar w:fldCharType="begin"/>
      </w:r>
      <w:r>
        <w:instrText xml:space="preserve"> REF _Ref158642161 \r \h </w:instrText>
      </w:r>
      <w:r>
        <w:fldChar w:fldCharType="separate"/>
      </w:r>
      <w:r>
        <w:t>[3]</w:t>
      </w:r>
      <w:r>
        <w:fldChar w:fldCharType="end"/>
      </w:r>
      <w:r>
        <w:t>, as follows.</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0"/>
      </w:tblGrid>
      <w:tr>
        <w:tc>
          <w:tcPr>
            <w:tcW w:w="9350" w:type="dxa"/>
          </w:tcPr>
          <w:p>
            <w:pPr>
              <w:spacing w:after="0" w:line="240" w:lineRule="auto"/>
              <w:rPr>
                <w:bCs/>
              </w:rPr>
            </w:pPr>
            <w:bookmarkStart w:id="2" w:name="_Hlk153820190"/>
            <w:r>
              <w:rPr>
                <w:bCs/>
              </w:rPr>
              <w:t>Study objectives with corresponding checkpoints in RAN#105 (Sept ’24):</w:t>
            </w:r>
          </w:p>
          <w:p>
            <w:pPr>
              <w:numPr>
                <w:ilvl w:val="0"/>
                <w:numId w:val="7"/>
              </w:numPr>
              <w:overflowPunct w:val="0"/>
              <w:autoSpaceDE w:val="0"/>
              <w:autoSpaceDN w:val="0"/>
              <w:adjustRightInd w:val="0"/>
              <w:spacing w:after="0" w:line="240" w:lineRule="auto"/>
              <w:jc w:val="left"/>
              <w:textAlignment w:val="baseline"/>
              <w:rPr>
                <w:bCs/>
              </w:rPr>
            </w:pPr>
            <w:r>
              <w:rPr>
                <w:bCs/>
              </w:rPr>
              <w:t xml:space="preserve">CSI feedback enhancement [RAN1]: </w:t>
            </w:r>
          </w:p>
          <w:p>
            <w:pPr>
              <w:numPr>
                <w:ilvl w:val="1"/>
                <w:numId w:val="7"/>
              </w:numPr>
              <w:overflowPunct w:val="0"/>
              <w:autoSpaceDE w:val="0"/>
              <w:autoSpaceDN w:val="0"/>
              <w:adjustRightInd w:val="0"/>
              <w:spacing w:after="0" w:line="240" w:lineRule="auto"/>
              <w:jc w:val="left"/>
              <w:textAlignment w:val="baseline"/>
              <w:rPr>
                <w:bCs/>
              </w:rPr>
            </w:pPr>
            <w:r>
              <w:rPr>
                <w:bCs/>
              </w:rPr>
              <w:t>For CSI compression (two-sided model), further study ways to:</w:t>
            </w:r>
          </w:p>
          <w:p>
            <w:pPr>
              <w:numPr>
                <w:ilvl w:val="2"/>
                <w:numId w:val="7"/>
              </w:numPr>
              <w:overflowPunct w:val="0"/>
              <w:autoSpaceDE w:val="0"/>
              <w:autoSpaceDN w:val="0"/>
              <w:adjustRightInd w:val="0"/>
              <w:spacing w:after="0" w:line="240" w:lineRule="auto"/>
              <w:jc w:val="left"/>
              <w:textAlignment w:val="baseline"/>
              <w:rPr>
                <w:bCs/>
              </w:rPr>
            </w:pPr>
            <w:r>
              <w:rPr>
                <w:bCs/>
              </w:rPr>
              <w:t>Improve trade-off between performance and complexity/overhead</w:t>
            </w:r>
          </w:p>
          <w:p>
            <w:pPr>
              <w:numPr>
                <w:ilvl w:val="3"/>
                <w:numId w:val="7"/>
              </w:numPr>
              <w:overflowPunct w:val="0"/>
              <w:autoSpaceDE w:val="0"/>
              <w:autoSpaceDN w:val="0"/>
              <w:adjustRightInd w:val="0"/>
              <w:spacing w:after="0" w:line="240" w:lineRule="auto"/>
              <w:jc w:val="left"/>
              <w:textAlignment w:val="baseline"/>
              <w:rPr>
                <w:bCs/>
              </w:rPr>
            </w:pPr>
            <w:r>
              <w:rPr>
                <w:bCs/>
              </w:rPr>
              <w:t>e.g., considering extending the spatial/frequency compression to spatial/temporal/frequency compression, cell/site specific models, CSI compression plus prediction (compared to Rel-18 non-AI/ML based approach), etc.</w:t>
            </w:r>
          </w:p>
          <w:p>
            <w:pPr>
              <w:numPr>
                <w:ilvl w:val="2"/>
                <w:numId w:val="7"/>
              </w:numPr>
              <w:overflowPunct w:val="0"/>
              <w:autoSpaceDE w:val="0"/>
              <w:autoSpaceDN w:val="0"/>
              <w:adjustRightInd w:val="0"/>
              <w:spacing w:after="0" w:line="240" w:lineRule="auto"/>
              <w:jc w:val="left"/>
              <w:textAlignment w:val="baseline"/>
              <w:rPr>
                <w:bCs/>
              </w:rPr>
            </w:pPr>
            <w:r>
              <w:rPr>
                <w:bCs/>
              </w:rPr>
              <w:t>Alleviate/resolve issues related to inter-vendor training collaboration.</w:t>
            </w:r>
          </w:p>
          <w:p>
            <w:pPr>
              <w:spacing w:after="0" w:line="240" w:lineRule="auto"/>
              <w:ind w:left="1440"/>
              <w:rPr>
                <w:bCs/>
              </w:rPr>
            </w:pPr>
            <w:r>
              <w:rPr>
                <w:bCs/>
              </w:rPr>
              <w:t xml:space="preserve">while addressing other aspects requiring further study/conclusion as captured in the conclusions section of the TR 38.843. </w:t>
            </w:r>
          </w:p>
          <w:p>
            <w:pPr>
              <w:numPr>
                <w:ilvl w:val="1"/>
                <w:numId w:val="7"/>
              </w:numPr>
              <w:overflowPunct w:val="0"/>
              <w:autoSpaceDE w:val="0"/>
              <w:autoSpaceDN w:val="0"/>
              <w:adjustRightInd w:val="0"/>
              <w:spacing w:after="0" w:line="240" w:lineRule="auto"/>
              <w:jc w:val="left"/>
              <w:textAlignment w:val="baseline"/>
              <w:rPr>
                <w:bCs/>
              </w:rPr>
            </w:pPr>
            <w:r>
              <w:rPr>
                <w:bCs/>
              </w:rPr>
              <w:t xml:space="preserve">For CSI prediction (one-sided model), further study performance gain over Rel-18 non-AI/ML based approach and associated complexity, while addressing </w:t>
            </w:r>
            <w:bookmarkStart w:id="3" w:name="_Hlk152950038"/>
            <w:r>
              <w:rPr>
                <w:bCs/>
              </w:rPr>
              <w:t>other aspects requiring further study/conclusion as captured in the conclusions section of the TR 38.843</w:t>
            </w:r>
            <w:bookmarkEnd w:id="3"/>
            <w:r>
              <w:rPr>
                <w:bCs/>
              </w:rPr>
              <w:t xml:space="preserve"> (e.g., cell/site specific model could be considered to improve performance gain). </w:t>
            </w:r>
          </w:p>
          <w:bookmarkEnd w:id="2"/>
          <w:p>
            <w:pPr>
              <w:spacing w:after="0" w:line="240" w:lineRule="auto"/>
              <w:ind w:left="720"/>
              <w:rPr>
                <w:bCs/>
              </w:rPr>
            </w:pPr>
          </w:p>
          <w:p>
            <w:pPr>
              <w:numPr>
                <w:ilvl w:val="0"/>
                <w:numId w:val="7"/>
              </w:numPr>
              <w:overflowPunct w:val="0"/>
              <w:autoSpaceDE w:val="0"/>
              <w:autoSpaceDN w:val="0"/>
              <w:adjustRightInd w:val="0"/>
              <w:spacing w:after="0" w:line="240" w:lineRule="auto"/>
              <w:jc w:val="left"/>
              <w:textAlignment w:val="baseline"/>
              <w:rPr>
                <w:bCs/>
              </w:rPr>
            </w:pPr>
            <w:bookmarkStart w:id="4" w:name="_Hlk158745690"/>
            <w:r>
              <w:rPr>
                <w:bCs/>
              </w:rPr>
              <w:t>Necessity and details of model Identification concept and procedure in the context of LCM [RAN2/RAN1]</w:t>
            </w:r>
            <w:bookmarkEnd w:id="4"/>
            <w:r>
              <w:rPr>
                <w:bCs/>
              </w:rPr>
              <w:t xml:space="preserve"> </w:t>
            </w:r>
          </w:p>
          <w:p>
            <w:pPr>
              <w:numPr>
                <w:ilvl w:val="0"/>
                <w:numId w:val="7"/>
              </w:numPr>
              <w:overflowPunct w:val="0"/>
              <w:autoSpaceDE w:val="0"/>
              <w:autoSpaceDN w:val="0"/>
              <w:adjustRightInd w:val="0"/>
              <w:spacing w:after="0" w:line="240" w:lineRule="auto"/>
              <w:jc w:val="left"/>
              <w:textAlignment w:val="baseline"/>
              <w:rPr>
                <w:bCs/>
              </w:rPr>
            </w:pPr>
            <w:r>
              <w:rPr>
                <w:bCs/>
              </w:rPr>
              <w:t xml:space="preserve">CN/OAM/OTT collection of </w:t>
            </w:r>
            <w:bookmarkStart w:id="5" w:name="_Hlk158758440"/>
            <w:r>
              <w:rPr>
                <w:bCs/>
              </w:rPr>
              <w:t xml:space="preserve">UE-sided model training data </w:t>
            </w:r>
            <w:bookmarkEnd w:id="5"/>
            <w:r>
              <w:rPr>
                <w:bCs/>
              </w:rPr>
              <w:t xml:space="preserve">[RAN2/RAN1]: </w:t>
            </w:r>
          </w:p>
          <w:p>
            <w:pPr>
              <w:numPr>
                <w:ilvl w:val="1"/>
                <w:numId w:val="7"/>
              </w:numPr>
              <w:overflowPunct w:val="0"/>
              <w:autoSpaceDE w:val="0"/>
              <w:autoSpaceDN w:val="0"/>
              <w:adjustRightInd w:val="0"/>
              <w:spacing w:after="0" w:line="240" w:lineRule="auto"/>
              <w:jc w:val="left"/>
              <w:textAlignment w:val="baseline"/>
              <w:rPr>
                <w:bCs/>
              </w:rPr>
            </w:pPr>
            <w:bookmarkStart w:id="6" w:name="_Hlk152950182"/>
            <w:r>
              <w:rPr>
                <w:bCs/>
              </w:rPr>
              <w:t>For the FS_NR_AIML_Air study use cases, identify the corresponding contents of UE data collection</w:t>
            </w:r>
          </w:p>
          <w:p>
            <w:pPr>
              <w:numPr>
                <w:ilvl w:val="1"/>
                <w:numId w:val="7"/>
              </w:numPr>
              <w:overflowPunct w:val="0"/>
              <w:autoSpaceDE w:val="0"/>
              <w:autoSpaceDN w:val="0"/>
              <w:adjustRightInd w:val="0"/>
              <w:spacing w:after="0" w:line="240" w:lineRule="auto"/>
              <w:jc w:val="left"/>
              <w:textAlignment w:val="baseline"/>
              <w:rPr>
                <w:bCs/>
              </w:rPr>
            </w:pPr>
            <w:r>
              <w:rPr>
                <w:bCs/>
              </w:rPr>
              <w:t>Analyse the UE data collection mechanisms identified during the FS_NR_AIML_Air (TR 38.843 section 7.2.1.3.2) study along with the implications and limitations of each of the methods</w:t>
            </w:r>
            <w:bookmarkEnd w:id="6"/>
            <w:r>
              <w:rPr>
                <w:bCs/>
              </w:rPr>
              <w:t xml:space="preserve"> </w:t>
            </w:r>
          </w:p>
          <w:p>
            <w:pPr>
              <w:numPr>
                <w:ilvl w:val="0"/>
                <w:numId w:val="7"/>
              </w:numPr>
              <w:overflowPunct w:val="0"/>
              <w:autoSpaceDE w:val="0"/>
              <w:autoSpaceDN w:val="0"/>
              <w:adjustRightInd w:val="0"/>
              <w:spacing w:after="0" w:line="240" w:lineRule="auto"/>
              <w:jc w:val="left"/>
              <w:textAlignment w:val="baseline"/>
              <w:rPr>
                <w:bCs/>
              </w:rPr>
            </w:pPr>
            <w:bookmarkStart w:id="7" w:name="_Hlk153820292"/>
            <w:r>
              <w:rPr>
                <w:bCs/>
              </w:rPr>
              <w:t xml:space="preserve">Model transfer/delivery [RAN2/RAN1]: </w:t>
            </w:r>
          </w:p>
          <w:p>
            <w:pPr>
              <w:numPr>
                <w:ilvl w:val="1"/>
                <w:numId w:val="7"/>
              </w:numPr>
              <w:overflowPunct w:val="0"/>
              <w:autoSpaceDE w:val="0"/>
              <w:autoSpaceDN w:val="0"/>
              <w:adjustRightInd w:val="0"/>
              <w:spacing w:after="0" w:line="240" w:lineRule="auto"/>
              <w:jc w:val="left"/>
              <w:textAlignment w:val="baseline"/>
              <w:rPr>
                <w:bCs/>
              </w:rPr>
            </w:pPr>
            <w:bookmarkStart w:id="8" w:name="_Hlk152950348"/>
            <w:r>
              <w:rPr>
                <w:bCs/>
              </w:rPr>
              <w:t xml:space="preserve">Determine whether there is a need to consider standardised solutions for transferring/delivering AI/ML model(s) considering at least the solutions identified during the </w:t>
            </w:r>
            <w:bookmarkEnd w:id="8"/>
            <w:r>
              <w:rPr>
                <w:bCs/>
              </w:rPr>
              <w:t xml:space="preserve">FS_NR_AIML_Air study </w:t>
            </w:r>
          </w:p>
          <w:p>
            <w:pPr>
              <w:spacing w:after="0" w:line="240" w:lineRule="auto"/>
              <w:ind w:left="720"/>
              <w:rPr>
                <w:bCs/>
              </w:rPr>
            </w:pPr>
          </w:p>
          <w:bookmarkEnd w:id="7"/>
          <w:p>
            <w:pPr>
              <w:numPr>
                <w:ilvl w:val="0"/>
                <w:numId w:val="7"/>
              </w:numPr>
              <w:overflowPunct w:val="0"/>
              <w:autoSpaceDE w:val="0"/>
              <w:autoSpaceDN w:val="0"/>
              <w:adjustRightInd w:val="0"/>
              <w:spacing w:after="0" w:line="240" w:lineRule="auto"/>
              <w:jc w:val="left"/>
              <w:textAlignment w:val="baseline"/>
              <w:rPr>
                <w:bCs/>
              </w:rPr>
            </w:pPr>
            <w:r>
              <w:rPr>
                <w:bCs/>
              </w:rPr>
              <w:t xml:space="preserve">Testability and interoperability [RAN4]: </w:t>
            </w:r>
          </w:p>
          <w:p>
            <w:pPr>
              <w:numPr>
                <w:ilvl w:val="1"/>
                <w:numId w:val="7"/>
              </w:numPr>
              <w:overflowPunct w:val="0"/>
              <w:autoSpaceDE w:val="0"/>
              <w:autoSpaceDN w:val="0"/>
              <w:adjustRightInd w:val="0"/>
              <w:spacing w:after="0" w:line="240" w:lineRule="auto"/>
              <w:jc w:val="left"/>
              <w:textAlignment w:val="baseline"/>
              <w:rPr>
                <w:bCs/>
              </w:rPr>
            </w:pPr>
            <w:r>
              <w:rPr>
                <w:bCs/>
              </w:rPr>
              <w:t xml:space="preserve">Finalize the testing framework and procedure for one-sided models and further analyse the various testing options for two-sided models, in collaboration with RAN1, and including at least: </w:t>
            </w:r>
          </w:p>
          <w:p>
            <w:pPr>
              <w:numPr>
                <w:ilvl w:val="2"/>
                <w:numId w:val="7"/>
              </w:numPr>
              <w:spacing w:after="0" w:line="259" w:lineRule="auto"/>
              <w:contextualSpacing/>
              <w:jc w:val="left"/>
              <w:rPr>
                <w:rFonts w:eastAsia="Batang"/>
              </w:rPr>
            </w:pPr>
            <w:r>
              <w:rPr>
                <w:rFonts w:eastAsia="Batang"/>
              </w:rPr>
              <w:t>Relation to legacy requirements</w:t>
            </w:r>
          </w:p>
          <w:p>
            <w:pPr>
              <w:numPr>
                <w:ilvl w:val="2"/>
                <w:numId w:val="7"/>
              </w:numPr>
              <w:spacing w:after="0" w:line="259" w:lineRule="auto"/>
              <w:contextualSpacing/>
              <w:jc w:val="left"/>
              <w:rPr>
                <w:rFonts w:eastAsia="Batang"/>
              </w:rPr>
            </w:pPr>
            <w:r>
              <w:rPr>
                <w:rFonts w:eastAsia="Batang"/>
              </w:rPr>
              <w:t>Performance monitoring and LCM aspects considering use-case specifics</w:t>
            </w:r>
          </w:p>
          <w:p>
            <w:pPr>
              <w:numPr>
                <w:ilvl w:val="2"/>
                <w:numId w:val="7"/>
              </w:numPr>
              <w:spacing w:after="0" w:line="259" w:lineRule="auto"/>
              <w:contextualSpacing/>
              <w:jc w:val="left"/>
              <w:rPr>
                <w:rFonts w:eastAsia="Batang"/>
              </w:rPr>
            </w:pPr>
            <w:r>
              <w:rPr>
                <w:rFonts w:eastAsia="Batang"/>
              </w:rPr>
              <w:t xml:space="preserve">Generalization aspects </w:t>
            </w:r>
          </w:p>
          <w:p>
            <w:pPr>
              <w:numPr>
                <w:ilvl w:val="2"/>
                <w:numId w:val="7"/>
              </w:numPr>
              <w:spacing w:after="0" w:line="259" w:lineRule="auto"/>
              <w:contextualSpacing/>
              <w:jc w:val="left"/>
              <w:rPr>
                <w:rFonts w:eastAsia="Batang"/>
              </w:rPr>
            </w:pPr>
            <w:r>
              <w:rPr>
                <w:rFonts w:eastAsia="Batang"/>
              </w:rPr>
              <w:t>Static/non-static scenarios/conditions and propagation conditions for testing (e.g., CDL, field data, etc.)</w:t>
            </w:r>
          </w:p>
          <w:p>
            <w:pPr>
              <w:numPr>
                <w:ilvl w:val="2"/>
                <w:numId w:val="7"/>
              </w:numPr>
              <w:spacing w:after="0" w:line="259" w:lineRule="auto"/>
              <w:contextualSpacing/>
              <w:jc w:val="left"/>
              <w:rPr>
                <w:rFonts w:eastAsia="Batang" w:cs="Calibri"/>
              </w:rPr>
            </w:pPr>
            <w:r>
              <w:rPr>
                <w:rFonts w:eastAsia="Batang" w:cs="Calibri"/>
              </w:rPr>
              <w:t>UE processing capability and limitations</w:t>
            </w:r>
          </w:p>
          <w:p>
            <w:pPr>
              <w:numPr>
                <w:ilvl w:val="2"/>
                <w:numId w:val="7"/>
              </w:numPr>
              <w:spacing w:after="0" w:line="259" w:lineRule="auto"/>
              <w:contextualSpacing/>
              <w:jc w:val="left"/>
              <w:rPr>
                <w:rFonts w:eastAsia="Batang" w:cs="Calibri"/>
              </w:rPr>
            </w:pPr>
            <w:r>
              <w:rPr>
                <w:rFonts w:eastAsia="Batang" w:cs="Calibri"/>
              </w:rPr>
              <w:t>Post-deployment validation due to model change/drift</w:t>
            </w:r>
          </w:p>
          <w:p>
            <w:pPr>
              <w:numPr>
                <w:ilvl w:val="1"/>
                <w:numId w:val="7"/>
              </w:numPr>
              <w:spacing w:after="0" w:line="259" w:lineRule="auto"/>
              <w:contextualSpacing/>
              <w:jc w:val="left"/>
              <w:rPr>
                <w:rFonts w:eastAsia="Batang" w:cs="Calibri"/>
              </w:rPr>
            </w:pPr>
            <w:r>
              <w:rPr>
                <w:rFonts w:eastAsia="Batang" w:cs="Calibri"/>
              </w:rPr>
              <w:t>RAN5 aspects related to testability and interoperability to be addressed on a request basis</w:t>
            </w:r>
          </w:p>
          <w:p>
            <w:pPr>
              <w:spacing w:after="0" w:line="259" w:lineRule="auto"/>
              <w:contextualSpacing/>
              <w:rPr>
                <w:rFonts w:eastAsia="Batang" w:cs="Calibri"/>
              </w:rPr>
            </w:pPr>
          </w:p>
          <w:p>
            <w:pPr>
              <w:spacing w:after="0" w:line="240" w:lineRule="auto"/>
              <w:ind w:left="720"/>
              <w:rPr>
                <w:bCs/>
              </w:rPr>
            </w:pPr>
            <w:bookmarkStart w:id="9" w:name="_Hlk153820307"/>
            <w:r>
              <w:rPr>
                <w:bCs/>
              </w:rPr>
              <w:t xml:space="preserve">NOTE: offline training is assumed for the purpose of this project. </w:t>
            </w:r>
          </w:p>
          <w:bookmarkEnd w:id="9"/>
          <w:p>
            <w:pPr>
              <w:spacing w:after="0" w:line="240" w:lineRule="auto"/>
              <w:ind w:left="720"/>
              <w:rPr>
                <w:bCs/>
              </w:rPr>
            </w:pPr>
            <w:r>
              <w:rPr>
                <w:bCs/>
              </w:rPr>
              <w:t xml:space="preserve">NOTE: the outcome of the study objectives should be captured in TR 38.843 for future reference. </w:t>
            </w:r>
          </w:p>
          <w:p>
            <w:pPr>
              <w:spacing w:after="0" w:line="240" w:lineRule="auto"/>
              <w:ind w:left="720"/>
              <w:rPr>
                <w:bCs/>
              </w:rPr>
            </w:pPr>
            <w:r>
              <w:rPr>
                <w:bCs/>
              </w:rPr>
              <w:t xml:space="preserve">NOTE: </w:t>
            </w:r>
            <w:r>
              <w:t xml:space="preserve">Coordination with SA/SA WGs of the ongoing study/work as it may relate to their required work. </w:t>
            </w:r>
          </w:p>
          <w:p>
            <w:pPr>
              <w:spacing w:after="0" w:line="240" w:lineRule="auto"/>
            </w:pPr>
          </w:p>
        </w:tc>
      </w:tr>
    </w:tbl>
    <w:p/>
    <w:p>
      <w:r>
        <w:t xml:space="preserve">Regarding model identification, the following agreements were made in RAN1 #116 </w:t>
      </w:r>
      <w:r>
        <w:fldChar w:fldCharType="begin"/>
      </w:r>
      <w:r>
        <w:instrText xml:space="preserve"> REF _Ref163137986 \r \h </w:instrText>
      </w:r>
      <w:r>
        <w:fldChar w:fldCharType="separate"/>
      </w:r>
      <w:r>
        <w:t>[4]</w:t>
      </w:r>
      <w:r>
        <w:fldChar w:fldCharType="end"/>
      </w:r>
      <w:r>
        <w:t>.</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0"/>
      </w:tblGrid>
      <w:tr>
        <w:tc>
          <w:tcPr>
            <w:tcW w:w="9350" w:type="dxa"/>
          </w:tcPr>
          <w:p>
            <w:pPr>
              <w:spacing w:after="0" w:line="240" w:lineRule="auto"/>
            </w:pPr>
            <w:r>
              <w:t>Agreement</w:t>
            </w:r>
          </w:p>
          <w:p>
            <w:pPr>
              <w:spacing w:after="0" w:line="240" w:lineRule="auto"/>
            </w:pPr>
            <w:r>
              <w:t>•</w:t>
            </w:r>
            <w:r>
              <w:tab/>
            </w:r>
            <w:r>
              <w:t>To facilitate the discussion, RAN1 studies the model identification type A with more details related to use cases.</w:t>
            </w:r>
          </w:p>
          <w:p>
            <w:pPr>
              <w:spacing w:after="0" w:line="240" w:lineRule="auto"/>
            </w:pPr>
            <w:r>
              <w:t>•</w:t>
            </w:r>
            <w:r>
              <w:tab/>
            </w:r>
            <w:r>
              <w:t>To facilitate the discussion, RAN1 studies the following options as starting point for model identification type B with more details related to all use cases.</w:t>
            </w:r>
          </w:p>
          <w:p>
            <w:pPr>
              <w:spacing w:after="0" w:line="240" w:lineRule="auto"/>
            </w:pPr>
            <w:r>
              <w:t>o</w:t>
            </w:r>
            <w:r>
              <w:tab/>
            </w:r>
            <w:r>
              <w:t>MI-Option 1: Model identification with data collection related configuration(s) and/or indication(s)</w:t>
            </w:r>
          </w:p>
          <w:p>
            <w:pPr>
              <w:spacing w:after="0" w:line="240" w:lineRule="auto"/>
            </w:pPr>
            <w:r>
              <w:t>o</w:t>
            </w:r>
            <w:r>
              <w:tab/>
            </w:r>
            <w:r>
              <w:t>MI-Option 2: Model identification with dataset transfer</w:t>
            </w:r>
          </w:p>
          <w:p>
            <w:pPr>
              <w:spacing w:after="0" w:line="240" w:lineRule="auto"/>
            </w:pPr>
            <w:r>
              <w:t>o</w:t>
            </w:r>
            <w:r>
              <w:tab/>
            </w:r>
            <w:r>
              <w:t>MI-Option 3: Model identification in model transfer from NW to UE</w:t>
            </w:r>
          </w:p>
          <w:p>
            <w:pPr>
              <w:spacing w:after="0" w:line="240" w:lineRule="auto"/>
            </w:pPr>
            <w:r>
              <w:t>o</w:t>
            </w:r>
            <w:r>
              <w:tab/>
            </w:r>
            <w:r>
              <w:t>FFS: The boundary of the options</w:t>
            </w:r>
          </w:p>
          <w:p>
            <w:pPr>
              <w:spacing w:after="0" w:line="240" w:lineRule="auto"/>
            </w:pPr>
            <w:r>
              <w:t>o</w:t>
            </w:r>
            <w:r>
              <w:tab/>
            </w:r>
            <w:r>
              <w:t>Note: the names (MI-Opton1, MI-Option 2, MI-Option 3) are used only for discussion purpose</w:t>
            </w:r>
          </w:p>
          <w:p>
            <w:pPr>
              <w:spacing w:after="0" w:line="240" w:lineRule="auto"/>
            </w:pPr>
            <w:r>
              <w:t>o</w:t>
            </w:r>
            <w:r>
              <w:tab/>
            </w:r>
            <w:r>
              <w:t>Note: other options are not precluded</w:t>
            </w:r>
          </w:p>
          <w:p>
            <w:pPr>
              <w:spacing w:after="0" w:line="240" w:lineRule="auto"/>
            </w:pPr>
            <w:r>
              <w:t>Observation</w:t>
            </w:r>
          </w:p>
          <w:p>
            <w:pPr>
              <w:spacing w:after="0" w:line="240" w:lineRule="auto"/>
            </w:pPr>
            <w:r>
              <w:t>The other options are proposed for model identification type B by companies during the discussion:</w:t>
            </w:r>
          </w:p>
          <w:p>
            <w:pPr>
              <w:spacing w:after="0" w:line="240" w:lineRule="auto"/>
            </w:pPr>
            <w:r>
              <w:t>•</w:t>
            </w:r>
            <w:r>
              <w:tab/>
            </w:r>
            <w:r>
              <w:t>MI-Option 4. Model identification via standardization of reference models. (for CSI compression)</w:t>
            </w:r>
          </w:p>
          <w:p>
            <w:pPr>
              <w:spacing w:after="0" w:line="240" w:lineRule="auto"/>
            </w:pPr>
            <w:r>
              <w:t>•</w:t>
            </w:r>
            <w:r>
              <w:tab/>
            </w:r>
            <w:r>
              <w:t>MI-Option 5. Model identification via model monitoring.</w:t>
            </w:r>
          </w:p>
          <w:p>
            <w:pPr>
              <w:spacing w:after="0" w:line="240" w:lineRule="auto"/>
            </w:pPr>
          </w:p>
          <w:p>
            <w:pPr>
              <w:spacing w:after="0" w:line="240" w:lineRule="auto"/>
            </w:pPr>
          </w:p>
          <w:p>
            <w:pPr>
              <w:spacing w:after="0" w:line="240" w:lineRule="auto"/>
              <w:rPr>
                <w:rFonts w:eastAsia="DengXian"/>
                <w:iCs/>
                <w:lang w:eastAsia="zh-CN"/>
              </w:rPr>
            </w:pPr>
            <w:r>
              <w:rPr>
                <w:rFonts w:eastAsia="DengXian"/>
                <w:iCs/>
                <w:lang w:eastAsia="zh-CN"/>
              </w:rPr>
              <w:t>Agreement</w:t>
            </w:r>
          </w:p>
          <w:p>
            <w:pPr>
              <w:spacing w:after="0" w:line="240" w:lineRule="auto"/>
            </w:pPr>
            <w:r>
              <w:t>Regarding MI-Option 1 (Model identification with data collection related configuration(s) and/or indication(s)) of model identification type B, RAN1 further study the following aspects:</w:t>
            </w:r>
          </w:p>
          <w:p>
            <w:pPr>
              <w:numPr>
                <w:ilvl w:val="0"/>
                <w:numId w:val="8"/>
              </w:numPr>
              <w:spacing w:after="0" w:line="240" w:lineRule="auto"/>
              <w:contextualSpacing/>
              <w:jc w:val="left"/>
              <w:rPr>
                <w:lang w:eastAsia="zh-CN"/>
              </w:rPr>
            </w:pPr>
            <w:r>
              <w:rPr>
                <w:lang w:eastAsia="zh-CN"/>
              </w:rPr>
              <w:t xml:space="preserve">Relationship between model ID and data collection related configuration(s) and/or indication(s) </w:t>
            </w:r>
          </w:p>
          <w:p>
            <w:pPr>
              <w:numPr>
                <w:ilvl w:val="0"/>
                <w:numId w:val="8"/>
              </w:numPr>
              <w:spacing w:after="0" w:line="240" w:lineRule="auto"/>
              <w:contextualSpacing/>
              <w:jc w:val="left"/>
              <w:rPr>
                <w:lang w:eastAsia="zh-CN"/>
              </w:rPr>
            </w:pPr>
            <w:r>
              <w:rPr>
                <w:lang w:eastAsia="zh-CN"/>
              </w:rPr>
              <w:t xml:space="preserve">Information transmitted from NW to UE (if any) </w:t>
            </w:r>
          </w:p>
          <w:p>
            <w:pPr>
              <w:numPr>
                <w:ilvl w:val="0"/>
                <w:numId w:val="8"/>
              </w:numPr>
              <w:spacing w:after="0" w:line="240" w:lineRule="auto"/>
              <w:contextualSpacing/>
              <w:jc w:val="left"/>
              <w:rPr>
                <w:lang w:eastAsia="zh-CN"/>
              </w:rPr>
            </w:pPr>
            <w:r>
              <w:rPr>
                <w:lang w:eastAsia="zh-CN"/>
              </w:rPr>
              <w:t>Information transmitted from UE to NW (if any)</w:t>
            </w:r>
          </w:p>
          <w:p>
            <w:pPr>
              <w:numPr>
                <w:ilvl w:val="0"/>
                <w:numId w:val="8"/>
              </w:numPr>
              <w:spacing w:after="0" w:line="240" w:lineRule="auto"/>
              <w:contextualSpacing/>
              <w:jc w:val="left"/>
              <w:rPr>
                <w:lang w:eastAsia="zh-CN"/>
              </w:rPr>
            </w:pPr>
            <w:r>
              <w:rPr>
                <w:lang w:eastAsia="zh-CN"/>
              </w:rPr>
              <w:t>The associated procedure</w:t>
            </w:r>
          </w:p>
          <w:p>
            <w:pPr>
              <w:numPr>
                <w:ilvl w:val="0"/>
                <w:numId w:val="8"/>
              </w:numPr>
              <w:spacing w:after="0" w:line="240" w:lineRule="auto"/>
              <w:contextualSpacing/>
              <w:jc w:val="left"/>
              <w:rPr>
                <w:lang w:eastAsia="zh-CN"/>
              </w:rPr>
            </w:pPr>
            <w:r>
              <w:rPr>
                <w:lang w:eastAsia="zh-CN"/>
              </w:rPr>
              <w:t xml:space="preserve">Usage/Applicable use case(s) of MI-Option 1 </w:t>
            </w:r>
          </w:p>
          <w:p>
            <w:pPr>
              <w:spacing w:after="0" w:line="240" w:lineRule="auto"/>
              <w:rPr>
                <w:lang w:eastAsia="zh-CN"/>
              </w:rPr>
            </w:pPr>
            <w:r>
              <w:rPr>
                <w:lang w:eastAsia="zh-CN"/>
              </w:rPr>
              <w:t>Note: whether MI-Option 1 is needed or not is a separate discussion.</w:t>
            </w:r>
          </w:p>
        </w:tc>
      </w:tr>
    </w:tbl>
    <w:p/>
    <w:p>
      <w:r>
        <w:t xml:space="preserve">RAN1 #116b </w:t>
      </w:r>
      <w:r>
        <w:fldChar w:fldCharType="begin"/>
      </w:r>
      <w:r>
        <w:instrText xml:space="preserve"> REF _Ref166181206 \r \h </w:instrText>
      </w:r>
      <w:r>
        <w:fldChar w:fldCharType="separate"/>
      </w:r>
      <w:r>
        <w:t>[10]</w:t>
      </w:r>
      <w:r>
        <w:fldChar w:fldCharType="end"/>
      </w:r>
      <w:r>
        <w:t xml:space="preserve"> agreed to further study MI-Option1 and provided an example procedure for UE-sided model(s) developed at the UE side.</w:t>
      </w:r>
    </w:p>
    <w:p>
      <w:r>
        <w:t xml:space="preserve">This contribution discusses aspects related to the model identification in the context of LCM, including MI-Option1 and MI-Option2 for the UE-part of two-sided models, model transfer/delivery, as well as contents of the UE data collection. </w:t>
      </w:r>
    </w:p>
    <w:p>
      <w:pPr>
        <w:pStyle w:val="2"/>
        <w:spacing w:after="0"/>
        <w:rPr>
          <w:szCs w:val="32"/>
        </w:rPr>
      </w:pPr>
      <w:r>
        <w:rPr>
          <w:szCs w:val="32"/>
        </w:rPr>
        <w:t>Discussion</w:t>
      </w:r>
    </w:p>
    <w:p>
      <w:pPr>
        <w:pStyle w:val="3"/>
      </w:pPr>
      <w:r>
        <w:t>Model identification</w:t>
      </w:r>
    </w:p>
    <w:p>
      <w:pPr>
        <w:spacing w:before="240"/>
      </w:pPr>
      <w:r>
        <w:t xml:space="preserve">In order to successfully execute life cycle management of AIML models there needs to be a mechanism by which network and UE refer to the same AI/ML model unambiguously during LCM procedures. However, it is not clear if the mechanism to uniquely identify AIML models are needed for all collaboration levels and scenarios. It can be argued that for collaboration level: x, the AIML models are implementation based without the need for specification impacts dedicated to AIML operation, so the mechanism for model identification may not be necessary. It is also clear that in use cases such as such as beam management, for scenarios with AIML models only at the NW side, model identification is not needed as the LCM is up to network implementation. </w:t>
      </w:r>
    </w:p>
    <w:p>
      <w:pPr>
        <w:spacing w:before="240"/>
      </w:pPr>
      <w:r>
        <w:t>For the positioning use case 3a (NG-RAN node assisted positioning with gNB-side model, AIML assisted positioning), there may be a need for the LMF to know the AIML model being used at the gNB if LCM is managed by the LMF. It should be noted that as agreed in RAN1#116b, RAN1 is discussing whether, in case 3a, LMF or gNB should perform performance monitoring during LCM.</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0"/>
      </w:tblGrid>
      <w:tr>
        <w:tc>
          <w:tcPr>
            <w:tcW w:w="9350" w:type="dxa"/>
          </w:tcPr>
          <w:p>
            <w:pPr>
              <w:spacing w:after="0" w:line="240" w:lineRule="auto"/>
              <w:rPr>
                <w:rFonts w:eastAsia="DengXian"/>
                <w:highlight w:val="green"/>
                <w:lang w:eastAsia="zh-CN"/>
              </w:rPr>
            </w:pPr>
            <w:r>
              <w:rPr>
                <w:rFonts w:hint="eastAsia" w:eastAsia="DengXian"/>
                <w:highlight w:val="green"/>
                <w:lang w:eastAsia="zh-CN"/>
              </w:rPr>
              <w:t>Agreement</w:t>
            </w:r>
          </w:p>
          <w:p>
            <w:pPr>
              <w:spacing w:after="0" w:line="240" w:lineRule="auto"/>
            </w:pPr>
            <w:r>
              <w:t xml:space="preserve">For AI/ML positioning Case 3a, for model performance monitoring metric calculation in label-based model monitoring, study the feasibility of the following options. </w:t>
            </w:r>
            <w:r>
              <w:rPr>
                <w:rFonts w:hint="eastAsia" w:eastAsia="DengXian"/>
                <w:lang w:eastAsia="zh-CN"/>
              </w:rPr>
              <w:t xml:space="preserve">To </w:t>
            </w:r>
            <w:r>
              <w:t>provide information on how to generate information on ground truth label for each option.</w:t>
            </w:r>
          </w:p>
          <w:p>
            <w:pPr>
              <w:numPr>
                <w:ilvl w:val="0"/>
                <w:numId w:val="9"/>
              </w:numPr>
              <w:spacing w:after="0" w:line="240" w:lineRule="auto"/>
              <w:jc w:val="left"/>
            </w:pPr>
            <w:r>
              <w:t>Option A.</w:t>
            </w:r>
            <w:r>
              <w:tab/>
            </w:r>
            <w:r>
              <w:t>NG-RAN node performs monitoring metric calculation for its own model.</w:t>
            </w:r>
          </w:p>
          <w:p>
            <w:pPr>
              <w:numPr>
                <w:ilvl w:val="0"/>
                <w:numId w:val="9"/>
              </w:numPr>
              <w:spacing w:after="0" w:line="240" w:lineRule="auto"/>
              <w:jc w:val="left"/>
            </w:pPr>
            <w:r>
              <w:t>Option B.</w:t>
            </w:r>
            <w:r>
              <w:tab/>
            </w:r>
            <w:r>
              <w:t>LMF performs monitoring metric calculation for the model located at the NG-RAN node.</w:t>
            </w:r>
          </w:p>
          <w:p>
            <w:pPr>
              <w:spacing w:after="0" w:line="240" w:lineRule="auto"/>
            </w:pPr>
            <w:r>
              <w:t xml:space="preserve">Note: </w:t>
            </w:r>
            <w:r>
              <w:rPr>
                <w:rFonts w:hint="eastAsia" w:eastAsia="DengXian"/>
                <w:lang w:eastAsia="zh-CN"/>
              </w:rPr>
              <w:t>Final s</w:t>
            </w:r>
            <w:r>
              <w:rPr>
                <w:rFonts w:hint="eastAsia"/>
              </w:rPr>
              <w:t xml:space="preserve">election of Option A and Option B is out of RAN1 scope, </w:t>
            </w:r>
            <w:r>
              <w:rPr>
                <w:rFonts w:hint="eastAsia" w:eastAsia="DengXian"/>
                <w:lang w:eastAsia="zh-CN"/>
              </w:rPr>
              <w:t xml:space="preserve">but RAN1 can make recommendation about the option(s), </w:t>
            </w:r>
            <w:r>
              <w:rPr>
                <w:rFonts w:hint="eastAsia"/>
              </w:rPr>
              <w:t xml:space="preserve">and </w:t>
            </w:r>
            <w:r>
              <w:t>potential support of Option A and/or Option B is pending RAN3 confirmation.</w:t>
            </w:r>
          </w:p>
          <w:p>
            <w:pPr>
              <w:spacing w:before="240" w:after="0" w:line="240" w:lineRule="auto"/>
            </w:pPr>
            <w:r>
              <w:t xml:space="preserve">Note: </w:t>
            </w:r>
            <w:r>
              <w:rPr>
                <w:rFonts w:hint="eastAsia" w:eastAsia="DengXian"/>
                <w:lang w:eastAsia="zh-CN"/>
              </w:rPr>
              <w:t>E</w:t>
            </w:r>
            <w:r>
              <w:t>xact method to perform the monitoring metric calculation is up to implementation</w:t>
            </w:r>
          </w:p>
        </w:tc>
      </w:tr>
    </w:tbl>
    <w:p>
      <w:pPr>
        <w:spacing w:before="240"/>
      </w:pPr>
      <w:r>
        <w:t>For example, a different AIML model may be used, depending on the inference type reported to the LMF from the gNB. A different AIML model may be used by the gNB to produce inferred LOS/NLOS indicator or timing information. Examples of inference types are LOS/NLOS indicator, or timing information, as agreed in RAN1#116 [4]. The corresponding agreement is shown below. The details of LCM procedure between the LMF and gNB can be discussed in RAN3.</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0"/>
      </w:tblGrid>
      <w:tr>
        <w:tc>
          <w:tcPr>
            <w:tcW w:w="9350" w:type="dxa"/>
          </w:tcPr>
          <w:p>
            <w:pPr>
              <w:spacing w:after="0" w:line="240" w:lineRule="auto"/>
              <w:rPr>
                <w:rFonts w:eastAsia="DengXian"/>
                <w:b/>
                <w:bCs/>
                <w:highlight w:val="green"/>
                <w:lang w:eastAsia="zh-CN"/>
              </w:rPr>
            </w:pPr>
            <w:r>
              <w:rPr>
                <w:rFonts w:hint="eastAsia" w:eastAsia="DengXian"/>
                <w:b/>
                <w:bCs/>
                <w:highlight w:val="green"/>
                <w:lang w:eastAsia="zh-CN"/>
              </w:rPr>
              <w:t>A</w:t>
            </w:r>
            <w:r>
              <w:rPr>
                <w:rFonts w:eastAsia="DengXian"/>
                <w:b/>
                <w:bCs/>
                <w:highlight w:val="green"/>
                <w:lang w:eastAsia="zh-CN"/>
              </w:rPr>
              <w:t>greement</w:t>
            </w:r>
          </w:p>
          <w:p>
            <w:pPr>
              <w:spacing w:after="0" w:line="240" w:lineRule="auto"/>
            </w:pPr>
            <w:r>
              <w:t xml:space="preserve">For AI/ML assisted positioning Case 3a, at least LOS/NLOS indicator and/or timing information are supported for reporting. </w:t>
            </w:r>
          </w:p>
          <w:p>
            <w:pPr>
              <w:pStyle w:val="37"/>
              <w:widowControl w:val="0"/>
              <w:numPr>
                <w:ilvl w:val="0"/>
                <w:numId w:val="10"/>
              </w:numPr>
            </w:pPr>
            <w:r>
              <w:t>If LOS/NLOS indicator is reported, the indicator can be reported as soft indicator or hard indicator as defined in 38.214.</w:t>
            </w:r>
          </w:p>
          <w:p>
            <w:pPr>
              <w:pStyle w:val="37"/>
              <w:widowControl w:val="0"/>
              <w:numPr>
                <w:ilvl w:val="0"/>
                <w:numId w:val="10"/>
              </w:numPr>
            </w:pPr>
            <w:r>
              <w:t>If timing information is reported, the timing information at least can be reported via UL RTOA or gNB Rx-Tx time difference as defined in 38.215.</w:t>
            </w:r>
          </w:p>
          <w:p>
            <w:pPr>
              <w:pStyle w:val="37"/>
              <w:widowControl w:val="0"/>
              <w:numPr>
                <w:ilvl w:val="0"/>
                <w:numId w:val="10"/>
              </w:numPr>
            </w:pPr>
            <w:r>
              <w:t>Note: details of the report are pending further discussion.</w:t>
            </w:r>
          </w:p>
          <w:p>
            <w:pPr>
              <w:spacing w:after="0" w:line="240" w:lineRule="auto"/>
            </w:pPr>
          </w:p>
        </w:tc>
      </w:tr>
    </w:tbl>
    <w:p>
      <w:pPr>
        <w:jc w:val="left"/>
        <w:rPr>
          <w:b/>
          <w:bCs/>
        </w:rPr>
      </w:pPr>
      <w:r>
        <w:rPr>
          <w:b/>
          <w:bCs/>
        </w:rPr>
        <w:t xml:space="preserve">Observation 1:  In beam management use case, for the cases of AIML models only at network side, the LCM procedures can be network implementation specific, and the model identification may not be necessary. </w:t>
      </w:r>
    </w:p>
    <w:p>
      <w:pPr>
        <w:jc w:val="left"/>
        <w:rPr>
          <w:b/>
          <w:bCs/>
        </w:rPr>
      </w:pPr>
      <w:r>
        <w:rPr>
          <w:b/>
          <w:bCs/>
        </w:rPr>
        <w:t>Observation 2:  In positioning use case 3a, if LCM is performed by the LMF, NW-side model identification may be necessary since the LMF may need to know information about AIML model(s) implemented at the gNB.</w:t>
      </w:r>
    </w:p>
    <w:p>
      <w:pPr>
        <w:spacing w:before="240"/>
      </w:pPr>
      <w:r>
        <w:t xml:space="preserve">For level: y and level: z, the LCM involves execution of procedures (e.g., signaling/controlling the operation) that affect a specific AIML model among potentially multiple AIML models at the UE. It is possible that the behavior and/or number of AIML models at the UE may vary over time due to model update (e.g., based on offline engineering) and/or model transfer either from 3GPP entity or non-3GPP entity. It is then important to ensure that the network and UE have the same understanding in terms of which AIML model is used for different LCM procedures. </w:t>
      </w:r>
    </w:p>
    <w:p>
      <w:r>
        <w:t xml:space="preserve">Two mechanisms for LCM procedure involving UE-part/UE-side models were studied in the Rel-18 SI </w:t>
      </w:r>
      <w:r>
        <w:fldChar w:fldCharType="begin"/>
      </w:r>
      <w:r>
        <w:instrText xml:space="preserve"> REF _Ref158764161 \r \h </w:instrText>
      </w:r>
      <w:r>
        <w:fldChar w:fldCharType="separate"/>
      </w:r>
      <w:r>
        <w:t>[2]</w:t>
      </w:r>
      <w:r>
        <w:fldChar w:fldCharType="end"/>
      </w:r>
      <w:r>
        <w:t>, namely functionality-based procedure and model-ID-based procedure. In case of functionality-based procedure, an identity associated with AI/ML function (i.e., functionality identification) is used as a mean for common understanding between the UE and the NW for LCM. For this approach, the UE capability framework can be a starting point for discussion. For AIML based positioning, an AIML model can be identified by PRS configurations, as discussed in [6]. In case of model-ID based procedure, an identity associated with AI/ML model (i.e., model identification) is used as a means for common understanding between the UE and the NW for LCM.</w:t>
      </w:r>
    </w:p>
    <w:p>
      <w:r>
        <w:t xml:space="preserve">As reflected in </w:t>
      </w:r>
      <w:r>
        <w:fldChar w:fldCharType="begin"/>
      </w:r>
      <w:r>
        <w:instrText xml:space="preserve"> REF _Ref158642161 \r \h </w:instrText>
      </w:r>
      <w:r>
        <w:fldChar w:fldCharType="separate"/>
      </w:r>
      <w:r>
        <w:t>[3]</w:t>
      </w:r>
      <w:r>
        <w:fldChar w:fldCharType="end"/>
      </w:r>
      <w:r>
        <w:t xml:space="preserve">, it was further agreed that the model-ID-based LCM operates based on identified models, where a model may be associated with specific configurations/conditions associated with UE capability of AI/ML-enabled feature/FG and additional conditions (e.g., scenarios, sites and datasets) as determined/identified between UE-side and NW-side. Model-ID-based LCM by definition supports the more granular LCM at model level than functionality-based LCM. </w:t>
      </w:r>
    </w:p>
    <w:p>
      <w:r>
        <w:t>From RAN1 perspective, the AI/ML model identified by model ID could be logical and how it maps to physical AI/ML model(s) may be up to implementation. For the cases where distinction is necessary, it was clarified that logical model refers to a model that is identified and assigned a model ID and physical AI/ML model to refer to an actual implementation of such model.</w:t>
      </w:r>
    </w:p>
    <w:p>
      <w:r>
        <w:t xml:space="preserve">Eventually it makes sense to differentiate AIML models associated to a functionality, at least under the following conditions: the expected performance from the models is different and/or the model pairing relationship of the two models w.r.t to a decoder is different (in the case of two-sided models) and/or the applicable conditions associated with the two models are different. It can be studied further how to abstract these conditions by appropriate definition of a logical model. For these reasons, it seems useful to associate the model ID to the logical model rather than the physical model. One implication of associating model ID with logical model is that the NW controlled LCM for a UE side model is performed at the granularity of logical model rather than the physical model. </w:t>
      </w:r>
    </w:p>
    <w:p>
      <w:r>
        <w:t xml:space="preserve">During the Rel-18 study phase, it was further agreed that model-ID, if needed, can be used within a functionality (defined in functionality-based LCM) for LCM operations (section 4.2.1 of </w:t>
      </w:r>
      <w:r>
        <w:fldChar w:fldCharType="begin"/>
      </w:r>
      <w:r>
        <w:instrText xml:space="preserve"> REF _Ref158642161 \r \h  \* MERGEFORMAT </w:instrText>
      </w:r>
      <w:r>
        <w:fldChar w:fldCharType="separate"/>
      </w:r>
      <w:r>
        <w:t>[3]</w:t>
      </w:r>
      <w:r>
        <w:fldChar w:fldCharType="end"/>
      </w:r>
      <w:r>
        <w:t xml:space="preserve">). This provides the flexibility to enable model-ID in specific scenarios where model-ID based LCM is beneficial and/or model ID is necessary to pair UE-part and gNB-part models of two-sided models. For example, model-ID may be beneficial when UE-part and gNB-part models are trained separately and the models needs to be paired before the use and/or use cases requiring scenario/configuration/site/dataset-specific models, while functionality-based LCM seems to provide required minimum procedures at least for UE side models without model transfer. Another difference is the granularity of LCM, i.e., functionality level management and model level management. model-ID based can be used in cases where finer granularity of LCM may be needed. </w:t>
      </w:r>
    </w:p>
    <w:p>
      <w:pPr>
        <w:rPr>
          <w:b/>
          <w:bCs/>
        </w:rPr>
      </w:pPr>
      <w:r>
        <w:rPr>
          <w:b/>
          <w:bCs/>
        </w:rPr>
        <w:t xml:space="preserve">Observation 3: </w:t>
      </w:r>
      <w:r>
        <w:rPr>
          <w:b/>
          <w:bCs/>
          <w:lang w:val="en-GB"/>
        </w:rPr>
        <w:t xml:space="preserve">Functionality-based LCM and model-ID-based LCM </w:t>
      </w:r>
      <w:r>
        <w:rPr>
          <w:b/>
          <w:bCs/>
        </w:rPr>
        <w:t>may be applicable for potentially different use cases, model deployments, model management granularity and collaboration levels.</w:t>
      </w:r>
    </w:p>
    <w:p>
      <w:pPr>
        <w:rPr>
          <w:b/>
          <w:bCs/>
        </w:rPr>
      </w:pPr>
      <w:r>
        <w:rPr>
          <w:b/>
          <w:bCs/>
        </w:rPr>
        <w:t xml:space="preserve">Observation 4: Model-ID based signaling in a Functionality is beneficial for model-level management (e.g., pairing of models) of UE-part of two-sided models. </w:t>
      </w:r>
    </w:p>
    <w:p>
      <w:r>
        <w:t>Regarding model identification Type B, in RAN1 #116 it was agreed to further study aspects of MI-Option 1 (model identification with data collection related configuration(s) and/or indication(s)). In the following, we provide a brief analysis of MI-Option 1.</w:t>
      </w:r>
    </w:p>
    <w:p/>
    <w:p>
      <w:pPr>
        <w:rPr>
          <w:b/>
          <w:bCs/>
          <w:u w:val="single"/>
        </w:rPr>
      </w:pPr>
      <w:r>
        <w:rPr>
          <w:b/>
          <w:bCs/>
          <w:u w:val="single"/>
        </w:rPr>
        <w:t>Discussion on further details of MI-Option 1</w:t>
      </w:r>
    </w:p>
    <w:p>
      <w:r>
        <w:t xml:space="preserve">For the CSI use case, data collection related configuration may include at least the CSI configuration; for example, the UE may use the CSI-RS resource configuration and the CSI reporting configuration to determine the observation window and prediction window configuration for CSI prediction. Additional data collection related configuration may enable the UE to associate the configuration with an appropriate UE-side AI/ML CSI prediction model (in terms of antenna ports, sub-band size, carrier frequency, observation/prediction window).  However, during the Rel-18 SI it was identified that the ML models may not always generalize well; for example, in case of CSI prediction, the model performance may be sensitive to the UE speed.  To enable the UE to associate a model with a UE speed (or range of UE speeds) for the dataset, the NW may need to indicate to the UE the speed (or the range of speeds) for the data collection.    The performance of UE-side CSI prediction model may also be sensitive to UE-side additional conditions (e.g., channel conditions), as well as to NW-side additional conditions.  </w:t>
      </w:r>
    </w:p>
    <w:p>
      <w:r>
        <w:t>As discussed above, for the UE to identify the model, the UE needs information related to the dataset, the NW-side additional conditions, as well as the UE-side additional conditions.</w:t>
      </w:r>
    </w:p>
    <w:p>
      <w:r>
        <w:t xml:space="preserve">RAN1 #116b </w:t>
      </w:r>
      <w:r>
        <w:fldChar w:fldCharType="begin"/>
      </w:r>
      <w:r>
        <w:instrText xml:space="preserve"> REF _Ref166181206 \r \h </w:instrText>
      </w:r>
      <w:r>
        <w:fldChar w:fldCharType="separate"/>
      </w:r>
      <w:r>
        <w:t>[10]</w:t>
      </w:r>
      <w:r>
        <w:fldChar w:fldCharType="end"/>
      </w:r>
      <w:r>
        <w:t xml:space="preserve"> provided an example of MI-Option 1 procedure for further study, as follows.</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0"/>
      </w:tblGrid>
      <w:tr>
        <w:tc>
          <w:tcPr>
            <w:tcW w:w="9350" w:type="dxa"/>
          </w:tcPr>
          <w:p>
            <w:pPr>
              <w:spacing w:after="0" w:line="240" w:lineRule="auto"/>
              <w:rPr>
                <w:rFonts w:eastAsia="DengXian"/>
                <w:iCs/>
                <w:szCs w:val="20"/>
                <w:highlight w:val="green"/>
                <w:lang w:eastAsia="zh-CN"/>
              </w:rPr>
            </w:pPr>
            <w:r>
              <w:rPr>
                <w:rFonts w:eastAsia="DengXian"/>
                <w:iCs/>
                <w:szCs w:val="20"/>
                <w:highlight w:val="green"/>
                <w:lang w:eastAsia="zh-CN"/>
              </w:rPr>
              <w:t>Agreement</w:t>
            </w:r>
          </w:p>
          <w:p>
            <w:pPr>
              <w:spacing w:after="0" w:line="240" w:lineRule="auto"/>
              <w:rPr>
                <w:bCs/>
                <w:szCs w:val="20"/>
              </w:rPr>
            </w:pPr>
            <w:r>
              <w:rPr>
                <w:bCs/>
                <w:szCs w:val="20"/>
              </w:rPr>
              <w:t xml:space="preserve">From RAN1 perspective, for UE-sided model(s) developed (e.g., trained, updated) at UE side, following procedure is an example (noted as </w:t>
            </w:r>
            <w:r>
              <w:rPr>
                <w:b/>
                <w:szCs w:val="20"/>
              </w:rPr>
              <w:t>AI-Example1</w:t>
            </w:r>
            <w:r>
              <w:rPr>
                <w:bCs/>
                <w:szCs w:val="20"/>
              </w:rPr>
              <w:t>) of MI-Option1 for further study (including the feasibility/necessity)</w:t>
            </w:r>
          </w:p>
          <w:p>
            <w:pPr>
              <w:numPr>
                <w:ilvl w:val="0"/>
                <w:numId w:val="11"/>
              </w:numPr>
              <w:spacing w:after="0" w:line="276" w:lineRule="auto"/>
              <w:rPr>
                <w:bCs/>
                <w:szCs w:val="20"/>
              </w:rPr>
            </w:pPr>
            <w:r>
              <w:rPr>
                <w:bCs/>
                <w:szCs w:val="20"/>
              </w:rPr>
              <w:t>A: For data collection, NW signals the data collection related configuration(s) and it/their associated ID(s)</w:t>
            </w:r>
            <w:r>
              <w:rPr>
                <w:rFonts w:eastAsia="DengXian"/>
                <w:bCs/>
                <w:szCs w:val="20"/>
                <w:lang w:eastAsia="zh-CN"/>
              </w:rPr>
              <w:t xml:space="preserve"> </w:t>
            </w:r>
          </w:p>
          <w:p>
            <w:pPr>
              <w:numPr>
                <w:ilvl w:val="1"/>
                <w:numId w:val="11"/>
              </w:numPr>
              <w:spacing w:after="0" w:line="276" w:lineRule="auto"/>
              <w:rPr>
                <w:bCs/>
                <w:szCs w:val="20"/>
              </w:rPr>
            </w:pPr>
            <w:r>
              <w:rPr>
                <w:bCs/>
                <w:szCs w:val="20"/>
              </w:rPr>
              <w:t>Associated IDs for each sub use case in relation with NW-sided additional conditions</w:t>
            </w:r>
          </w:p>
          <w:p>
            <w:pPr>
              <w:numPr>
                <w:ilvl w:val="0"/>
                <w:numId w:val="11"/>
              </w:numPr>
              <w:spacing w:after="0" w:line="276" w:lineRule="auto"/>
              <w:rPr>
                <w:bCs/>
                <w:strike/>
                <w:szCs w:val="20"/>
              </w:rPr>
            </w:pPr>
            <w:r>
              <w:rPr>
                <w:bCs/>
                <w:szCs w:val="20"/>
              </w:rPr>
              <w:t xml:space="preserve">B: UE(s) collects the data corresponding to the associated ID(s)  </w:t>
            </w:r>
          </w:p>
          <w:p>
            <w:pPr>
              <w:numPr>
                <w:ilvl w:val="0"/>
                <w:numId w:val="11"/>
              </w:numPr>
              <w:spacing w:after="0" w:line="276" w:lineRule="auto"/>
              <w:rPr>
                <w:bCs/>
                <w:strike/>
                <w:szCs w:val="20"/>
              </w:rPr>
            </w:pPr>
            <w:r>
              <w:rPr>
                <w:bCs/>
                <w:szCs w:val="20"/>
              </w:rPr>
              <w:t>C: AI/ML models are developed (e.g., trained, updated) at UE side based on the collected data corresponding to the associated ID(s).</w:t>
            </w:r>
            <w:r>
              <w:rPr>
                <w:bCs/>
                <w:color w:val="FF0000"/>
                <w:szCs w:val="20"/>
              </w:rPr>
              <w:t xml:space="preserve"> </w:t>
            </w:r>
          </w:p>
          <w:p>
            <w:pPr>
              <w:numPr>
                <w:ilvl w:val="0"/>
                <w:numId w:val="11"/>
              </w:numPr>
              <w:spacing w:after="0" w:line="276" w:lineRule="auto"/>
              <w:rPr>
                <w:bCs/>
                <w:szCs w:val="20"/>
              </w:rPr>
            </w:pPr>
            <w:r>
              <w:rPr>
                <w:bCs/>
                <w:szCs w:val="20"/>
              </w:rPr>
              <w:t xml:space="preserve">D: UE reports information of </w:t>
            </w:r>
            <w:r>
              <w:rPr>
                <w:rFonts w:eastAsia="DengXian"/>
                <w:szCs w:val="20"/>
                <w:lang w:eastAsia="zh-CN"/>
              </w:rPr>
              <w:t>its</w:t>
            </w:r>
            <w:r>
              <w:rPr>
                <w:rFonts w:eastAsia="MS Mincho"/>
                <w:szCs w:val="20"/>
              </w:rPr>
              <w:t xml:space="preserve"> AI/ML model</w:t>
            </w:r>
            <w:r>
              <w:rPr>
                <w:rFonts w:eastAsia="DengXian"/>
                <w:szCs w:val="20"/>
                <w:lang w:eastAsia="zh-CN"/>
              </w:rPr>
              <w:t>s corresponding to associated IDs to the NW. Model ID is determined/assigned for each AI/ML model</w:t>
            </w:r>
          </w:p>
          <w:p>
            <w:pPr>
              <w:numPr>
                <w:ilvl w:val="1"/>
                <w:numId w:val="11"/>
              </w:numPr>
              <w:spacing w:after="0" w:line="276" w:lineRule="auto"/>
              <w:rPr>
                <w:bCs/>
                <w:szCs w:val="20"/>
              </w:rPr>
            </w:pPr>
            <w:r>
              <w:rPr>
                <w:bCs/>
                <w:szCs w:val="20"/>
              </w:rPr>
              <w:t>relationship between model ID(s) and the associated ID(s)</w:t>
            </w:r>
          </w:p>
          <w:p>
            <w:pPr>
              <w:numPr>
                <w:ilvl w:val="1"/>
                <w:numId w:val="11"/>
              </w:numPr>
              <w:spacing w:after="0" w:line="276" w:lineRule="auto"/>
              <w:rPr>
                <w:bCs/>
                <w:szCs w:val="20"/>
              </w:rPr>
            </w:pPr>
            <w:r>
              <w:rPr>
                <w:rFonts w:eastAsia="DengXian"/>
                <w:bCs/>
                <w:szCs w:val="20"/>
                <w:lang w:eastAsia="zh-CN"/>
              </w:rPr>
              <w:t>H</w:t>
            </w:r>
            <w:r>
              <w:rPr>
                <w:bCs/>
                <w:szCs w:val="20"/>
              </w:rPr>
              <w:t xml:space="preserve">ow model ID(s) is determined/assigned, e.g., </w:t>
            </w:r>
          </w:p>
          <w:p>
            <w:pPr>
              <w:numPr>
                <w:ilvl w:val="2"/>
                <w:numId w:val="11"/>
              </w:numPr>
              <w:spacing w:after="0" w:line="276" w:lineRule="auto"/>
              <w:rPr>
                <w:bCs/>
                <w:szCs w:val="20"/>
              </w:rPr>
            </w:pPr>
            <w:r>
              <w:rPr>
                <w:bCs/>
                <w:szCs w:val="20"/>
              </w:rPr>
              <w:t>Alt.1: NW assigns Model ID</w:t>
            </w:r>
          </w:p>
          <w:p>
            <w:pPr>
              <w:numPr>
                <w:ilvl w:val="2"/>
                <w:numId w:val="11"/>
              </w:numPr>
              <w:spacing w:after="0" w:line="276" w:lineRule="auto"/>
              <w:rPr>
                <w:bCs/>
                <w:szCs w:val="20"/>
              </w:rPr>
            </w:pPr>
            <w:r>
              <w:rPr>
                <w:bCs/>
                <w:szCs w:val="20"/>
              </w:rPr>
              <w:t>Alt.2: UE assigns/reports Model ID</w:t>
            </w:r>
          </w:p>
          <w:p>
            <w:pPr>
              <w:numPr>
                <w:ilvl w:val="2"/>
                <w:numId w:val="11"/>
              </w:numPr>
              <w:spacing w:after="0" w:line="276" w:lineRule="auto"/>
              <w:rPr>
                <w:bCs/>
                <w:szCs w:val="20"/>
              </w:rPr>
            </w:pPr>
            <w:r>
              <w:rPr>
                <w:bCs/>
                <w:szCs w:val="20"/>
              </w:rPr>
              <w:t>Alt.3: Associated ID(s) is assumed as model ID(s)</w:t>
            </w:r>
          </w:p>
          <w:p>
            <w:pPr>
              <w:numPr>
                <w:ilvl w:val="3"/>
                <w:numId w:val="11"/>
              </w:numPr>
              <w:spacing w:after="0" w:line="276" w:lineRule="auto"/>
              <w:rPr>
                <w:bCs/>
                <w:szCs w:val="20"/>
              </w:rPr>
            </w:pPr>
            <w:r>
              <w:rPr>
                <w:bCs/>
                <w:szCs w:val="20"/>
              </w:rPr>
              <w:t>“Model ID is determined/assigned for each AI/ML model” in D is not needed</w:t>
            </w:r>
          </w:p>
          <w:p>
            <w:pPr>
              <w:numPr>
                <w:ilvl w:val="2"/>
                <w:numId w:val="11"/>
              </w:numPr>
              <w:spacing w:after="0" w:line="276" w:lineRule="auto"/>
              <w:rPr>
                <w:bCs/>
                <w:szCs w:val="20"/>
              </w:rPr>
            </w:pPr>
            <w:r>
              <w:rPr>
                <w:bCs/>
                <w:szCs w:val="20"/>
              </w:rPr>
              <w:t>Alt.4: Model ID is determined by pre-defined rule(s) in the specification</w:t>
            </w:r>
          </w:p>
          <w:p>
            <w:pPr>
              <w:numPr>
                <w:ilvl w:val="1"/>
                <w:numId w:val="11"/>
              </w:numPr>
              <w:spacing w:after="0" w:line="276" w:lineRule="auto"/>
              <w:rPr>
                <w:bCs/>
                <w:szCs w:val="20"/>
              </w:rPr>
            </w:pPr>
            <w:r>
              <w:rPr>
                <w:bCs/>
                <w:szCs w:val="20"/>
              </w:rPr>
              <w:t>FFS: how to report</w:t>
            </w:r>
          </w:p>
          <w:p>
            <w:pPr>
              <w:numPr>
                <w:ilvl w:val="1"/>
                <w:numId w:val="11"/>
              </w:numPr>
              <w:spacing w:after="0" w:line="276" w:lineRule="auto"/>
              <w:rPr>
                <w:bCs/>
                <w:szCs w:val="20"/>
              </w:rPr>
            </w:pPr>
            <w:r>
              <w:rPr>
                <w:bCs/>
                <w:szCs w:val="20"/>
              </w:rPr>
              <w:t>Note: D is to facilitate AI/ML model inference</w:t>
            </w:r>
          </w:p>
          <w:p>
            <w:pPr>
              <w:spacing w:after="0" w:line="240" w:lineRule="auto"/>
            </w:pPr>
            <w:r>
              <w:rPr>
                <w:rFonts w:eastAsia="DengXian"/>
                <w:bCs/>
                <w:szCs w:val="20"/>
                <w:lang w:eastAsia="zh-CN"/>
              </w:rPr>
              <w:t>Note: Step A/B/C and additional interaction of associated IDs between UE and NW can be considered as a different solution for resolving the consistency without model identification.</w:t>
            </w:r>
          </w:p>
        </w:tc>
      </w:tr>
    </w:tbl>
    <w:p/>
    <w:p>
      <w:r>
        <w:t>It has been agreed that associated ID can be assigned to a specific data collection related configuration(s) and the associated ID can be used for a model identification, where the data collection related configuration(s) are necessary information for a UE to determine whether the UE has applicable AI/ML model for a functionality configured by gNB. It seems to be beneficial if NW-sided additional conditions are also associated with the associated ID so that a UE can determine the applicable AI/ML model when the UE is provided with the associated ID for a configured functionality.</w:t>
      </w:r>
    </w:p>
    <w:p>
      <w:pPr>
        <w:rPr>
          <w:b/>
          <w:bCs/>
        </w:rPr>
      </w:pPr>
      <w:r>
        <w:rPr>
          <w:b/>
          <w:bCs/>
        </w:rPr>
        <w:t>Proposal 1: An associated ID corresponds to data collection related configuration(s) and NW-sided additional conditions.</w:t>
      </w:r>
    </w:p>
    <w:p>
      <w:pPr>
        <w:rPr>
          <w:strike/>
        </w:rPr>
      </w:pPr>
      <w:r>
        <w:t xml:space="preserve">For the single-sided model developed and used at the UE side, it seems to be enough to support Alt-3 only since it is good enough to report from UE side whether the UE has applicable AI/ML models or not for a specific functionality with configurations and NW-sided additional conditions. </w:t>
      </w:r>
    </w:p>
    <w:p>
      <w:r>
        <w:t>If a network wants to control AI/ML model level for a specific functionality, the network may assign associated ID with a finer granularity of the data collection related configurations and NW-sided conditions and then the LCM can be done in the associated ID level which may be equivalent to the Model-ID based LCM.</w:t>
      </w:r>
    </w:p>
    <w:p>
      <w:pPr>
        <w:rPr>
          <w:b/>
          <w:bCs/>
        </w:rPr>
      </w:pPr>
      <w:r>
        <w:rPr>
          <w:b/>
          <w:bCs/>
        </w:rPr>
        <w:t>Observation 5: based on how to assign Associated ID, associated ID level LCM may be equivalent to model-ID based LCM. Therefore, Alt.3 seems to be enough to cover most of use case for the single-sided model developed and used at the UE side.</w:t>
      </w:r>
    </w:p>
    <w:p>
      <w:pPr>
        <w:rPr>
          <w:b/>
          <w:bCs/>
        </w:rPr>
      </w:pPr>
      <w:r>
        <w:rPr>
          <w:b/>
          <w:bCs/>
        </w:rPr>
        <w:t>Proposal 2: For single-sided model developed and used at the UE side, down-select Alt-3 only for MI-Option 1 for further study.</w:t>
      </w:r>
    </w:p>
    <w:p/>
    <w:p>
      <w:r>
        <w:t xml:space="preserve">For beam prediction based on AI/ML, data collection related configuration may include at least reporting related configuration (e.g., based on the CSI configuration in the current CSI framework), beam related configuration (e.g., RS configurations for Set A, Set B and neither) [9], configuration of TCI states for unmeasured/measured beams and additional </w:t>
      </w:r>
      <w:r>
        <w:rPr>
          <w:rFonts w:hint="eastAsia" w:eastAsia="Malgun Gothic"/>
          <w:lang w:eastAsia="ko-KR"/>
        </w:rPr>
        <w:t>KPIs</w:t>
      </w:r>
      <w:r>
        <w:t xml:space="preserve"> (e.g., UE speed, UE channel condition including LOS probability and etc.). Especially for TCI states for unmeasured beams, configuration of logical beam ID as a QCL Type-D reference RS and neighboring beam related information to acquire QCL Type-A/B/C related parameters (e.g., Doppler shift, Doppler spread, average delay and delay spread) should be supported to acquire QCL related information including QCL Type-A/B/C/D. In case of BM-Case 2, configuration on the observation window and prediction window configuration for temporal domain prediction can be additionally supported. </w:t>
      </w:r>
    </w:p>
    <w:p>
      <w:r>
        <w:t xml:space="preserve">During the evaluations in the SI, performance loss due to lack of generalization was clearly identified (i.e., performance loss of Case 2 from Case 1 or Case 3). In that regard, the UE and/or the gNB (e.g., depending on a type of LCM) may enable to associate appropriate configuration with proper AI/ML model for beam management in UE side based on the RS configuration, the QCL related configuration and the additional information. </w:t>
      </w:r>
    </w:p>
    <w:p>
      <w:pPr>
        <w:spacing w:before="240"/>
      </w:pPr>
      <w:r>
        <w:t>To verify the consistency between training and inference for a UE-side model, the UE needs the inference configuration.  The inference configuration may be specific to each use case, as further discussed below.</w:t>
      </w:r>
    </w:p>
    <w:p>
      <w:pPr>
        <w:spacing w:before="240"/>
      </w:pPr>
      <w:r>
        <w:t>For AIML-based positioning, inference configurations can include PRS configurations (e.g., PRS resource ID) and associated assistance information (e.g., TRP locations). Some PRS configurations and assistance information, such as cell ID or frequency layer ID, should be the same between training and inference to maintain consistency. For AIML-based beam management, inference configurations can include beam related configuration (e.g., RS configuration for Set A and Set B) and TCI state related configuration and so forth.</w:t>
      </w:r>
    </w:p>
    <w:p>
      <w:pPr>
        <w:spacing w:before="240"/>
      </w:pPr>
      <w:r>
        <w:t>Regardless of the use case, to verify consistency between training and inference and determine whether the UE has applicable model(s) for a specific functionality, the UE needs to know at least associated ID, which will provide data collection related configurations as well as NW-side addition condition, and inference related configuration. There are few options how the inference related configuration is provided for a UE to check model/functionality applicability as following:</w:t>
      </w:r>
    </w:p>
    <w:p>
      <w:pPr>
        <w:pStyle w:val="37"/>
        <w:numPr>
          <w:ilvl w:val="0"/>
          <w:numId w:val="12"/>
        </w:numPr>
        <w:spacing w:before="240"/>
        <w:jc w:val="left"/>
      </w:pPr>
      <w:r>
        <w:t>Option 1: Inference configuration is a subset of or equivalent to the data collection related configuration, therefore when a UE received an associated ID, the UE can determine model/functionality applicability without additional inference related configuration.</w:t>
      </w:r>
    </w:p>
    <w:p>
      <w:pPr>
        <w:pStyle w:val="37"/>
        <w:numPr>
          <w:ilvl w:val="0"/>
          <w:numId w:val="12"/>
        </w:numPr>
        <w:spacing w:before="240"/>
        <w:jc w:val="left"/>
      </w:pPr>
      <w:r>
        <w:t>Option 2: Inference configuration separate configuration from data collection related configuration, therefore a UE need to receive inference configuration to determine model/functionality applicability.</w:t>
      </w:r>
    </w:p>
    <w:p>
      <w:pPr>
        <w:spacing w:before="240"/>
      </w:pPr>
      <w:r>
        <w:t xml:space="preserve">RAN2 recently had e-mail discussions on the LCM which includes procedures how to determine model/functionality applicability at the UE for one sided model </w:t>
      </w:r>
      <w:r>
        <w:fldChar w:fldCharType="begin"/>
      </w:r>
      <w:r>
        <w:instrText xml:space="preserve"> REF _Ref174086432 \r \h  \* MERGEFORMAT </w:instrText>
      </w:r>
      <w:r>
        <w:fldChar w:fldCharType="separate"/>
      </w:r>
      <w:r>
        <w:t>[12]</w:t>
      </w:r>
      <w:r>
        <w:fldChar w:fldCharType="end"/>
      </w:r>
      <w:r>
        <w:t>. Based on the discussion, it seems that a clarification is needed from RAN1 on how the UE can identify applicable model/functionality when associated ID is provided and whether/what additional information is needed.</w:t>
      </w:r>
    </w:p>
    <w:p>
      <w:pPr>
        <w:spacing w:before="240"/>
      </w:pPr>
      <w:r>
        <w:t xml:space="preserve">Based on the discussion above and the RAN1 #116b agreement on MI-Option 1, our view is that the associated ID can provide the necessary information for the UE to determine consistency between training and inference without additional information/configurations (i.e., Option 1 above).  </w:t>
      </w:r>
    </w:p>
    <w:p>
      <w:pPr>
        <w:spacing w:before="240"/>
        <w:rPr>
          <w:b/>
          <w:bCs/>
        </w:rPr>
      </w:pPr>
      <w:r>
        <w:rPr>
          <w:b/>
          <w:bCs/>
        </w:rPr>
        <w:t>Proposal 3: Associated ID signaled by the NW can be used at the UE-side to determine consistency between training and inference without additional information/configurations.</w:t>
      </w:r>
    </w:p>
    <w:p>
      <w:pPr>
        <w:spacing w:before="240"/>
      </w:pPr>
    </w:p>
    <w:p>
      <w:pPr>
        <w:rPr>
          <w:b/>
          <w:bCs/>
          <w:u w:val="single"/>
        </w:rPr>
      </w:pPr>
      <w:r>
        <w:rPr>
          <w:b/>
          <w:bCs/>
          <w:u w:val="single"/>
        </w:rPr>
        <w:t>Necessity of Model Identification</w:t>
      </w:r>
    </w:p>
    <w:p>
      <w:pPr>
        <w:spacing w:before="240"/>
      </w:pPr>
      <w:r>
        <w:t>The following three options of model identification are identified in RAN1#116.</w:t>
      </w:r>
    </w:p>
    <w:p>
      <w:pPr>
        <w:pStyle w:val="37"/>
        <w:numPr>
          <w:ilvl w:val="0"/>
          <w:numId w:val="8"/>
        </w:numPr>
      </w:pPr>
      <w:r>
        <w:t>MI-Option 1: Model identification with data collection related configuration(s) and/or indication(s)</w:t>
      </w:r>
    </w:p>
    <w:p>
      <w:pPr>
        <w:pStyle w:val="37"/>
        <w:numPr>
          <w:ilvl w:val="0"/>
          <w:numId w:val="8"/>
        </w:numPr>
      </w:pPr>
      <w:r>
        <w:t>MI-Option 2: Model identification with dataset transfer</w:t>
      </w:r>
    </w:p>
    <w:p>
      <w:pPr>
        <w:pStyle w:val="37"/>
        <w:numPr>
          <w:ilvl w:val="0"/>
          <w:numId w:val="8"/>
        </w:numPr>
      </w:pPr>
      <w:r>
        <w:t>MI-Option 3: Model identification in model transfer from NW to UE</w:t>
      </w:r>
    </w:p>
    <w:p>
      <w:pPr>
        <w:spacing w:before="240"/>
      </w:pPr>
      <w:r>
        <w:t>For positioning, PRS configuration contains functionality information such as cell, TRP, etc. Area information can also be conveyed to the UE from the network, as area-based configurations were agreed for UL positioning for LPHAP (Low Power High Accuracy Positioning) for Rel. 19. Therefore, MI-Option 1 can be used by associating one of the PRS configuration parameters to a functionality for positioning purpose (e.g., one functionality can be a cell ID and AIML model is associated with a cell). In addition, data collection procedure can also be associated with PRS configuration parameters. Therefore, a PRS configuration parameter can be used as a binder of data collection process and model identification.</w:t>
      </w:r>
    </w:p>
    <w:p>
      <w:pPr>
        <w:spacing w:before="240"/>
      </w:pPr>
      <w:r>
        <w:t>From our perspective, specification impacts of MI-Option 1 are very small. In addition, as discussed in Proposal 1, model identification can be accomplished without a model ID, at least for AIML positioning purpose.</w:t>
      </w:r>
    </w:p>
    <w:p>
      <w:pPr>
        <w:spacing w:before="240"/>
      </w:pPr>
      <w:r>
        <w:t>MI-Option 2 will require the definition of a dataset for identification of a model. As the current status of the details of the dataset is not clear, specification impacts of MI-Option 2 is not clear. MI-Option 3 will require model transfer and the specification impacts MI-Option 3 will depend on the status of the discussion related to model transfer. To ensure successful completion of Release 19, our preference is to support MI-Option 1 for model identification type B.</w:t>
      </w:r>
    </w:p>
    <w:p>
      <w:pPr>
        <w:spacing w:before="240"/>
        <w:rPr>
          <w:b/>
          <w:bCs/>
        </w:rPr>
      </w:pPr>
      <w:r>
        <w:rPr>
          <w:b/>
          <w:bCs/>
        </w:rPr>
        <w:t>Proposal 4: For AIML positioning purpose, support MI-Option 1 for model identification type B.</w:t>
      </w:r>
    </w:p>
    <w:p>
      <w:pPr>
        <w:spacing w:before="240"/>
      </w:pPr>
      <w:r>
        <w:t xml:space="preserve">For the UE-part of a two-sided model, RAN1 #117 </w:t>
      </w:r>
      <w:r>
        <w:fldChar w:fldCharType="begin"/>
      </w:r>
      <w:r>
        <w:instrText xml:space="preserve"> REF _Ref174002248 \r \h  \* MERGEFORMAT </w:instrText>
      </w:r>
      <w:r>
        <w:fldChar w:fldCharType="separate"/>
      </w:r>
      <w:r>
        <w:t>[11]</w:t>
      </w:r>
      <w:r>
        <w:fldChar w:fldCharType="end"/>
      </w:r>
      <w:r>
        <w:t xml:space="preserve"> agreed to further study an example of MI-Option2, as follows.</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0"/>
      </w:tblGrid>
      <w:tr>
        <w:tc>
          <w:tcPr>
            <w:tcW w:w="9350" w:type="dxa"/>
          </w:tcPr>
          <w:p>
            <w:pPr>
              <w:spacing w:after="0" w:line="240" w:lineRule="auto"/>
            </w:pPr>
            <w:r>
              <w:rPr>
                <w:rFonts w:hint="eastAsia"/>
              </w:rPr>
              <w:t>Agreement</w:t>
            </w:r>
          </w:p>
          <w:p>
            <w:pPr>
              <w:spacing w:after="0" w:line="240" w:lineRule="auto"/>
            </w:pPr>
            <w:r>
              <w:t>From RAN1 perspective, for UE part of two-sided model, further study the following example of MI-Option2 (including the feasibility/necessity)</w:t>
            </w:r>
          </w:p>
          <w:p>
            <w:pPr>
              <w:pStyle w:val="37"/>
              <w:numPr>
                <w:ilvl w:val="0"/>
                <w:numId w:val="13"/>
              </w:numPr>
              <w:overflowPunct w:val="0"/>
              <w:autoSpaceDE w:val="0"/>
              <w:autoSpaceDN w:val="0"/>
              <w:adjustRightInd w:val="0"/>
              <w:spacing w:after="180"/>
              <w:contextualSpacing/>
              <w:jc w:val="left"/>
              <w:textAlignment w:val="baseline"/>
              <w:rPr>
                <w:lang w:eastAsia="zh-CN"/>
              </w:rPr>
            </w:pPr>
            <w:r>
              <w:rPr>
                <w:lang w:eastAsia="zh-CN"/>
              </w:rPr>
              <w:t>AI-Example2-1</w:t>
            </w:r>
          </w:p>
          <w:p>
            <w:pPr>
              <w:pStyle w:val="37"/>
              <w:numPr>
                <w:ilvl w:val="1"/>
                <w:numId w:val="13"/>
              </w:numPr>
              <w:overflowPunct w:val="0"/>
              <w:autoSpaceDE w:val="0"/>
              <w:autoSpaceDN w:val="0"/>
              <w:adjustRightInd w:val="0"/>
              <w:spacing w:after="180"/>
              <w:contextualSpacing/>
              <w:jc w:val="left"/>
              <w:textAlignment w:val="baseline"/>
              <w:rPr>
                <w:lang w:eastAsia="zh-CN"/>
              </w:rPr>
            </w:pPr>
            <w:r>
              <w:rPr>
                <w:lang w:eastAsia="zh-CN"/>
              </w:rPr>
              <w:t xml:space="preserve">A: A dataset is transferred from the </w:t>
            </w:r>
            <w:r>
              <w:rPr>
                <w:rFonts w:hint="eastAsia" w:eastAsia="DengXian"/>
                <w:lang w:eastAsia="zh-CN"/>
              </w:rPr>
              <w:t>NW</w:t>
            </w:r>
            <w:r>
              <w:rPr>
                <w:rFonts w:eastAsia="DengXian"/>
                <w:lang w:eastAsia="zh-CN"/>
              </w:rPr>
              <w:t>/NW-side</w:t>
            </w:r>
            <w:r>
              <w:rPr>
                <w:rFonts w:hint="eastAsia" w:eastAsia="DengXian"/>
                <w:lang w:eastAsia="zh-CN"/>
              </w:rPr>
              <w:t xml:space="preserve"> to UE</w:t>
            </w:r>
            <w:r>
              <w:rPr>
                <w:rFonts w:eastAsia="DengXian"/>
                <w:lang w:eastAsia="zh-CN"/>
              </w:rPr>
              <w:t>/UE-side</w:t>
            </w:r>
            <w:r>
              <w:rPr>
                <w:rFonts w:hint="eastAsia" w:eastAsia="DengXian"/>
                <w:lang w:eastAsia="zh-CN"/>
              </w:rPr>
              <w:t xml:space="preserve"> via s</w:t>
            </w:r>
            <w:r>
              <w:rPr>
                <w:lang w:eastAsia="zh-CN"/>
              </w:rPr>
              <w:t>tandar</w:t>
            </w:r>
            <w:r>
              <w:rPr>
                <w:rFonts w:hint="eastAsia" w:eastAsia="DengXian"/>
                <w:lang w:eastAsia="zh-CN"/>
              </w:rPr>
              <w:t>d</w:t>
            </w:r>
            <w:r>
              <w:rPr>
                <w:lang w:eastAsia="zh-CN"/>
              </w:rPr>
              <w:t>ized signal</w:t>
            </w:r>
            <w:r>
              <w:rPr>
                <w:rFonts w:eastAsia="DengXian"/>
                <w:lang w:eastAsia="zh-CN"/>
              </w:rPr>
              <w:t>i</w:t>
            </w:r>
            <w:r>
              <w:rPr>
                <w:lang w:eastAsia="zh-CN"/>
              </w:rPr>
              <w:t xml:space="preserve">ng. </w:t>
            </w:r>
          </w:p>
          <w:p>
            <w:pPr>
              <w:pStyle w:val="37"/>
              <w:numPr>
                <w:ilvl w:val="2"/>
                <w:numId w:val="13"/>
              </w:numPr>
              <w:overflowPunct w:val="0"/>
              <w:autoSpaceDE w:val="0"/>
              <w:autoSpaceDN w:val="0"/>
              <w:adjustRightInd w:val="0"/>
              <w:spacing w:after="180"/>
              <w:contextualSpacing/>
              <w:jc w:val="left"/>
              <w:textAlignment w:val="baseline"/>
            </w:pPr>
            <w:r>
              <w:t>Note: RAN1 study of Step A only focuses on RAN1 aspect of the data</w:t>
            </w:r>
            <w:r>
              <w:rPr>
                <w:rFonts w:hint="eastAsia" w:eastAsia="DengXian"/>
                <w:lang w:eastAsia="zh-CN"/>
              </w:rPr>
              <w:t>set</w:t>
            </w:r>
            <w:r>
              <w:t xml:space="preserve"> transfer from NW to UE. Other solution for dataset exchange is out of RAN1 scope. </w:t>
            </w:r>
          </w:p>
          <w:p>
            <w:pPr>
              <w:pStyle w:val="37"/>
              <w:numPr>
                <w:ilvl w:val="1"/>
                <w:numId w:val="13"/>
              </w:numPr>
              <w:overflowPunct w:val="0"/>
              <w:autoSpaceDE w:val="0"/>
              <w:autoSpaceDN w:val="0"/>
              <w:adjustRightInd w:val="0"/>
              <w:spacing w:after="180"/>
              <w:contextualSpacing/>
              <w:jc w:val="left"/>
              <w:textAlignment w:val="baseline"/>
            </w:pPr>
            <w:r>
              <w:t>B: UE part of two-sided model</w:t>
            </w:r>
            <w:r>
              <w:rPr>
                <w:rFonts w:hint="eastAsia" w:eastAsia="DengXian"/>
                <w:lang w:eastAsia="zh-CN"/>
              </w:rPr>
              <w:t>(s)</w:t>
            </w:r>
            <w:r>
              <w:t xml:space="preserve"> is</w:t>
            </w:r>
            <w:r>
              <w:rPr>
                <w:rFonts w:hint="eastAsia" w:eastAsia="DengXian"/>
                <w:lang w:eastAsia="zh-CN"/>
              </w:rPr>
              <w:t>(are)</w:t>
            </w:r>
            <w:r>
              <w:t xml:space="preserve"> developed based on at least the above dataset. </w:t>
            </w:r>
          </w:p>
          <w:p>
            <w:pPr>
              <w:pStyle w:val="37"/>
              <w:numPr>
                <w:ilvl w:val="1"/>
                <w:numId w:val="13"/>
              </w:numPr>
              <w:overflowPunct w:val="0"/>
              <w:autoSpaceDE w:val="0"/>
              <w:autoSpaceDN w:val="0"/>
              <w:adjustRightInd w:val="0"/>
              <w:spacing w:after="180"/>
              <w:contextualSpacing/>
              <w:jc w:val="left"/>
              <w:textAlignment w:val="baseline"/>
            </w:pPr>
            <w:r>
              <w:t xml:space="preserve">C: UE reports information of </w:t>
            </w:r>
            <w:r>
              <w:rPr>
                <w:rFonts w:hint="eastAsia" w:eastAsia="DengXian"/>
                <w:lang w:eastAsia="zh-CN"/>
              </w:rPr>
              <w:t>its</w:t>
            </w:r>
            <w:r>
              <w:rPr>
                <w:rFonts w:eastAsia="MS Mincho"/>
              </w:rPr>
              <w:t xml:space="preserve"> </w:t>
            </w:r>
            <w:r>
              <w:t>UE part of two-sided model</w:t>
            </w:r>
            <w:r>
              <w:rPr>
                <w:rFonts w:hint="eastAsia" w:eastAsia="DengXian"/>
                <w:lang w:eastAsia="zh-CN"/>
              </w:rPr>
              <w:t>(s)</w:t>
            </w:r>
            <w:r>
              <w:rPr>
                <w:rFonts w:eastAsia="DengXian"/>
                <w:lang w:eastAsia="zh-CN"/>
              </w:rPr>
              <w:t xml:space="preserve"> </w:t>
            </w:r>
            <w:r>
              <w:rPr>
                <w:rFonts w:hint="eastAsia" w:eastAsia="DengXian"/>
                <w:lang w:eastAsia="zh-CN"/>
              </w:rPr>
              <w:t xml:space="preserve">corresponding </w:t>
            </w:r>
            <w:r>
              <w:rPr>
                <w:rFonts w:eastAsia="DengXian"/>
                <w:lang w:eastAsia="zh-CN"/>
              </w:rPr>
              <w:t>to the above dataset</w:t>
            </w:r>
            <w:r>
              <w:rPr>
                <w:rFonts w:hint="eastAsia" w:eastAsia="DengXian"/>
                <w:lang w:eastAsia="zh-CN"/>
              </w:rPr>
              <w:t xml:space="preserve"> to </w:t>
            </w:r>
            <w:r>
              <w:rPr>
                <w:rFonts w:eastAsia="DengXian"/>
                <w:lang w:eastAsia="zh-CN"/>
              </w:rPr>
              <w:t>the NW.</w:t>
            </w:r>
            <w:r>
              <w:rPr>
                <w:rFonts w:hint="eastAsia" w:eastAsia="DengXian"/>
                <w:lang w:eastAsia="zh-CN"/>
              </w:rPr>
              <w:t xml:space="preserve"> </w:t>
            </w:r>
          </w:p>
          <w:p>
            <w:pPr>
              <w:pStyle w:val="37"/>
              <w:numPr>
                <w:ilvl w:val="1"/>
                <w:numId w:val="13"/>
              </w:numPr>
              <w:overflowPunct w:val="0"/>
              <w:autoSpaceDE w:val="0"/>
              <w:autoSpaceDN w:val="0"/>
              <w:adjustRightInd w:val="0"/>
              <w:spacing w:after="180"/>
              <w:contextualSpacing/>
              <w:jc w:val="left"/>
              <w:textAlignment w:val="baseline"/>
            </w:pPr>
            <w:r>
              <w:t>FFS: How m</w:t>
            </w:r>
            <w:r>
              <w:rPr>
                <w:rFonts w:eastAsia="DengXian"/>
                <w:lang w:eastAsia="zh-CN"/>
              </w:rPr>
              <w:t>odel ID is determined/assigned for each AI/ML model (including relationship between dataset and model ID)</w:t>
            </w:r>
          </w:p>
          <w:p>
            <w:pPr>
              <w:pStyle w:val="37"/>
              <w:numPr>
                <w:ilvl w:val="1"/>
                <w:numId w:val="13"/>
              </w:numPr>
              <w:overflowPunct w:val="0"/>
              <w:autoSpaceDE w:val="0"/>
              <w:autoSpaceDN w:val="0"/>
              <w:adjustRightInd w:val="0"/>
              <w:spacing w:after="180"/>
              <w:contextualSpacing/>
              <w:jc w:val="left"/>
              <w:textAlignment w:val="baseline"/>
            </w:pPr>
            <w:r>
              <w:t>Note: Some step(s) may not be needed for MI-Option2</w:t>
            </w:r>
          </w:p>
          <w:p>
            <w:pPr>
              <w:pStyle w:val="37"/>
              <w:numPr>
                <w:ilvl w:val="0"/>
                <w:numId w:val="13"/>
              </w:numPr>
              <w:overflowPunct w:val="0"/>
              <w:autoSpaceDE w:val="0"/>
              <w:autoSpaceDN w:val="0"/>
              <w:adjustRightInd w:val="0"/>
              <w:spacing w:after="180"/>
              <w:contextualSpacing/>
              <w:jc w:val="left"/>
              <w:textAlignment w:val="baseline"/>
            </w:pPr>
            <w:r>
              <w:t xml:space="preserve">Note: The above example is based on the assumption of NW-first training. It is separate discussion for the assumption of UE-first training. </w:t>
            </w:r>
          </w:p>
          <w:p>
            <w:pPr>
              <w:pStyle w:val="37"/>
              <w:numPr>
                <w:ilvl w:val="0"/>
                <w:numId w:val="13"/>
              </w:numPr>
              <w:overflowPunct w:val="0"/>
              <w:autoSpaceDE w:val="0"/>
              <w:autoSpaceDN w:val="0"/>
              <w:adjustRightInd w:val="0"/>
              <w:spacing w:after="180"/>
              <w:contextualSpacing/>
              <w:jc w:val="left"/>
              <w:textAlignment w:val="baseline"/>
            </w:pPr>
            <w:r>
              <w:t>Note: The study should consider the impact on inter-vendor collaboration</w:t>
            </w:r>
            <w:r>
              <w:rPr>
                <w:rFonts w:hint="eastAsia" w:eastAsia="DengXian"/>
                <w:lang w:eastAsia="zh-CN"/>
              </w:rPr>
              <w:t xml:space="preserve">, at least including complexity, performance, </w:t>
            </w:r>
            <w:r>
              <w:rPr>
                <w:rFonts w:eastAsia="DengXian"/>
                <w:lang w:eastAsia="zh-CN"/>
              </w:rPr>
              <w:t>interoperability</w:t>
            </w:r>
            <w:r>
              <w:rPr>
                <w:rFonts w:hint="eastAsia" w:eastAsia="DengXian"/>
                <w:lang w:eastAsia="zh-CN"/>
              </w:rPr>
              <w:t xml:space="preserve"> in RAN4/testing related aspects and feasibility.</w:t>
            </w:r>
          </w:p>
          <w:p>
            <w:pPr>
              <w:pStyle w:val="37"/>
              <w:numPr>
                <w:ilvl w:val="0"/>
                <w:numId w:val="13"/>
              </w:numPr>
              <w:overflowPunct w:val="0"/>
              <w:autoSpaceDE w:val="0"/>
              <w:autoSpaceDN w:val="0"/>
              <w:adjustRightInd w:val="0"/>
              <w:spacing w:after="180"/>
              <w:contextualSpacing/>
              <w:jc w:val="left"/>
              <w:textAlignment w:val="baseline"/>
            </w:pPr>
            <w:r>
              <w:t>FFS: whether/how to consider UE-side additional condition(s) for the dataset</w:t>
            </w:r>
          </w:p>
        </w:tc>
      </w:tr>
    </w:tbl>
    <w:p>
      <w:pPr>
        <w:spacing w:before="240"/>
      </w:pPr>
      <w:r>
        <w:t xml:space="preserve">Based on the above description, including step A, it appears that MI-Option2 is refers to Option 4 of the CSI compression sub-agenda item for the inter-vendor training collaboration, where Option 4 is further defined in RAN1 #116b </w:t>
      </w:r>
      <w:r>
        <w:fldChar w:fldCharType="begin"/>
      </w:r>
      <w:r>
        <w:instrText xml:space="preserve"> REF _Ref166181206 \r \h  \* MERGEFORMAT </w:instrText>
      </w:r>
      <w:r>
        <w:fldChar w:fldCharType="separate"/>
      </w:r>
      <w:r>
        <w:t>[10]</w:t>
      </w:r>
      <w:r>
        <w:fldChar w:fldCharType="end"/>
      </w:r>
      <w:r>
        <w:t xml:space="preserve"> as follows.</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0"/>
      </w:tblGrid>
      <w:tr>
        <w:tc>
          <w:tcPr>
            <w:tcW w:w="9350" w:type="dxa"/>
          </w:tcPr>
          <w:p>
            <w:pPr>
              <w:spacing w:after="0" w:line="240" w:lineRule="auto"/>
              <w:rPr>
                <w:rFonts w:eastAsia="DengXian"/>
                <w:lang w:eastAsia="zh-CN"/>
              </w:rPr>
            </w:pPr>
            <w:r>
              <w:rPr>
                <w:rFonts w:hint="eastAsia" w:eastAsia="DengXian"/>
                <w:lang w:eastAsia="zh-CN"/>
              </w:rPr>
              <w:t>Agreement</w:t>
            </w:r>
            <w:r>
              <w:rPr>
                <w:rFonts w:eastAsia="DengXian"/>
                <w:lang w:eastAsia="zh-CN"/>
              </w:rPr>
              <w:t xml:space="preserve"> (amended as shown in red in Wednesday session)</w:t>
            </w:r>
          </w:p>
          <w:p>
            <w:pPr>
              <w:numPr>
                <w:ilvl w:val="0"/>
                <w:numId w:val="14"/>
              </w:numPr>
              <w:spacing w:after="180" w:line="240" w:lineRule="auto"/>
              <w:contextualSpacing/>
              <w:rPr>
                <w:lang w:eastAsia="zh-CN"/>
              </w:rPr>
            </w:pPr>
            <w:r>
              <w:rPr>
                <w:lang w:eastAsia="zh-CN"/>
              </w:rPr>
              <w:t>For Option 3/4/5, focus further discussion on the following assumptions:</w:t>
            </w:r>
          </w:p>
          <w:p>
            <w:pPr>
              <w:numPr>
                <w:ilvl w:val="1"/>
                <w:numId w:val="14"/>
              </w:numPr>
              <w:spacing w:after="180" w:line="240" w:lineRule="auto"/>
              <w:contextualSpacing/>
              <w:rPr>
                <w:lang w:eastAsia="zh-CN"/>
              </w:rPr>
            </w:pPr>
            <w:r>
              <w:rPr>
                <w:lang w:eastAsia="zh-CN"/>
              </w:rPr>
              <w:t>Option 4:</w:t>
            </w:r>
          </w:p>
          <w:p>
            <w:pPr>
              <w:numPr>
                <w:ilvl w:val="2"/>
                <w:numId w:val="14"/>
              </w:numPr>
              <w:spacing w:after="180" w:line="240" w:lineRule="auto"/>
              <w:contextualSpacing/>
              <w:rPr>
                <w:lang w:eastAsia="zh-CN"/>
              </w:rPr>
            </w:pPr>
            <w:r>
              <w:rPr>
                <w:lang w:eastAsia="zh-CN"/>
              </w:rPr>
              <w:t>The dataset exchange originates from the NW-side and ends at the UE-side.</w:t>
            </w:r>
          </w:p>
          <w:p>
            <w:pPr>
              <w:numPr>
                <w:ilvl w:val="2"/>
                <w:numId w:val="14"/>
              </w:numPr>
              <w:spacing w:after="180" w:line="240" w:lineRule="auto"/>
              <w:contextualSpacing/>
              <w:rPr>
                <w:color w:val="FF0000"/>
                <w:lang w:eastAsia="zh-CN"/>
              </w:rPr>
            </w:pPr>
            <w:r>
              <w:rPr>
                <w:color w:val="FF0000"/>
                <w:lang w:eastAsia="zh-CN"/>
              </w:rPr>
              <w:t>Option 4-1: Dataset exchanged from the NW-side to UE-side consists of (target CSI,  CSI feedback).</w:t>
            </w:r>
          </w:p>
          <w:p>
            <w:pPr>
              <w:numPr>
                <w:ilvl w:val="2"/>
                <w:numId w:val="14"/>
              </w:numPr>
              <w:spacing w:after="180" w:line="240" w:lineRule="auto"/>
              <w:contextualSpacing/>
              <w:rPr>
                <w:color w:val="FF0000"/>
                <w:lang w:eastAsia="zh-CN"/>
              </w:rPr>
            </w:pPr>
            <w:r>
              <w:rPr>
                <w:color w:val="FF0000"/>
                <w:lang w:eastAsia="zh-CN"/>
              </w:rPr>
              <w:t>Option 4-2: Dataset exchanged from the NW-side to UE-side consists of (CSI feedback, reconstructed target CSI).</w:t>
            </w:r>
          </w:p>
          <w:p>
            <w:pPr>
              <w:numPr>
                <w:ilvl w:val="2"/>
                <w:numId w:val="14"/>
              </w:numPr>
              <w:spacing w:after="180" w:line="240" w:lineRule="auto"/>
              <w:contextualSpacing/>
              <w:rPr>
                <w:color w:val="FF0000"/>
                <w:lang w:eastAsia="zh-CN"/>
              </w:rPr>
            </w:pPr>
            <w:r>
              <w:rPr>
                <w:color w:val="FF0000"/>
                <w:lang w:eastAsia="zh-CN"/>
              </w:rPr>
              <w:t>Option 4-</w:t>
            </w:r>
            <w:r>
              <w:rPr>
                <w:rFonts w:hint="eastAsia" w:eastAsia="DengXian"/>
                <w:color w:val="FF0000"/>
                <w:lang w:eastAsia="zh-CN"/>
              </w:rPr>
              <w:t>3</w:t>
            </w:r>
            <w:r>
              <w:rPr>
                <w:color w:val="FF0000"/>
                <w:lang w:eastAsia="zh-CN"/>
              </w:rPr>
              <w:t>: Dataset exchanged from the NW-side to UE-side consists of (target CSI, CSI feedback, reconstructed target CSI).</w:t>
            </w:r>
          </w:p>
          <w:p>
            <w:pPr>
              <w:numPr>
                <w:ilvl w:val="2"/>
                <w:numId w:val="14"/>
              </w:numPr>
              <w:spacing w:after="180" w:line="240" w:lineRule="auto"/>
              <w:contextualSpacing/>
              <w:rPr>
                <w:lang w:eastAsia="zh-CN"/>
              </w:rPr>
            </w:pPr>
            <w:r>
              <w:rPr>
                <w:lang w:eastAsia="zh-CN"/>
              </w:rPr>
              <w:t>Some additional information</w:t>
            </w:r>
            <w:r>
              <w:rPr>
                <w:rFonts w:hint="eastAsia" w:eastAsia="DengXian"/>
                <w:lang w:eastAsia="zh-CN"/>
              </w:rPr>
              <w:t xml:space="preserve">, if </w:t>
            </w:r>
            <w:r>
              <w:rPr>
                <w:rFonts w:eastAsia="DengXian"/>
                <w:lang w:eastAsia="zh-CN"/>
              </w:rPr>
              <w:t>necessary</w:t>
            </w:r>
            <w:r>
              <w:rPr>
                <w:rFonts w:hint="eastAsia" w:eastAsia="DengXian"/>
                <w:lang w:eastAsia="zh-CN"/>
              </w:rPr>
              <w:t xml:space="preserve">, may be </w:t>
            </w:r>
            <w:r>
              <w:rPr>
                <w:lang w:eastAsia="zh-CN"/>
              </w:rPr>
              <w:t>shared from the NW-side to help UE-side offline engineering and provide performance guidance.</w:t>
            </w:r>
          </w:p>
          <w:p>
            <w:pPr>
              <w:numPr>
                <w:ilvl w:val="3"/>
                <w:numId w:val="14"/>
              </w:numPr>
              <w:spacing w:after="180" w:line="240" w:lineRule="auto"/>
              <w:contextualSpacing/>
              <w:rPr>
                <w:lang w:eastAsia="zh-CN"/>
              </w:rPr>
            </w:pPr>
            <w:r>
              <w:rPr>
                <w:lang w:eastAsia="zh-CN"/>
              </w:rPr>
              <w:t>Performance target</w:t>
            </w:r>
          </w:p>
          <w:p>
            <w:pPr>
              <w:numPr>
                <w:ilvl w:val="2"/>
                <w:numId w:val="14"/>
              </w:numPr>
              <w:spacing w:after="180" w:line="240" w:lineRule="auto"/>
              <w:contextualSpacing/>
              <w:rPr>
                <w:lang w:eastAsia="zh-CN"/>
              </w:rPr>
            </w:pPr>
            <w:r>
              <w:rPr>
                <w:lang w:eastAsia="zh-CN"/>
              </w:rPr>
              <w:t>Study different methods of exchanging, e.g., over the air-interface, offline delivery, etc.</w:t>
            </w:r>
          </w:p>
          <w:p>
            <w:pPr>
              <w:spacing w:before="240" w:after="0" w:line="240" w:lineRule="auto"/>
              <w:rPr>
                <w:u w:val="single"/>
              </w:rPr>
            </w:pPr>
          </w:p>
        </w:tc>
      </w:tr>
    </w:tbl>
    <w:p>
      <w:pPr>
        <w:spacing w:before="240"/>
        <w:rPr>
          <w:b/>
          <w:bCs/>
        </w:rPr>
      </w:pPr>
      <w:r>
        <w:rPr>
          <w:b/>
          <w:bCs/>
        </w:rPr>
        <w:t>Proposal 5: Clarify if MI-Option2 refers to Option 4 in the CSI compression sub-agenda item (“Option 4: Standardized data / dataset format + Dataset exchange between NW-side and UE-side”).</w:t>
      </w:r>
    </w:p>
    <w:p>
      <w:pPr>
        <w:spacing w:before="240"/>
        <w:rPr>
          <w:lang w:eastAsia="zh-CN"/>
        </w:rPr>
      </w:pPr>
      <w:r>
        <w:t xml:space="preserve">Under the assumption of NW-first training, the outcome of steps A and B of </w:t>
      </w:r>
      <w:r>
        <w:rPr>
          <w:lang w:eastAsia="zh-CN"/>
        </w:rPr>
        <w:t xml:space="preserve">AI-Example2-1 is the UE-part model (e.g., UE-side CSI generation model) developed and trained at the UE/UE vendor side, based on the exchanged dataset. However, based solely on the dataset transferred in Step A, it may not always be possible to ensure that the UE-side CSI generation model is compatible with the NW-side CSI reconstruction model. Additional information may need to be exchanged from the NW-side to the UE-side (for example, performance/intermediate KPI performance targets) to ensure the UE-side CSI generation model is compatible with the NW-side CSI reconstruction model. This may lead to considerable inter-vendor collaboration complexity to align the UE-side and NW-side models.  </w:t>
      </w:r>
    </w:p>
    <w:p>
      <w:pPr>
        <w:spacing w:before="240"/>
      </w:pPr>
      <w:r>
        <w:t>Given the on-going discussions on inter-vendor training collaboration (including Option 4) in the CSI compression sub-agenda item, it may be beneficial to defer discussions on MI-Option2 for the UE-part of a two-sided model until more progress is made in the inter-vendor training collaboration discussion, at least for Option 4.</w:t>
      </w:r>
    </w:p>
    <w:p>
      <w:pPr>
        <w:spacing w:before="240"/>
        <w:rPr>
          <w:b/>
          <w:bCs/>
        </w:rPr>
      </w:pPr>
      <w:r>
        <w:rPr>
          <w:b/>
          <w:bCs/>
        </w:rPr>
        <w:t>Proposal 6: Defer discussions on MI-Option2 for the UE-part of a two-sided model until more progress is made in the inter-vendor training collaboration discussion, at least for Option 4.</w:t>
      </w:r>
    </w:p>
    <w:p>
      <w:pPr>
        <w:spacing w:before="240"/>
        <w:rPr>
          <w:u w:val="single"/>
        </w:rPr>
      </w:pPr>
    </w:p>
    <w:p>
      <w:pPr>
        <w:pStyle w:val="3"/>
      </w:pPr>
      <w:r>
        <w:t xml:space="preserve">Data collection for model training </w:t>
      </w:r>
    </w:p>
    <w:p>
      <w:pPr>
        <w:rPr>
          <w:bCs/>
        </w:rPr>
      </w:pPr>
      <w:r>
        <w:t xml:space="preserve">One of the objectives of the recently approved WI </w:t>
      </w:r>
      <w:r>
        <w:fldChar w:fldCharType="begin"/>
      </w:r>
      <w:r>
        <w:instrText xml:space="preserve"> REF _Ref158763775 \r \h </w:instrText>
      </w:r>
      <w:r>
        <w:fldChar w:fldCharType="separate"/>
      </w:r>
      <w:r>
        <w:t>[1]</w:t>
      </w:r>
      <w:r>
        <w:fldChar w:fldCharType="end"/>
      </w:r>
      <w:r>
        <w:t xml:space="preserve"> is to study the </w:t>
      </w:r>
      <w:r>
        <w:rPr>
          <w:bCs/>
        </w:rPr>
        <w:t>CN/OAM/OTT collection of UE-sided model training data, as shown below.</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0"/>
      </w:tblGrid>
      <w:tr>
        <w:tc>
          <w:tcPr>
            <w:tcW w:w="9350" w:type="dxa"/>
          </w:tcPr>
          <w:p>
            <w:pPr>
              <w:numPr>
                <w:ilvl w:val="0"/>
                <w:numId w:val="7"/>
              </w:numPr>
              <w:overflowPunct w:val="0"/>
              <w:autoSpaceDE w:val="0"/>
              <w:autoSpaceDN w:val="0"/>
              <w:adjustRightInd w:val="0"/>
              <w:spacing w:after="0" w:line="240" w:lineRule="auto"/>
              <w:jc w:val="left"/>
              <w:textAlignment w:val="baseline"/>
              <w:rPr>
                <w:bCs/>
                <w:i/>
                <w:iCs/>
              </w:rPr>
            </w:pPr>
            <w:r>
              <w:rPr>
                <w:bCs/>
                <w:i/>
                <w:iCs/>
              </w:rPr>
              <w:t xml:space="preserve">CN/OAM/OTT collection of UE-sided model training data [RAN2/RAN1]: </w:t>
            </w:r>
          </w:p>
          <w:p>
            <w:pPr>
              <w:numPr>
                <w:ilvl w:val="1"/>
                <w:numId w:val="7"/>
              </w:numPr>
              <w:overflowPunct w:val="0"/>
              <w:autoSpaceDE w:val="0"/>
              <w:autoSpaceDN w:val="0"/>
              <w:adjustRightInd w:val="0"/>
              <w:spacing w:after="0" w:line="240" w:lineRule="auto"/>
              <w:jc w:val="left"/>
              <w:textAlignment w:val="baseline"/>
              <w:rPr>
                <w:bCs/>
                <w:i/>
                <w:iCs/>
              </w:rPr>
            </w:pPr>
            <w:r>
              <w:rPr>
                <w:bCs/>
                <w:i/>
                <w:iCs/>
              </w:rPr>
              <w:t>For the FS_NR_AIML_Air study use cases, identify the corresponding contents of UE data collection</w:t>
            </w:r>
          </w:p>
          <w:p>
            <w:pPr>
              <w:numPr>
                <w:ilvl w:val="1"/>
                <w:numId w:val="7"/>
              </w:numPr>
              <w:overflowPunct w:val="0"/>
              <w:autoSpaceDE w:val="0"/>
              <w:autoSpaceDN w:val="0"/>
              <w:adjustRightInd w:val="0"/>
              <w:spacing w:after="0" w:line="240" w:lineRule="auto"/>
              <w:jc w:val="left"/>
              <w:textAlignment w:val="baseline"/>
              <w:rPr>
                <w:bCs/>
              </w:rPr>
            </w:pPr>
            <w:r>
              <w:rPr>
                <w:bCs/>
                <w:i/>
                <w:iCs/>
              </w:rPr>
              <w:t>Analyse the UE data collection mechanisms identified during the FS_NR_AIML_Air (TR 38.843 section 7.2.1.3.2) study along with the implications and limitations of each of the methods</w:t>
            </w:r>
            <w:r>
              <w:rPr>
                <w:bCs/>
              </w:rPr>
              <w:t xml:space="preserve"> </w:t>
            </w:r>
          </w:p>
        </w:tc>
      </w:tr>
    </w:tbl>
    <w:p>
      <w:pPr>
        <w:rPr>
          <w:bCs/>
        </w:rPr>
      </w:pPr>
    </w:p>
    <w:p>
      <w:pPr>
        <w:rPr>
          <w:bCs/>
        </w:rPr>
      </w:pPr>
      <w:r>
        <w:rPr>
          <w:bCs/>
        </w:rPr>
        <w:t xml:space="preserve">As captured in TR 38.843 </w:t>
      </w:r>
      <w:r>
        <w:rPr>
          <w:bCs/>
        </w:rPr>
        <w:fldChar w:fldCharType="begin"/>
      </w:r>
      <w:r>
        <w:rPr>
          <w:bCs/>
        </w:rPr>
        <w:instrText xml:space="preserve"> REF _Ref158905936 \r \h </w:instrText>
      </w:r>
      <w:r>
        <w:rPr>
          <w:bCs/>
        </w:rPr>
        <w:fldChar w:fldCharType="separate"/>
      </w:r>
      <w:r>
        <w:rPr>
          <w:bCs/>
        </w:rPr>
        <w:t>[3]</w:t>
      </w:r>
      <w:r>
        <w:rPr>
          <w:bCs/>
        </w:rPr>
        <w:fldChar w:fldCharType="end"/>
      </w:r>
      <w:r>
        <w:rPr>
          <w:bCs/>
        </w:rPr>
        <w:t xml:space="preserve">, data collection may be performed for different purposes, such as model training, model monitoring, model inference (where applicable), as well as model selection, and model update. Each of these goals result in different requirements for the data collection, at least in terms of latency. </w:t>
      </w:r>
    </w:p>
    <w:p>
      <w:pPr>
        <w:rPr>
          <w:bCs/>
        </w:rPr>
      </w:pPr>
      <w:r>
        <w:rPr>
          <w:bCs/>
        </w:rPr>
        <w:t xml:space="preserve">For model training purposes, given the assumption of offline training, there is no latency requirement for data collection. In general, the collected data should include the model input and the corresponding ground truth, configuration information for the model input (including formatting), as well as site specific information (where/if applicable), for example to enable finetuning for site specific models.   </w:t>
      </w:r>
    </w:p>
    <w:p>
      <w:pPr>
        <w:rPr>
          <w:bCs/>
        </w:rPr>
      </w:pPr>
      <w:r>
        <w:rPr>
          <w:bCs/>
        </w:rPr>
        <w:t>In the reminder of this section, we present our views on the contents of the UE data collection for UE-sided model training data for the Beam Management, Positioning and CSI enhancements use cases.</w:t>
      </w:r>
    </w:p>
    <w:p>
      <w:pPr>
        <w:pStyle w:val="4"/>
      </w:pPr>
      <w:r>
        <w:t>CSI enhancements use case</w:t>
      </w:r>
    </w:p>
    <w:p>
      <w:r>
        <w:rPr>
          <w:bCs/>
        </w:rPr>
        <w:t xml:space="preserve">For </w:t>
      </w:r>
      <w:r>
        <w:rPr>
          <w:b/>
        </w:rPr>
        <w:t>CSI prediction using UE-sided model</w:t>
      </w:r>
      <w:r>
        <w:rPr>
          <w:bCs/>
        </w:rPr>
        <w:t xml:space="preserve">, data collection for model training should include at least the CSI measured during the observation window, and the corresponding ground truth (measured CSI) during the prediction window.  </w:t>
      </w:r>
      <w:r>
        <w:t>The collected data should also include configuration information relevant to the model input, such as pre-processing type (if applicable), raw channel matrix or eigenvector, as well as information that impacts the size of the model input, such as the number of Tx antenna ports, the BWP size, the sub-band configuration. It is assumed that the CSI-RS configuration used for generating the collected data should also be reflected in the dataset.</w:t>
      </w:r>
    </w:p>
    <w:p>
      <w:pPr>
        <w:rPr>
          <w:b/>
          <w:bCs/>
        </w:rPr>
      </w:pPr>
      <w:r>
        <w:rPr>
          <w:b/>
          <w:bCs/>
        </w:rPr>
        <w:t>Proposal 7: For model input and ground truth for CSI prediction model training dataset, the collected data could include the measured CSI during the observation and the prediction window.</w:t>
      </w:r>
    </w:p>
    <w:p>
      <w:r>
        <w:rPr>
          <w:bCs/>
        </w:rPr>
        <w:t xml:space="preserve">As indicated in </w:t>
      </w:r>
      <w:r>
        <w:rPr>
          <w:bCs/>
        </w:rPr>
        <w:fldChar w:fldCharType="begin"/>
      </w:r>
      <w:r>
        <w:rPr>
          <w:bCs/>
        </w:rPr>
        <w:instrText xml:space="preserve"> REF _Ref158992276 \r \h </w:instrText>
      </w:r>
      <w:r>
        <w:rPr>
          <w:bCs/>
        </w:rPr>
        <w:fldChar w:fldCharType="separate"/>
      </w:r>
      <w:r>
        <w:rPr>
          <w:bCs/>
        </w:rPr>
        <w:t>[8]</w:t>
      </w:r>
      <w:r>
        <w:rPr>
          <w:bCs/>
        </w:rPr>
        <w:fldChar w:fldCharType="end"/>
      </w:r>
      <w:r>
        <w:rPr>
          <w:bCs/>
        </w:rPr>
        <w:t xml:space="preserve">, the </w:t>
      </w:r>
      <w:r>
        <w:t xml:space="preserve">sizes of the observation and prediction windows are important factors in the design, training, and operation of CSI prediction models. For each combination of window lengths, different prediction models may need to be trained, which impacts the configuration of the UE-collected data for model training purposes; thus, the length of the observation and prediction windows needs to be captured in the other information associated with the collected data. </w:t>
      </w:r>
    </w:p>
    <w:p>
      <w:pPr>
        <w:rPr>
          <w:b/>
          <w:bCs/>
        </w:rPr>
      </w:pPr>
      <w:r>
        <w:rPr>
          <w:b/>
          <w:bCs/>
        </w:rPr>
        <w:t xml:space="preserve">Proposal 8:  Other information for the CSI prediction model training dataset could include the sizes of the observation and prediction windows, CSI format (raw or eigenvector), pre-processing (if any), CSI-RS configuration, the number of Tx antenna ports and BWP and sub-size.  </w:t>
      </w:r>
    </w:p>
    <w:p>
      <w:r>
        <w:t>To enable cleaning/curating the collected training dataset, metrics to indicate the quality of the measured data should also be reported. These may include at least the RSRP and TDCP.</w:t>
      </w:r>
    </w:p>
    <w:p>
      <w:pPr>
        <w:rPr>
          <w:b/>
          <w:bCs/>
        </w:rPr>
      </w:pPr>
      <w:r>
        <w:rPr>
          <w:b/>
          <w:bCs/>
        </w:rPr>
        <w:t xml:space="preserve">Proposal 9:  Quality indicators for the CSI prediction model training dataset could include at least the RSRP and TDCP. </w:t>
      </w:r>
    </w:p>
    <w:p>
      <w:pPr>
        <w:rPr>
          <w:b/>
          <w:bCs/>
        </w:rPr>
      </w:pPr>
    </w:p>
    <w:p>
      <w:pPr>
        <w:pStyle w:val="4"/>
      </w:pPr>
      <w:r>
        <w:t xml:space="preserve">Positioning use case  </w:t>
      </w:r>
    </w:p>
    <w:p>
      <w:pPr>
        <w:rPr>
          <w:b/>
          <w:u w:val="single"/>
        </w:rPr>
      </w:pPr>
      <w:r>
        <w:rPr>
          <w:b/>
          <w:u w:val="single"/>
        </w:rPr>
        <w:t>Overview</w:t>
      </w:r>
    </w:p>
    <w:p>
      <w:pPr>
        <w:rPr>
          <w:bCs/>
        </w:rPr>
      </w:pPr>
      <w:r>
        <w:rPr>
          <w:bCs/>
        </w:rPr>
        <w:t xml:space="preserve">For positioning sub-use case, training data for AIML based positioning consists of ground truth and inputs to an AIML model where inputs may consist of measurements made on received DL-PRS. Some examples of measurements are Channel Impulse Response (CIR), Power Delay Profile (PDP), Delay Profile(DP), timing or power measurements as identified during the study item phase [3]. For UE-based AIML based positioning with one-sided model, how the training data can be acquired needs to be discussed. </w:t>
      </w:r>
    </w:p>
    <w:p>
      <w:pPr>
        <w:rPr>
          <w:bCs/>
          <w:u w:val="single"/>
        </w:rPr>
      </w:pPr>
      <w:r>
        <w:rPr>
          <w:b/>
          <w:u w:val="single"/>
        </w:rPr>
        <w:t>Quality of training data</w:t>
      </w:r>
    </w:p>
    <w:p>
      <w:pPr>
        <w:rPr>
          <w:bCs/>
        </w:rPr>
      </w:pPr>
      <w:r>
        <w:rPr>
          <w:bCs/>
        </w:rPr>
        <w:t>In TR 38.853, the following agreement made during the study item phase is captured; PRU and/or UE can generate the ground truth label and label quality indicator can be generated by the UE which may use RAT dependent or RAT independent positioning method to estimate its location.</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0"/>
      </w:tblGrid>
      <w:tr>
        <w:tc>
          <w:tcPr>
            <w:tcW w:w="9350" w:type="dxa"/>
          </w:tcPr>
          <w:p>
            <w:pPr>
              <w:pStyle w:val="63"/>
              <w:spacing w:after="0"/>
              <w:rPr>
                <w:lang w:eastAsia="zh-CN"/>
              </w:rPr>
            </w:pPr>
            <w:r>
              <w:t>-</w:t>
            </w:r>
            <w:r>
              <w:tab/>
            </w:r>
            <w:r>
              <w:t>The following options of entity and mechanisms to generate ground-truth label are identified:</w:t>
            </w:r>
          </w:p>
          <w:p>
            <w:pPr>
              <w:pStyle w:val="69"/>
              <w:spacing w:after="0"/>
              <w:ind w:left="280" w:firstLine="288"/>
              <w:rPr>
                <w:lang w:eastAsia="zh-CN"/>
              </w:rPr>
            </w:pPr>
            <w:r>
              <w:rPr>
                <w:lang w:eastAsia="zh-CN"/>
              </w:rPr>
              <w:t>-</w:t>
            </w:r>
            <w:r>
              <w:rPr>
                <w:lang w:eastAsia="zh-CN"/>
              </w:rPr>
              <w:tab/>
            </w:r>
            <w:r>
              <w:rPr>
                <w:lang w:eastAsia="zh-CN"/>
              </w:rPr>
              <w:t>UE with estimated/known location generates ground-truth label and corresponding label quality indicator</w:t>
            </w:r>
          </w:p>
          <w:p>
            <w:pPr>
              <w:pStyle w:val="69"/>
              <w:spacing w:after="0"/>
              <w:ind w:left="576" w:firstLine="288"/>
              <w:rPr>
                <w:lang w:eastAsia="zh-CN"/>
              </w:rPr>
            </w:pPr>
            <w:r>
              <w:rPr>
                <w:lang w:eastAsia="zh-CN"/>
              </w:rPr>
              <w:t>-</w:t>
            </w:r>
            <w:r>
              <w:rPr>
                <w:lang w:eastAsia="zh-CN"/>
              </w:rPr>
              <w:tab/>
            </w:r>
            <w:r>
              <w:rPr>
                <w:lang w:eastAsia="zh-CN"/>
              </w:rPr>
              <w:t>Based on non-NR and/or NR RAT-dependent and/or NR RAT-independent positioning methods</w:t>
            </w:r>
          </w:p>
          <w:p>
            <w:pPr>
              <w:pStyle w:val="69"/>
              <w:spacing w:after="0"/>
              <w:ind w:left="1152" w:hanging="288"/>
              <w:rPr>
                <w:lang w:eastAsia="zh-CN"/>
              </w:rPr>
            </w:pPr>
            <w:r>
              <w:rPr>
                <w:lang w:eastAsia="zh-CN"/>
              </w:rPr>
              <w:t>-</w:t>
            </w:r>
            <w:r>
              <w:rPr>
                <w:lang w:eastAsia="zh-CN"/>
              </w:rPr>
              <w:tab/>
            </w:r>
            <w:r>
              <w:rPr>
                <w:lang w:eastAsia="zh-CN"/>
              </w:rPr>
              <w:t>At least for UE-based positioning with UE-side model (Case 1) and UE-assisted positioning with UE-side model (Case 2a)</w:t>
            </w:r>
          </w:p>
          <w:p>
            <w:pPr>
              <w:pStyle w:val="69"/>
              <w:spacing w:after="0"/>
              <w:ind w:left="288" w:firstLine="0"/>
              <w:rPr>
                <w:lang w:eastAsia="zh-CN"/>
              </w:rPr>
            </w:pPr>
          </w:p>
          <w:p>
            <w:pPr>
              <w:pStyle w:val="69"/>
              <w:spacing w:after="0"/>
              <w:ind w:left="288" w:firstLine="0"/>
              <w:rPr>
                <w:lang w:eastAsia="zh-CN"/>
              </w:rPr>
            </w:pPr>
            <w:r>
              <w:rPr>
                <w:lang w:eastAsia="zh-CN"/>
              </w:rPr>
              <w:tab/>
            </w:r>
          </w:p>
          <w:p>
            <w:pPr>
              <w:pStyle w:val="63"/>
              <w:spacing w:after="0"/>
            </w:pPr>
            <w:r>
              <w:t>-</w:t>
            </w:r>
            <w:r>
              <w:tab/>
            </w:r>
            <w:r>
              <w:t>The following options of entity to generate other training data (at least measurement corresponding to model input) are identified:</w:t>
            </w:r>
          </w:p>
          <w:p>
            <w:pPr>
              <w:pStyle w:val="69"/>
              <w:spacing w:after="0"/>
            </w:pPr>
            <w:r>
              <w:t>-</w:t>
            </w:r>
            <w:r>
              <w:tab/>
            </w:r>
            <w:r>
              <w:t>For UE-based with UE-side model (Case 1) and UE-assisted positioning with UE-side (Case 2a) or LMF-side model (Case 2b)</w:t>
            </w:r>
          </w:p>
          <w:p>
            <w:pPr>
              <w:pStyle w:val="70"/>
              <w:spacing w:after="0"/>
            </w:pPr>
            <w:r>
              <w:t>-</w:t>
            </w:r>
            <w:r>
              <w:tab/>
            </w:r>
            <w:r>
              <w:t xml:space="preserve">PRU </w:t>
            </w:r>
          </w:p>
          <w:p>
            <w:pPr>
              <w:pStyle w:val="70"/>
              <w:spacing w:after="0"/>
            </w:pPr>
            <w:r>
              <w:t>-</w:t>
            </w:r>
            <w:r>
              <w:tab/>
            </w:r>
            <w:r>
              <w:t>UE</w:t>
            </w:r>
          </w:p>
          <w:p>
            <w:pPr>
              <w:pStyle w:val="69"/>
              <w:spacing w:after="0"/>
            </w:pPr>
            <w:r>
              <w:t>-</w:t>
            </w:r>
            <w:r>
              <w:tab/>
            </w:r>
            <w:r>
              <w:t>For NG-RAN node assisted positioning with Network-side model (Case 3a and Case 3b)</w:t>
            </w:r>
          </w:p>
          <w:p>
            <w:pPr>
              <w:pStyle w:val="70"/>
              <w:spacing w:after="0"/>
              <w:rPr>
                <w:bCs/>
              </w:rPr>
            </w:pPr>
            <w:r>
              <w:t>-</w:t>
            </w:r>
            <w:r>
              <w:tab/>
            </w:r>
            <w:r>
              <w:t>TRP</w:t>
            </w:r>
          </w:p>
        </w:tc>
      </w:tr>
    </w:tbl>
    <w:p>
      <w:pPr>
        <w:spacing w:before="240"/>
        <w:rPr>
          <w:bCs/>
        </w:rPr>
      </w:pPr>
      <w:r>
        <w:rPr>
          <w:bCs/>
        </w:rPr>
        <w:t xml:space="preserve">In addition, in RAN1#116b </w:t>
      </w:r>
      <w:r>
        <w:rPr>
          <w:bCs/>
        </w:rPr>
        <w:fldChar w:fldCharType="begin"/>
      </w:r>
      <w:r>
        <w:rPr>
          <w:bCs/>
        </w:rPr>
        <w:instrText xml:space="preserve"> REF _Ref166181206 \r \h </w:instrText>
      </w:r>
      <w:r>
        <w:rPr>
          <w:bCs/>
        </w:rPr>
        <w:fldChar w:fldCharType="separate"/>
      </w:r>
      <w:r>
        <w:rPr>
          <w:bCs/>
        </w:rPr>
        <w:t>[10]</w:t>
      </w:r>
      <w:r>
        <w:rPr>
          <w:bCs/>
        </w:rPr>
        <w:fldChar w:fldCharType="end"/>
      </w:r>
      <w:r>
        <w:rPr>
          <w:bCs/>
        </w:rPr>
        <w:t>, the following agreement was made which identified label generation entities for Case 1 (UE-side model, UE based positioning, direct AIML positioning), namely PRU, non-PRU UE and LMF.</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0"/>
      </w:tblGrid>
      <w:tr>
        <w:tc>
          <w:tcPr>
            <w:tcW w:w="9350" w:type="dxa"/>
          </w:tcPr>
          <w:p>
            <w:pPr>
              <w:spacing w:after="0" w:line="240" w:lineRule="auto"/>
              <w:rPr>
                <w:rFonts w:eastAsia="DengXian"/>
                <w:highlight w:val="darkYellow"/>
                <w:lang w:eastAsia="zh-CN"/>
              </w:rPr>
            </w:pPr>
            <w:r>
              <w:rPr>
                <w:rFonts w:hint="eastAsia" w:eastAsia="DengXian"/>
                <w:highlight w:val="darkYellow"/>
                <w:lang w:eastAsia="zh-CN"/>
              </w:rPr>
              <w:t>Working Assumption</w:t>
            </w:r>
          </w:p>
          <w:p>
            <w:pPr>
              <w:spacing w:after="0" w:line="240" w:lineRule="auto"/>
            </w:pPr>
            <w:r>
              <w:t xml:space="preserve">For training data generation of AI/ML based positioning Case 1, the label and its related data (e.g., time stamp) can be </w:t>
            </w:r>
            <w:r>
              <w:rPr>
                <w:rFonts w:hint="eastAsia" w:eastAsia="DengXian"/>
                <w:lang w:eastAsia="zh-CN"/>
              </w:rPr>
              <w:t xml:space="preserve">generated </w:t>
            </w:r>
            <w:r>
              <w:t xml:space="preserve">by: </w:t>
            </w:r>
          </w:p>
          <w:p>
            <w:pPr>
              <w:pStyle w:val="37"/>
              <w:widowControl w:val="0"/>
              <w:numPr>
                <w:ilvl w:val="0"/>
                <w:numId w:val="15"/>
              </w:numPr>
            </w:pPr>
            <w:r>
              <w:t>PRU</w:t>
            </w:r>
          </w:p>
          <w:p>
            <w:pPr>
              <w:pStyle w:val="37"/>
              <w:widowControl w:val="0"/>
              <w:numPr>
                <w:ilvl w:val="0"/>
                <w:numId w:val="15"/>
              </w:numPr>
            </w:pPr>
            <w:r>
              <w:t>Non-PRU UE with estimated location</w:t>
            </w:r>
          </w:p>
          <w:p>
            <w:pPr>
              <w:pStyle w:val="37"/>
              <w:widowControl w:val="0"/>
              <w:numPr>
                <w:ilvl w:val="0"/>
                <w:numId w:val="15"/>
              </w:numPr>
            </w:pPr>
            <w:r>
              <w:t xml:space="preserve">LMF </w:t>
            </w:r>
          </w:p>
          <w:p>
            <w:pPr>
              <w:spacing w:after="0" w:line="240" w:lineRule="auto"/>
              <w:rPr>
                <w:bCs/>
              </w:rPr>
            </w:pPr>
            <w:r>
              <w:rPr>
                <w:rFonts w:hint="eastAsia" w:eastAsia="DengXian"/>
                <w:lang w:eastAsia="zh-CN"/>
              </w:rPr>
              <w:t xml:space="preserve">Note: transfer of </w:t>
            </w:r>
            <w:r>
              <w:t>the label and its related data</w:t>
            </w:r>
            <w:r>
              <w:rPr>
                <w:rFonts w:hint="eastAsia" w:eastAsia="DengXian"/>
                <w:lang w:eastAsia="zh-CN"/>
              </w:rPr>
              <w:t xml:space="preserve"> is out of RAN1 scope.</w:t>
            </w:r>
          </w:p>
        </w:tc>
      </w:tr>
    </w:tbl>
    <w:p>
      <w:pPr>
        <w:spacing w:before="240"/>
        <w:rPr>
          <w:bCs/>
        </w:rPr>
      </w:pPr>
      <w:r>
        <w:rPr>
          <w:bCs/>
        </w:rPr>
        <w:t xml:space="preserve">As quality of training data determines quality of the trained AIML model, integrity of training data becomes critical. For UE-sided model, the UE needs to determine the quality of the training data based on the ground truth label quality indicator and there is a need to define a ground truth label quality indicator associated with one value of a ground truth label. For example, one PRU location can be associated with a ground truth label quality indicator. In addition, since density of deployment of PRUs is not clear, UE location information can be also used as the ground truth and corresponding ground truth label quality indicator should be specified. </w:t>
      </w:r>
    </w:p>
    <w:p>
      <w:pPr>
        <w:spacing w:before="240"/>
        <w:rPr>
          <w:b/>
        </w:rPr>
      </w:pPr>
      <w:r>
        <w:rPr>
          <w:b/>
        </w:rPr>
        <w:t>Proposal 10: A ground truth label quality indicator is associated with a UE or PRU location</w:t>
      </w:r>
    </w:p>
    <w:p>
      <w:pPr>
        <w:rPr>
          <w:bCs/>
          <w:u w:val="single"/>
        </w:rPr>
      </w:pPr>
      <w:r>
        <w:rPr>
          <w:b/>
          <w:u w:val="single"/>
        </w:rPr>
        <w:t>Delivery of training data to the UE</w:t>
      </w:r>
    </w:p>
    <w:p>
      <w:r>
        <w:t>How training data can be delivered to the UE needs to be discussed. During Release 18, measurement and assistance data forwarding functionality by the LMF for NRCP (NR Carrier Phase) positioning was supported [4]. Using the supported forwarding functionality, a UE can request for measurements made by PRU (Positioning Reference Unit) to the network. As a response for the request made by the target UE, the LMF can send timing, power and phase measurements (e.g., NRCP, RSTD, RSRP) made by the PRU to the target UE who made the request.</w:t>
      </w:r>
    </w:p>
    <w:p>
      <w:r>
        <w:t>The measurement forward functionality can be used to deliver training data to a UE. As the location of the PRU is known by the LMF, the measurements and location information, i.e., the ground truth, can be  reliable and used as training data. An additional benefit of the functionality, in the context of training data for AIML positioning, is that the LMF can check the content of the data, i.e., training data.</w:t>
      </w:r>
    </w:p>
    <w:p>
      <w:r>
        <w:t>As the current specification supports forwarding only measurements and PRU location, the content of forwarded information needs to be improved for the purpose of AIML positioning. For example, the hard or soft ground truth label quality indicator needs to be associated with the ground truth, i.e., PRU or UE location information.</w:t>
      </w:r>
    </w:p>
    <w:p>
      <w:r>
        <w:t>In addition, the number of deployed PRUs may be limited, or PRUs may be stationary. Thus location information and associated measurements about PRUs may not be enough to create diverse training data. The UE should therefore obtain location information of non-PRUs from the LMF. Obtaining location information and associated measurements of UE, which is not a PRU, can increase the volume of the training data at the UE. Thus the following proposals are made.</w:t>
      </w:r>
    </w:p>
    <w:p>
      <w:r>
        <w:rPr>
          <w:b/>
          <w:bCs/>
        </w:rPr>
        <w:t>Proposal 11: For case 1 for positioning, support LMF to forward location information of PRUs, measurements made by PRUs and ground truth label quality indicator with the PRU location to a target UE</w:t>
      </w:r>
    </w:p>
    <w:p>
      <w:pPr>
        <w:rPr>
          <w:b/>
          <w:bCs/>
        </w:rPr>
      </w:pPr>
      <w:r>
        <w:rPr>
          <w:b/>
          <w:bCs/>
        </w:rPr>
        <w:t>Proposal 12: For case 1 for positioning, support LMF to forward location information of a UE, which is not a PRU, measurements made by the UE and ground truth label quality indicator associated with the UE location to a target UE</w:t>
      </w:r>
    </w:p>
    <w:p>
      <w:pPr>
        <w:rPr>
          <w:bCs/>
          <w:u w:val="single"/>
        </w:rPr>
      </w:pPr>
      <w:r>
        <w:rPr>
          <w:b/>
          <w:u w:val="single"/>
        </w:rPr>
        <w:t>Obtaining ground truth quality label</w:t>
      </w:r>
    </w:p>
    <w:p>
      <w:pPr>
        <w:rPr>
          <w:bCs/>
        </w:rPr>
      </w:pPr>
      <w:r>
        <w:rPr>
          <w:bCs/>
        </w:rPr>
        <w:t>In TR 38.843, the following options are identified as entities which can generate a ground truth label quality indicator:</w:t>
      </w:r>
    </w:p>
    <w:p>
      <w:pPr>
        <w:pStyle w:val="37"/>
        <w:numPr>
          <w:ilvl w:val="0"/>
          <w:numId w:val="16"/>
        </w:numPr>
        <w:rPr>
          <w:bCs/>
        </w:rPr>
      </w:pPr>
      <w:r>
        <w:rPr>
          <w:bCs/>
        </w:rPr>
        <w:t>UE with estimated/known location generates ground-truth label and corresponding label quality indicator</w:t>
      </w:r>
    </w:p>
    <w:p>
      <w:pPr>
        <w:pStyle w:val="37"/>
        <w:numPr>
          <w:ilvl w:val="0"/>
          <w:numId w:val="16"/>
        </w:numPr>
        <w:rPr>
          <w:bCs/>
        </w:rPr>
      </w:pPr>
      <w:r>
        <w:rPr>
          <w:bCs/>
        </w:rPr>
        <w:t>Network entity generates ground-truth label and corresponding label quality indicator</w:t>
      </w:r>
    </w:p>
    <w:p>
      <w:pPr>
        <w:spacing w:before="240"/>
        <w:rPr>
          <w:bCs/>
        </w:rPr>
      </w:pPr>
      <w:r>
        <w:rPr>
          <w:bCs/>
        </w:rPr>
        <w:t xml:space="preserve">In positioning, uncertainty for UE location estimate is specified [4]. However uncertainty is determined by the UE if UE based positioning is implemented. Thus, in NLOS heavy environment assumed for the positioning use case, the UE could be locked on an inaccurate position estimate as illustrated in </w:t>
      </w:r>
      <w:r>
        <w:rPr>
          <w:bCs/>
        </w:rPr>
        <w:fldChar w:fldCharType="begin"/>
      </w:r>
      <w:r>
        <w:rPr>
          <w:bCs/>
        </w:rPr>
        <w:instrText xml:space="preserve"> REF _Ref163231593 \h </w:instrText>
      </w:r>
      <w:r>
        <w:rPr>
          <w:bCs/>
        </w:rPr>
        <w:fldChar w:fldCharType="separate"/>
      </w:r>
      <w:r>
        <w:t>Figure 1</w:t>
      </w:r>
      <w:r>
        <w:rPr>
          <w:bCs/>
        </w:rPr>
        <w:fldChar w:fldCharType="end"/>
      </w:r>
      <w:r>
        <w:rPr>
          <w:bCs/>
        </w:rPr>
        <w:t>.</w:t>
      </w:r>
    </w:p>
    <w:p>
      <w:pPr>
        <w:keepNext/>
        <w:jc w:val="center"/>
      </w:pPr>
      <w:r>
        <w:drawing>
          <wp:inline distT="0" distB="0" distL="0" distR="0">
            <wp:extent cx="2085975" cy="2019300"/>
            <wp:effectExtent l="0" t="0" r="0" b="0"/>
            <wp:docPr id="471250149" name="Picture 1" descr="A diagram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1250149" name="Picture 1" descr="A diagram of a cell phone&#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2085975" cy="2019300"/>
                    </a:xfrm>
                    <a:prstGeom prst="rect">
                      <a:avLst/>
                    </a:prstGeom>
                    <a:noFill/>
                  </pic:spPr>
                </pic:pic>
              </a:graphicData>
            </a:graphic>
          </wp:inline>
        </w:drawing>
      </w:r>
    </w:p>
    <w:p>
      <w:pPr>
        <w:pStyle w:val="15"/>
        <w:rPr>
          <w:bCs w:val="0"/>
        </w:rPr>
      </w:pPr>
      <w:bookmarkStart w:id="10" w:name="_Ref163231593"/>
      <w:r>
        <w:t xml:space="preserve">Figure </w:t>
      </w:r>
      <w:r>
        <w:fldChar w:fldCharType="begin"/>
      </w:r>
      <w:r>
        <w:instrText xml:space="preserve"> SEQ Figure \* ARABIC </w:instrText>
      </w:r>
      <w:r>
        <w:fldChar w:fldCharType="separate"/>
      </w:r>
      <w:r>
        <w:t>1</w:t>
      </w:r>
      <w:r>
        <w:fldChar w:fldCharType="end"/>
      </w:r>
      <w:bookmarkEnd w:id="10"/>
      <w:r>
        <w:t xml:space="preserve"> An example of uncertainty related to UE location estimate</w:t>
      </w:r>
    </w:p>
    <w:p>
      <w:r>
        <w:t xml:space="preserve">If the UE determines the ground truth label quality indicator based on the uncertainty derived at the UE, the generated ground truth label quality indicator may be unreliable as the estimate UE location may be inaccurate. </w:t>
      </w:r>
    </w:p>
    <w:p>
      <w:pPr>
        <w:rPr>
          <w:b/>
          <w:bCs/>
        </w:rPr>
      </w:pPr>
      <w:r>
        <w:rPr>
          <w:b/>
        </w:rPr>
        <w:t xml:space="preserve">Observation </w:t>
      </w:r>
      <w:r>
        <w:rPr>
          <w:b/>
          <w:bCs/>
        </w:rPr>
        <w:t>6</w:t>
      </w:r>
      <w:r>
        <w:rPr>
          <w:b/>
        </w:rPr>
        <w:t>: A ground truth label quality indicator generated by a UE or PRU may be unreliable as the estimate UE location may be inaccurate</w:t>
      </w:r>
    </w:p>
    <w:p>
      <w:r>
        <w:t>To solve this issue, we propose that the network is the only entity that generates ground truth label quality indicators. It is assumed throughout NR positioning work that the LMF can collect a large amount of data from UEs and generate assistance information (e.g., LOS status between TRP and UE, or along PRS). Thus, the LMF should be able to generate a ground truth label quality indicator by comparing reported measurements and UE estimate against its database of collected measurements and UE location estimates.</w:t>
      </w:r>
    </w:p>
    <w:p>
      <w:pPr>
        <w:spacing w:before="240"/>
        <w:rPr>
          <w:b/>
          <w:bCs/>
        </w:rPr>
      </w:pPr>
      <w:r>
        <w:rPr>
          <w:b/>
        </w:rPr>
        <w:t>Proposal 13: The LMF is the only entity that can generate a ground truth label quality indicator associated with location information of UE or PRU</w:t>
      </w:r>
    </w:p>
    <w:p>
      <w:pPr>
        <w:pStyle w:val="4"/>
      </w:pPr>
      <w:r>
        <w:t>Beam management use case</w:t>
      </w:r>
    </w:p>
    <w:p>
      <w:pPr>
        <w:rPr>
          <w:lang w:val="en-GB" w:eastAsia="zh-CN"/>
        </w:rPr>
      </w:pPr>
      <w:r>
        <w:rPr>
          <w:lang w:val="en-GB" w:eastAsia="zh-CN"/>
        </w:rPr>
        <w:t>For beam management use case, different approaches need to be considered based on position of AI/ML model and use cases. For a UE-side AI/ML model, additional specification impact of UE reporting is not needed as UE can measure beams by itself and train an AI/ML model by using the measured values. Instead, support of a procedure to measure RS transmissions for whole Set A over multiple time instances is needed to acquire the necessary measurements. On the other hand, for gNB-side AI/ML model, enhancement of UE reporting is needed as gNB needs to acquire UE side measurements for whole Set A beams over multiple time instances. For example, in BM-Case 1, current beam reporting with up to 4 CRIs/SSBRIs and corresponding L1-RSRP values is not enough for AI/ML model training, so that beam reporting up to 64 RSRPs should be supported considering maximum number of beams supported in the current specification. Compared to RSRPs, additional reporting of CRIs/SSBRIs are not needed as the UE need to report all measured RSRPs from configured RSs (but needs an association between reported RSRPs and measured RSs). For BM-Case 2, time domain characteristics of beam measurements are essential for time domain prediction. Especially, such time domain information will be crucial for certain predictable scenarios such as highway or HST. Information about measured past instances (e.g., time stamp) for reported beam related information should be considered.</w:t>
      </w:r>
    </w:p>
    <w:p>
      <w:pPr>
        <w:rPr>
          <w:b/>
          <w:bCs/>
        </w:rPr>
      </w:pPr>
      <w:r>
        <w:rPr>
          <w:b/>
          <w:bCs/>
        </w:rPr>
        <w:t xml:space="preserve">Observation 7: For UE side model, additional specification impact for UE reporting is not needed, but a procedure to measure whole Set A over multiple time instances is needed. </w:t>
      </w:r>
    </w:p>
    <w:p>
      <w:pPr>
        <w:rPr>
          <w:b/>
          <w:bCs/>
        </w:rPr>
      </w:pPr>
      <w:r>
        <w:rPr>
          <w:b/>
          <w:bCs/>
        </w:rPr>
        <w:t xml:space="preserve">Observation 8: For gNB side model, enhancement of UE reporting is needed as gNB needs to acquire UE side measurements. </w:t>
      </w:r>
    </w:p>
    <w:p>
      <w:pPr>
        <w:rPr>
          <w:b/>
          <w:bCs/>
        </w:rPr>
      </w:pPr>
      <w:r>
        <w:rPr>
          <w:b/>
          <w:bCs/>
        </w:rPr>
        <w:t xml:space="preserve">Proposal 14: For UE side model, support a common procedure to measure whole Set A over multiple time instances for both BM-Case 1 and BM-Case 2. </w:t>
      </w:r>
    </w:p>
    <w:p>
      <w:pPr>
        <w:rPr>
          <w:b/>
          <w:bCs/>
        </w:rPr>
      </w:pPr>
      <w:r>
        <w:rPr>
          <w:b/>
          <w:bCs/>
        </w:rPr>
        <w:t>Proposal 15: For gNB side model, support enhanced UE reporting to report up to 64 RSRP values for whole Set A over multiple time instances.</w:t>
      </w:r>
    </w:p>
    <w:p>
      <w:pPr>
        <w:pStyle w:val="37"/>
        <w:numPr>
          <w:ilvl w:val="0"/>
          <w:numId w:val="17"/>
        </w:numPr>
        <w:rPr>
          <w:b/>
          <w:bCs/>
        </w:rPr>
      </w:pPr>
      <w:r>
        <w:rPr>
          <w:b/>
          <w:bCs/>
        </w:rPr>
        <w:t>No CRIs/SSBRIs are reported and implicit beam indexes (e.g., by association with RSs and reported RSRPs) are used.</w:t>
      </w:r>
    </w:p>
    <w:p>
      <w:pPr>
        <w:pStyle w:val="37"/>
        <w:numPr>
          <w:ilvl w:val="0"/>
          <w:numId w:val="17"/>
        </w:numPr>
        <w:rPr>
          <w:b/>
          <w:bCs/>
        </w:rPr>
      </w:pPr>
      <w:r>
        <w:rPr>
          <w:b/>
          <w:bCs/>
        </w:rPr>
        <w:t>Information on measured past instances (e.g., time stamp) is supported.</w:t>
      </w:r>
    </w:p>
    <w:p>
      <w:pPr>
        <w:rPr>
          <w:lang w:val="en-GB" w:eastAsia="zh-CN"/>
        </w:rPr>
      </w:pPr>
    </w:p>
    <w:p>
      <w:pPr>
        <w:rPr>
          <w:lang w:val="en-GB" w:eastAsia="zh-CN"/>
        </w:rPr>
      </w:pPr>
      <w:r>
        <w:rPr>
          <w:lang w:val="en-GB" w:eastAsia="zh-CN"/>
        </w:rPr>
        <w:t xml:space="preserve">Compared to data collection for inference, data collection for training requires huge overhead for BM-Case 1 and BM-Case 2. In case of BM-Case 1, for data collection for inference, only limited sets of measured beam quality (i.e., RSRPs from Set B (e.g., 16 beams)) need to be reported. On the other hand, for data collection for training, measured beam quality from whole set of supported beams in Set A (e.g., 64 beams) need to be reported. The overhead difference of data collection between training and inference is becoming larger if we consider BM-Case 2 in temporal domain. For BM-Case 2, while UE needs to report measured information only for selected time instances for inference, UE needs to report measured information for both potential inference instances as well as potential prediction instances. In that regard, a proper mechanism to compress data for training is essential for both BM-Case 1 and BM-Case 2. </w:t>
      </w:r>
    </w:p>
    <w:p>
      <w:pPr>
        <w:rPr>
          <w:lang w:val="en-GB" w:eastAsia="zh-CN"/>
        </w:rPr>
      </w:pPr>
      <w:r>
        <w:rPr>
          <w:lang w:val="en-GB" w:eastAsia="zh-CN"/>
        </w:rPr>
        <w:fldChar w:fldCharType="begin"/>
      </w:r>
      <w:r>
        <w:rPr>
          <w:lang w:val="en-GB" w:eastAsia="zh-CN"/>
        </w:rPr>
        <w:instrText xml:space="preserve"> REF _Ref158985144 \h </w:instrText>
      </w:r>
      <w:r>
        <w:rPr>
          <w:lang w:val="en-GB" w:eastAsia="zh-CN"/>
        </w:rPr>
        <w:fldChar w:fldCharType="separate"/>
      </w:r>
      <w:r>
        <w:t>Figure 2</w:t>
      </w:r>
      <w:r>
        <w:rPr>
          <w:lang w:val="en-GB" w:eastAsia="zh-CN"/>
        </w:rPr>
        <w:fldChar w:fldCharType="end"/>
      </w:r>
      <w:r>
        <w:rPr>
          <w:lang w:val="en-GB" w:eastAsia="zh-CN"/>
        </w:rPr>
        <w:t xml:space="preserve"> shows examples of measured RSRPs within one UE. While </w:t>
      </w:r>
      <w:r>
        <w:rPr>
          <w:lang w:val="en-GB" w:eastAsia="zh-CN"/>
        </w:rPr>
        <w:fldChar w:fldCharType="begin"/>
      </w:r>
      <w:r>
        <w:rPr>
          <w:lang w:val="en-GB" w:eastAsia="zh-CN"/>
        </w:rPr>
        <w:instrText xml:space="preserve"> REF _Ref158985144 \h </w:instrText>
      </w:r>
      <w:r>
        <w:rPr>
          <w:lang w:val="en-GB" w:eastAsia="zh-CN"/>
        </w:rPr>
        <w:fldChar w:fldCharType="separate"/>
      </w:r>
      <w:r>
        <w:t>Figure 2</w:t>
      </w:r>
      <w:r>
        <w:rPr>
          <w:lang w:val="en-GB" w:eastAsia="zh-CN"/>
        </w:rPr>
        <w:fldChar w:fldCharType="end"/>
      </w:r>
      <w:r>
        <w:rPr>
          <w:lang w:val="en-GB" w:eastAsia="zh-CN"/>
        </w:rPr>
        <w:t xml:space="preserve">(a) shows measured RSRPs with different beams in spatial domain, </w:t>
      </w:r>
      <w:r>
        <w:rPr>
          <w:lang w:val="en-GB" w:eastAsia="zh-CN"/>
        </w:rPr>
        <w:fldChar w:fldCharType="begin"/>
      </w:r>
      <w:r>
        <w:rPr>
          <w:lang w:val="en-GB" w:eastAsia="zh-CN"/>
        </w:rPr>
        <w:instrText xml:space="preserve"> REF _Ref158985144 \h </w:instrText>
      </w:r>
      <w:r>
        <w:rPr>
          <w:lang w:val="en-GB" w:eastAsia="zh-CN"/>
        </w:rPr>
        <w:fldChar w:fldCharType="separate"/>
      </w:r>
      <w:r>
        <w:t>Figure 2</w:t>
      </w:r>
      <w:r>
        <w:rPr>
          <w:lang w:val="en-GB" w:eastAsia="zh-CN"/>
        </w:rPr>
        <w:fldChar w:fldCharType="end"/>
      </w:r>
      <w:r>
        <w:rPr>
          <w:lang w:val="en-GB" w:eastAsia="zh-CN"/>
        </w:rPr>
        <w:t xml:space="preserve">(b) shows measured RSRPs within a same beam in temporal domain. As shown in </w:t>
      </w:r>
      <w:r>
        <w:rPr>
          <w:lang w:val="en-GB" w:eastAsia="zh-CN"/>
        </w:rPr>
        <w:fldChar w:fldCharType="begin"/>
      </w:r>
      <w:r>
        <w:rPr>
          <w:lang w:val="en-GB" w:eastAsia="zh-CN"/>
        </w:rPr>
        <w:instrText xml:space="preserve"> REF _Ref158985144 \h </w:instrText>
      </w:r>
      <w:r>
        <w:rPr>
          <w:lang w:val="en-GB" w:eastAsia="zh-CN"/>
        </w:rPr>
        <w:fldChar w:fldCharType="separate"/>
      </w:r>
      <w:r>
        <w:t>Figure 2</w:t>
      </w:r>
      <w:r>
        <w:rPr>
          <w:lang w:val="en-GB" w:eastAsia="zh-CN"/>
        </w:rPr>
        <w:fldChar w:fldCharType="end"/>
      </w:r>
      <w:r>
        <w:rPr>
          <w:lang w:val="en-GB" w:eastAsia="zh-CN"/>
        </w:rPr>
        <w:t xml:space="preserve">(a), measured RSRP values of neighbouring beams in spatial domain are correlated for one UE at a given time and do not make a sudden change. As well as spatial domain, as shown in </w:t>
      </w:r>
      <w:r>
        <w:rPr>
          <w:lang w:val="en-GB" w:eastAsia="zh-CN"/>
        </w:rPr>
        <w:fldChar w:fldCharType="begin"/>
      </w:r>
      <w:r>
        <w:rPr>
          <w:lang w:val="en-GB" w:eastAsia="zh-CN"/>
        </w:rPr>
        <w:instrText xml:space="preserve"> REF _Ref158985144 \h </w:instrText>
      </w:r>
      <w:r>
        <w:rPr>
          <w:lang w:val="en-GB" w:eastAsia="zh-CN"/>
        </w:rPr>
        <w:fldChar w:fldCharType="separate"/>
      </w:r>
      <w:r>
        <w:t>Figure 2</w:t>
      </w:r>
      <w:r>
        <w:rPr>
          <w:lang w:val="en-GB" w:eastAsia="zh-CN"/>
        </w:rPr>
        <w:fldChar w:fldCharType="end"/>
      </w:r>
      <w:r>
        <w:rPr>
          <w:lang w:val="en-GB" w:eastAsia="zh-CN"/>
        </w:rPr>
        <w:t xml:space="preserve">(b), measured RSRP values within one beam in temporal domain are correlated over time and do not make a sudden change. Based on the observations, it can be identified that UE beam reporting compression (e.g., differential RSRP) by using neighbouring beams in spatial domain and RSRP values within a same beam in temporal domain can be beneficial. </w:t>
      </w:r>
    </w:p>
    <w:p>
      <w:pPr>
        <w:rPr>
          <w:b/>
          <w:bCs/>
        </w:rPr>
      </w:pPr>
    </w:p>
    <w:p>
      <w:pPr>
        <w:jc w:val="center"/>
        <w:rPr>
          <w:b/>
          <w:bCs/>
        </w:rPr>
      </w:pPr>
      <w:r>
        <w:drawing>
          <wp:inline distT="0" distB="0" distL="0" distR="0">
            <wp:extent cx="2092960" cy="1801495"/>
            <wp:effectExtent l="0" t="0" r="2540" b="0"/>
            <wp:docPr id="1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pic:cNvPicPr>
                      <a:picLocks noChangeAspect="1"/>
                    </pic:cNvPicPr>
                  </pic:nvPicPr>
                  <pic:blipFill>
                    <a:blip r:embed="rId10"/>
                    <a:srcRect l="2473" r="10392"/>
                    <a:stretch>
                      <a:fillRect/>
                    </a:stretch>
                  </pic:blipFill>
                  <pic:spPr>
                    <a:xfrm>
                      <a:off x="0" y="0"/>
                      <a:ext cx="2092960" cy="1801495"/>
                    </a:xfrm>
                    <a:prstGeom prst="rect">
                      <a:avLst/>
                    </a:prstGeom>
                    <a:ln>
                      <a:noFill/>
                    </a:ln>
                  </pic:spPr>
                </pic:pic>
              </a:graphicData>
            </a:graphic>
          </wp:inline>
        </w:drawing>
      </w:r>
      <w:r>
        <w:rPr>
          <w:b/>
          <w:bCs/>
        </w:rPr>
        <w:tab/>
      </w:r>
      <w:r>
        <w:rPr>
          <w:b/>
          <w:bCs/>
        </w:rPr>
        <w:tab/>
      </w:r>
      <w:r>
        <w:rPr>
          <w:b/>
          <w:bCs/>
        </w:rPr>
        <w:tab/>
      </w:r>
      <w:r>
        <w:drawing>
          <wp:inline distT="0" distB="0" distL="0" distR="0">
            <wp:extent cx="2077085" cy="1680210"/>
            <wp:effectExtent l="0" t="0" r="0" b="0"/>
            <wp:docPr id="1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pic:cNvPicPr>
                      <a:picLocks noChangeAspect="1"/>
                    </pic:cNvPicPr>
                  </pic:nvPicPr>
                  <pic:blipFill>
                    <a:blip r:embed="rId11"/>
                    <a:srcRect l="2802" r="8845" b="4698"/>
                    <a:stretch>
                      <a:fillRect/>
                    </a:stretch>
                  </pic:blipFill>
                  <pic:spPr>
                    <a:xfrm>
                      <a:off x="0" y="0"/>
                      <a:ext cx="2077085" cy="1680210"/>
                    </a:xfrm>
                    <a:prstGeom prst="rect">
                      <a:avLst/>
                    </a:prstGeom>
                    <a:ln>
                      <a:noFill/>
                    </a:ln>
                  </pic:spPr>
                </pic:pic>
              </a:graphicData>
            </a:graphic>
          </wp:inline>
        </w:drawing>
      </w:r>
    </w:p>
    <w:p>
      <w:pPr>
        <w:pStyle w:val="15"/>
        <w:ind w:firstLine="720"/>
        <w:jc w:val="both"/>
        <w:rPr>
          <w:sz w:val="20"/>
          <w:szCs w:val="22"/>
        </w:rPr>
      </w:pPr>
      <w:r>
        <w:rPr>
          <w:sz w:val="20"/>
          <w:szCs w:val="22"/>
        </w:rPr>
        <w:t>(a) RSRPs across different beams</w:t>
      </w:r>
      <w:r>
        <w:rPr>
          <w:sz w:val="20"/>
          <w:szCs w:val="22"/>
        </w:rPr>
        <w:tab/>
      </w:r>
      <w:r>
        <w:rPr>
          <w:sz w:val="20"/>
          <w:szCs w:val="22"/>
        </w:rPr>
        <w:tab/>
      </w:r>
      <w:r>
        <w:rPr>
          <w:sz w:val="20"/>
          <w:szCs w:val="22"/>
        </w:rPr>
        <w:tab/>
      </w:r>
      <w:r>
        <w:rPr>
          <w:sz w:val="20"/>
          <w:szCs w:val="22"/>
        </w:rPr>
        <w:t>(b) RSRPs across different measurement instances</w:t>
      </w:r>
    </w:p>
    <w:p>
      <w:pPr>
        <w:pStyle w:val="15"/>
        <w:rPr>
          <w:bCs w:val="0"/>
        </w:rPr>
      </w:pPr>
      <w:bookmarkStart w:id="11" w:name="_Ref158985144"/>
      <w:r>
        <w:t xml:space="preserve">Figure </w:t>
      </w:r>
      <w:r>
        <w:fldChar w:fldCharType="begin"/>
      </w:r>
      <w:r>
        <w:instrText xml:space="preserve"> SEQ Figure \* ARABIC </w:instrText>
      </w:r>
      <w:r>
        <w:fldChar w:fldCharType="separate"/>
      </w:r>
      <w:r>
        <w:t>2</w:t>
      </w:r>
      <w:r>
        <w:fldChar w:fldCharType="end"/>
      </w:r>
      <w:bookmarkEnd w:id="11"/>
      <w:r>
        <w:t xml:space="preserve"> An example of measured RSRPs within one UE</w:t>
      </w:r>
    </w:p>
    <w:p>
      <w:pPr>
        <w:rPr>
          <w:b/>
          <w:bCs/>
        </w:rPr>
      </w:pPr>
      <w:r>
        <w:rPr>
          <w:b/>
          <w:bCs/>
        </w:rPr>
        <w:t xml:space="preserve">Observation 9: Compared to data collection for inference, data collection for training requires huge overhead for both BM-Case 1 and BM-Case 2. </w:t>
      </w:r>
    </w:p>
    <w:p>
      <w:pPr>
        <w:rPr>
          <w:b/>
          <w:bCs/>
        </w:rPr>
      </w:pPr>
      <w:r>
        <w:rPr>
          <w:b/>
          <w:bCs/>
        </w:rPr>
        <w:t xml:space="preserve">Observation 10: According to the evaluation results, measured RSRPs within one UE do not significantly change over different beams in spatial domain and different time instances within one beam. </w:t>
      </w:r>
    </w:p>
    <w:p>
      <w:pPr>
        <w:rPr>
          <w:b/>
          <w:bCs/>
        </w:rPr>
      </w:pPr>
      <w:r>
        <w:rPr>
          <w:b/>
          <w:bCs/>
        </w:rPr>
        <w:t xml:space="preserve">Proposal 16: Support beam reporting compression mechanism for training to reduce overhead by using RSRPs in neighboring beams in spatial domain and RSRPs within a same beam in temporal domain. </w:t>
      </w:r>
    </w:p>
    <w:p>
      <w:pPr>
        <w:rPr>
          <w:b/>
          <w:bCs/>
        </w:rPr>
      </w:pPr>
    </w:p>
    <w:p>
      <w:pPr>
        <w:pStyle w:val="3"/>
      </w:pPr>
      <w:r>
        <w:t>Considerations on model transfer/delivery</w:t>
      </w:r>
    </w:p>
    <w:p>
      <w:pPr>
        <w:spacing w:before="240"/>
      </w:pPr>
      <w:r>
        <w:t xml:space="preserve">It is possible that a single model may not generalize well for all the use cases/deployment scenarios or lead to undesirable tradeoff between model size and performance. One option is then to train multiple smaller models for specific scenario/configuration/site. But in this case, the UE may have limitations in terms of storage space. It can be argued that the UE can finetune/update the model to match the operating condition. But it is not clear if the latency, processing capability and overhead associated with model finetuning on the UE is desirable. Another option is to use model delivery/transfer to relax the UE requirements. However, signaling overhead, specification impact, and/or latency associated with model delivery/transfer should be carefully considered. </w:t>
      </w:r>
    </w:p>
    <w:p>
      <w:pPr>
        <w:spacing w:before="240"/>
        <w:rPr>
          <w:b/>
          <w:bCs/>
        </w:rPr>
      </w:pPr>
      <w:r>
        <w:rPr>
          <w:b/>
          <w:bCs/>
        </w:rPr>
        <w:t xml:space="preserve">Observation 11: In cases where model generalization, model finetuning or model storage/switching is not feasible, model delivery/transfer can be beneficial. </w:t>
      </w:r>
    </w:p>
    <w:p>
      <w:pPr>
        <w:spacing w:before="240"/>
      </w:pPr>
      <w:r>
        <w:t>While model transfer/delivery may be beneficial in the examples discussed above, for UE-side models with Functionality based LCM, the 3GPP specification transparent model delivery seems to be enough to address the issues mentioned above. However, for two-sided models, due to model pairing when a specific model training type is used, model transfer can further be studied.</w:t>
      </w:r>
    </w:p>
    <w:p>
      <w:pPr>
        <w:rPr>
          <w:b/>
          <w:bCs/>
        </w:rPr>
      </w:pPr>
      <w:r>
        <w:rPr>
          <w:b/>
          <w:bCs/>
        </w:rPr>
        <w:t xml:space="preserve">Proposal 17: Model transfer for UE-side models with functionality-based LCM is not supported and 3GPP specification transparent model delivery is only considered. </w:t>
      </w:r>
    </w:p>
    <w:p>
      <w:pPr>
        <w:pStyle w:val="2"/>
        <w:rPr>
          <w:szCs w:val="32"/>
          <w:lang w:val="en-US"/>
        </w:rPr>
      </w:pPr>
      <w:r>
        <w:rPr>
          <w:szCs w:val="32"/>
        </w:rPr>
        <w:t>Conclusion</w:t>
      </w:r>
    </w:p>
    <w:p>
      <w:pPr>
        <w:spacing w:before="120" w:after="120"/>
        <w:rPr>
          <w:rFonts w:cs="Times New Roman"/>
        </w:rPr>
      </w:pPr>
      <w:r>
        <w:rPr>
          <w:rFonts w:cs="Times New Roman"/>
        </w:rPr>
        <w:t xml:space="preserve">In this contribution, views on various LCM aspects are discussed, and the following observations and proposals are made. </w:t>
      </w:r>
    </w:p>
    <w:p>
      <w:pPr>
        <w:jc w:val="left"/>
        <w:rPr>
          <w:b/>
          <w:bCs/>
        </w:rPr>
      </w:pPr>
      <w:r>
        <w:rPr>
          <w:b/>
          <w:bCs/>
        </w:rPr>
        <w:t xml:space="preserve">Observation 1:  In beam management use case, for the cases of AIML models only at network side, the LCM procedures can be network implementation specific, and the model identification may not be necessary. </w:t>
      </w:r>
    </w:p>
    <w:p>
      <w:pPr>
        <w:jc w:val="left"/>
        <w:rPr>
          <w:b/>
          <w:bCs/>
        </w:rPr>
      </w:pPr>
      <w:r>
        <w:rPr>
          <w:b/>
          <w:bCs/>
        </w:rPr>
        <w:t>Observation 2:  In positioning use case 3a, if LCM is performed by the LMF, NW-side model identification may be necessary since the LMF may need to know information about AIML model(s) implemented at the gNB.</w:t>
      </w:r>
    </w:p>
    <w:p>
      <w:pPr>
        <w:rPr>
          <w:b/>
          <w:bCs/>
        </w:rPr>
      </w:pPr>
      <w:r>
        <w:rPr>
          <w:b/>
          <w:bCs/>
        </w:rPr>
        <w:t xml:space="preserve">Observation 3: </w:t>
      </w:r>
      <w:r>
        <w:rPr>
          <w:b/>
          <w:bCs/>
          <w:lang w:val="en-GB"/>
        </w:rPr>
        <w:t xml:space="preserve">Functionality-based LCM and model-ID-based LCM </w:t>
      </w:r>
      <w:r>
        <w:rPr>
          <w:b/>
          <w:bCs/>
        </w:rPr>
        <w:t>may be applicable for potentially different use cases, model deployments, model management granularity and collaboration levels.</w:t>
      </w:r>
    </w:p>
    <w:p>
      <w:pPr>
        <w:rPr>
          <w:b/>
          <w:bCs/>
        </w:rPr>
      </w:pPr>
      <w:r>
        <w:rPr>
          <w:b/>
          <w:bCs/>
        </w:rPr>
        <w:t xml:space="preserve">Observation 4: Model-ID based signaling in a Functionality is beneficial for model-level management (e.g., pairing of models) of UE-part of two-sided models. </w:t>
      </w:r>
    </w:p>
    <w:p>
      <w:pPr>
        <w:rPr>
          <w:b/>
          <w:bCs/>
        </w:rPr>
      </w:pPr>
      <w:r>
        <w:rPr>
          <w:b/>
          <w:bCs/>
        </w:rPr>
        <w:t>Observation 5: based on how to assign Associated ID, associated ID level LCM may be equivalent to model-ID based LCM. Therefore, Alt.3 seems to be enough to cover most of use case for the single-sided model developed and used at the UE side.</w:t>
      </w:r>
    </w:p>
    <w:p>
      <w:pPr>
        <w:rPr>
          <w:b/>
          <w:bCs/>
        </w:rPr>
      </w:pPr>
      <w:r>
        <w:rPr>
          <w:b/>
        </w:rPr>
        <w:t xml:space="preserve">Observation </w:t>
      </w:r>
      <w:r>
        <w:rPr>
          <w:b/>
          <w:bCs/>
        </w:rPr>
        <w:t>6</w:t>
      </w:r>
      <w:r>
        <w:rPr>
          <w:b/>
        </w:rPr>
        <w:t>: A ground truth label quality indicator generated by a UE or PRU may be unreliable as the estimate UE location may be inaccurate</w:t>
      </w:r>
    </w:p>
    <w:p>
      <w:pPr>
        <w:rPr>
          <w:b/>
          <w:bCs/>
        </w:rPr>
      </w:pPr>
      <w:r>
        <w:rPr>
          <w:b/>
          <w:bCs/>
        </w:rPr>
        <w:t xml:space="preserve">Observation 7: For UE side model, additional specification impact for UE reporting is not needed, but a procedure to measure whole Set A over multiple time instances is needed. </w:t>
      </w:r>
    </w:p>
    <w:p>
      <w:pPr>
        <w:rPr>
          <w:b/>
          <w:bCs/>
        </w:rPr>
      </w:pPr>
      <w:r>
        <w:rPr>
          <w:b/>
          <w:bCs/>
        </w:rPr>
        <w:t xml:space="preserve">Observation 8: For gNB side model, enhancement of UE reporting is needed as gNB needs to acquire UE side measurements. </w:t>
      </w:r>
    </w:p>
    <w:p>
      <w:pPr>
        <w:rPr>
          <w:b/>
          <w:bCs/>
        </w:rPr>
      </w:pPr>
      <w:r>
        <w:rPr>
          <w:b/>
          <w:bCs/>
        </w:rPr>
        <w:t xml:space="preserve">Observation 9: Compared to data collection for inference, data collection for training requires huge overhead for both BM-Case 1 and BM-Case 2. </w:t>
      </w:r>
    </w:p>
    <w:p>
      <w:pPr>
        <w:rPr>
          <w:b/>
          <w:bCs/>
        </w:rPr>
      </w:pPr>
      <w:r>
        <w:rPr>
          <w:b/>
          <w:bCs/>
        </w:rPr>
        <w:t xml:space="preserve">Observation 10: According to the evaluation results, measured RSRPs within one UE do not significantly change over different beams in spatial domain and different time instances within one beam. </w:t>
      </w:r>
    </w:p>
    <w:p>
      <w:pPr>
        <w:spacing w:before="240"/>
        <w:rPr>
          <w:b/>
          <w:bCs/>
        </w:rPr>
      </w:pPr>
      <w:r>
        <w:rPr>
          <w:b/>
          <w:bCs/>
        </w:rPr>
        <w:t xml:space="preserve">Observation 11: In cases where model generalization, model finetuning or model storage/switching is not feasible, model delivery/transfer can be beneficial. </w:t>
      </w:r>
    </w:p>
    <w:p>
      <w:pPr>
        <w:spacing w:before="120" w:after="120"/>
        <w:rPr>
          <w:rFonts w:cs="Times New Roman"/>
          <w:highlight w:val="yellow"/>
        </w:rPr>
      </w:pPr>
    </w:p>
    <w:p>
      <w:pPr>
        <w:rPr>
          <w:b/>
          <w:bCs/>
        </w:rPr>
      </w:pPr>
      <w:r>
        <w:rPr>
          <w:b/>
          <w:bCs/>
        </w:rPr>
        <w:t>Proposal 1: An associated ID corresponds to data collection related configuration(s) and NW-sided additional conditions.</w:t>
      </w:r>
    </w:p>
    <w:p>
      <w:pPr>
        <w:rPr>
          <w:b/>
          <w:bCs/>
        </w:rPr>
      </w:pPr>
      <w:r>
        <w:rPr>
          <w:b/>
          <w:bCs/>
        </w:rPr>
        <w:t>Proposal 2: For single-sided model developed and used at the UE side, down-select Alt-3 only for MI-Option 1 for further study.</w:t>
      </w:r>
    </w:p>
    <w:p>
      <w:pPr>
        <w:spacing w:before="240"/>
        <w:rPr>
          <w:b/>
          <w:bCs/>
        </w:rPr>
      </w:pPr>
      <w:r>
        <w:rPr>
          <w:b/>
          <w:bCs/>
        </w:rPr>
        <w:t>Proposal 3: Associated ID signaled by the NW can be used at the UE-side to determine consistency between training and inference without additional information/configurations.</w:t>
      </w:r>
    </w:p>
    <w:p>
      <w:pPr>
        <w:spacing w:before="240"/>
        <w:rPr>
          <w:b/>
          <w:bCs/>
        </w:rPr>
      </w:pPr>
      <w:r>
        <w:rPr>
          <w:b/>
          <w:bCs/>
        </w:rPr>
        <w:t>Proposal 4: For AIML positioning purpose, support MI-Option 1 for model identification type B.</w:t>
      </w:r>
    </w:p>
    <w:p>
      <w:pPr>
        <w:spacing w:before="240"/>
        <w:rPr>
          <w:b/>
          <w:bCs/>
        </w:rPr>
      </w:pPr>
      <w:r>
        <w:rPr>
          <w:b/>
          <w:bCs/>
        </w:rPr>
        <w:t>Proposal 5: Clarify if MI-Option2 refers to Option 4 in the CSI compression sub-agenda item (“Option 4: Standardized data / dataset format + Dataset exchange between NW-side and UE-side”).</w:t>
      </w:r>
    </w:p>
    <w:p>
      <w:pPr>
        <w:spacing w:before="240"/>
        <w:rPr>
          <w:b/>
          <w:bCs/>
        </w:rPr>
      </w:pPr>
      <w:r>
        <w:rPr>
          <w:b/>
          <w:bCs/>
        </w:rPr>
        <w:t>Proposal 6: Defer discussions on MI-Option2 for the UE-part of a two-sided model until more progress is made in the inter-vendor training collaboration discussion, at least for Option 4.</w:t>
      </w:r>
    </w:p>
    <w:p>
      <w:pPr>
        <w:rPr>
          <w:b/>
          <w:bCs/>
        </w:rPr>
      </w:pPr>
      <w:r>
        <w:rPr>
          <w:b/>
          <w:bCs/>
        </w:rPr>
        <w:t>Proposal 7: For model input and ground truth for CSI prediction model training dataset, the collected data could include the measured CSI during the observation and the prediction window.</w:t>
      </w:r>
    </w:p>
    <w:p>
      <w:pPr>
        <w:rPr>
          <w:b/>
          <w:bCs/>
        </w:rPr>
      </w:pPr>
      <w:r>
        <w:rPr>
          <w:b/>
          <w:bCs/>
        </w:rPr>
        <w:t xml:space="preserve">Proposal 8:  Other information for the CSI prediction model training dataset could include the sizes of the observation and prediction windows, CSI format (raw or eigenvector), pre-processing (if any), CSI-RS configuration, the number of Tx antenna ports and BWP and sub-size.  </w:t>
      </w:r>
    </w:p>
    <w:p>
      <w:pPr>
        <w:rPr>
          <w:b/>
          <w:bCs/>
        </w:rPr>
      </w:pPr>
      <w:r>
        <w:rPr>
          <w:b/>
          <w:bCs/>
        </w:rPr>
        <w:t xml:space="preserve">Proposal 9:  Quality indicators for the CSI prediction model training dataset could include at least the RSRP and TDCP. </w:t>
      </w:r>
    </w:p>
    <w:p>
      <w:pPr>
        <w:spacing w:before="240"/>
        <w:rPr>
          <w:b/>
        </w:rPr>
      </w:pPr>
      <w:r>
        <w:rPr>
          <w:b/>
        </w:rPr>
        <w:t>Proposal 10: A ground truth label quality indicator is associated with a UE or PRU location</w:t>
      </w:r>
    </w:p>
    <w:p>
      <w:r>
        <w:rPr>
          <w:b/>
          <w:bCs/>
        </w:rPr>
        <w:t>Proposal 11: For case 1 for positioning, support LMF to forward location information of PRUs, measurements made by PRUs and ground truth label quality indicator with the PRU location to a target UE</w:t>
      </w:r>
    </w:p>
    <w:p>
      <w:pPr>
        <w:rPr>
          <w:b/>
          <w:bCs/>
        </w:rPr>
      </w:pPr>
      <w:r>
        <w:rPr>
          <w:b/>
          <w:bCs/>
        </w:rPr>
        <w:t>Proposal 12: For case 1 for positioning, support LMF to forward location information of a UE, which is not a PRU, measurements made by the UE and ground truth label quality indicator associated with the UE location to a target UE</w:t>
      </w:r>
    </w:p>
    <w:p>
      <w:pPr>
        <w:spacing w:before="240"/>
        <w:rPr>
          <w:b/>
          <w:bCs/>
        </w:rPr>
      </w:pPr>
      <w:r>
        <w:rPr>
          <w:b/>
        </w:rPr>
        <w:t>Proposal 13: The LMF is the only entity that can generate a ground truth label quality indicator associated with location information of UE or PRU</w:t>
      </w:r>
    </w:p>
    <w:p>
      <w:pPr>
        <w:rPr>
          <w:b/>
          <w:bCs/>
        </w:rPr>
      </w:pPr>
      <w:r>
        <w:rPr>
          <w:b/>
          <w:bCs/>
        </w:rPr>
        <w:t xml:space="preserve">Proposal 14: For UE side model, support a common procedure to measure whole Set A over multiple time instances for both BM-Case 1 and BM-Case 2. </w:t>
      </w:r>
    </w:p>
    <w:p>
      <w:pPr>
        <w:rPr>
          <w:b/>
          <w:bCs/>
        </w:rPr>
      </w:pPr>
      <w:r>
        <w:rPr>
          <w:b/>
          <w:bCs/>
        </w:rPr>
        <w:t>Proposal 15: For gNB side model, support enhanced UE reporting to report up to 64 RSRP values for whole Set A over multiple time instances.</w:t>
      </w:r>
    </w:p>
    <w:p>
      <w:pPr>
        <w:pStyle w:val="37"/>
        <w:numPr>
          <w:ilvl w:val="0"/>
          <w:numId w:val="17"/>
        </w:numPr>
        <w:rPr>
          <w:b/>
          <w:bCs/>
        </w:rPr>
      </w:pPr>
      <w:r>
        <w:rPr>
          <w:b/>
          <w:bCs/>
        </w:rPr>
        <w:t>No CRIs/SSBRIs are reported and implicit beam indexes (e.g., by association with RSs and reported RSRPs) are used.</w:t>
      </w:r>
    </w:p>
    <w:p>
      <w:pPr>
        <w:pStyle w:val="37"/>
        <w:numPr>
          <w:ilvl w:val="0"/>
          <w:numId w:val="17"/>
        </w:numPr>
        <w:rPr>
          <w:b/>
          <w:bCs/>
        </w:rPr>
      </w:pPr>
      <w:r>
        <w:rPr>
          <w:b/>
          <w:bCs/>
        </w:rPr>
        <w:t>Information on measured past instances (e.g., time stamp) is supported.</w:t>
      </w:r>
    </w:p>
    <w:p>
      <w:pPr>
        <w:spacing w:before="120" w:after="120"/>
        <w:rPr>
          <w:rFonts w:cs="Times New Roman"/>
          <w:highlight w:val="yellow"/>
        </w:rPr>
      </w:pPr>
    </w:p>
    <w:p>
      <w:pPr>
        <w:rPr>
          <w:b/>
          <w:bCs/>
        </w:rPr>
      </w:pPr>
      <w:r>
        <w:rPr>
          <w:b/>
          <w:bCs/>
        </w:rPr>
        <w:t xml:space="preserve">Proposal 16: Support beam reporting compression mechanism for training to reduce overhead by using RSRPs in neighboring beams in spatial domain and RSRPs within a same beam in temporal domain. </w:t>
      </w:r>
    </w:p>
    <w:p>
      <w:pPr>
        <w:rPr>
          <w:b/>
          <w:bCs/>
        </w:rPr>
      </w:pPr>
      <w:r>
        <w:rPr>
          <w:b/>
          <w:bCs/>
        </w:rPr>
        <w:t xml:space="preserve">Proposal 17: Model transfer for UE-side models with functionality-based LCM is not supported and 3GPP specification transparent model delivery is only considered. </w:t>
      </w:r>
    </w:p>
    <w:p>
      <w:pPr>
        <w:pStyle w:val="2"/>
      </w:pPr>
      <w:r>
        <w:t>Reference</w:t>
      </w:r>
    </w:p>
    <w:p>
      <w:pPr>
        <w:pStyle w:val="43"/>
        <w:overflowPunct w:val="0"/>
        <w:autoSpaceDE w:val="0"/>
        <w:autoSpaceDN w:val="0"/>
        <w:adjustRightInd w:val="0"/>
        <w:spacing w:after="120" w:line="240" w:lineRule="auto"/>
        <w:textAlignment w:val="baseline"/>
        <w:rPr>
          <w:sz w:val="20"/>
        </w:rPr>
      </w:pPr>
      <w:bookmarkStart w:id="12" w:name="_Ref158763775"/>
      <w:bookmarkStart w:id="13" w:name="_Ref401222022"/>
      <w:bookmarkStart w:id="14" w:name="_Ref403048963"/>
      <w:bookmarkStart w:id="15" w:name="_Ref399440155"/>
      <w:bookmarkStart w:id="16" w:name="_Ref370891592"/>
      <w:bookmarkStart w:id="17" w:name="_Ref416167577"/>
      <w:r>
        <w:rPr>
          <w:sz w:val="20"/>
        </w:rPr>
        <w:t>RP-234039, “New WID on Artificial Intelligence (AI)/Machine Learning (ML) for NR Air Interface”, Work Item Description.</w:t>
      </w:r>
      <w:bookmarkEnd w:id="12"/>
    </w:p>
    <w:p>
      <w:pPr>
        <w:pStyle w:val="43"/>
        <w:overflowPunct w:val="0"/>
        <w:autoSpaceDE w:val="0"/>
        <w:autoSpaceDN w:val="0"/>
        <w:adjustRightInd w:val="0"/>
        <w:spacing w:after="120" w:line="240" w:lineRule="auto"/>
        <w:textAlignment w:val="baseline"/>
        <w:rPr>
          <w:sz w:val="20"/>
        </w:rPr>
      </w:pPr>
      <w:bookmarkStart w:id="18" w:name="_Ref158764161"/>
      <w:r>
        <w:rPr>
          <w:sz w:val="20"/>
        </w:rPr>
        <w:t>RP-213599, “</w:t>
      </w:r>
      <w:bookmarkEnd w:id="13"/>
      <w:bookmarkEnd w:id="14"/>
      <w:bookmarkEnd w:id="15"/>
      <w:bookmarkEnd w:id="16"/>
      <w:r>
        <w:rPr>
          <w:sz w:val="20"/>
        </w:rPr>
        <w:t>New SI: Study on Artificial Intelligence (AI)/Machine Learning (ML) for NR Air Interface”, Work Item Description.</w:t>
      </w:r>
      <w:bookmarkEnd w:id="17"/>
      <w:bookmarkEnd w:id="18"/>
    </w:p>
    <w:p>
      <w:pPr>
        <w:pStyle w:val="43"/>
        <w:overflowPunct w:val="0"/>
        <w:autoSpaceDE w:val="0"/>
        <w:autoSpaceDN w:val="0"/>
        <w:adjustRightInd w:val="0"/>
        <w:spacing w:after="120" w:line="240" w:lineRule="auto"/>
        <w:textAlignment w:val="baseline"/>
        <w:rPr>
          <w:sz w:val="20"/>
        </w:rPr>
      </w:pPr>
      <w:bookmarkStart w:id="19" w:name="_Ref158642161"/>
      <w:bookmarkStart w:id="20" w:name="_Ref158905936"/>
      <w:bookmarkStart w:id="21" w:name="_Ref142662401"/>
      <w:r>
        <w:rPr>
          <w:sz w:val="20"/>
        </w:rPr>
        <w:t>3GPP TR38.843 V18.0.0 (2023-12) Study on Artificial Intelligence (AI)/Machine Learning (ML) for NR air interface (Release 18)</w:t>
      </w:r>
      <w:bookmarkEnd w:id="19"/>
      <w:bookmarkEnd w:id="20"/>
    </w:p>
    <w:p>
      <w:pPr>
        <w:pStyle w:val="43"/>
        <w:overflowPunct w:val="0"/>
        <w:autoSpaceDE w:val="0"/>
        <w:autoSpaceDN w:val="0"/>
        <w:adjustRightInd w:val="0"/>
        <w:spacing w:after="120" w:line="240" w:lineRule="auto"/>
        <w:textAlignment w:val="baseline"/>
        <w:rPr>
          <w:sz w:val="20"/>
        </w:rPr>
      </w:pPr>
      <w:bookmarkStart w:id="22" w:name="_Ref163137986"/>
      <w:r>
        <w:rPr>
          <w:sz w:val="20"/>
        </w:rPr>
        <w:t>RAN1 #116 Chairman’s note</w:t>
      </w:r>
      <w:bookmarkEnd w:id="22"/>
    </w:p>
    <w:bookmarkEnd w:id="21"/>
    <w:p>
      <w:pPr>
        <w:pStyle w:val="43"/>
        <w:rPr>
          <w:sz w:val="20"/>
        </w:rPr>
      </w:pPr>
      <w:r>
        <w:rPr>
          <w:sz w:val="20"/>
        </w:rPr>
        <w:t>3GPP TS38.805 V18.0.0 (2023-12) Stage 2 functional specification of User Equipment (UE) positioning in NG-RAN (Release 18)</w:t>
      </w:r>
    </w:p>
    <w:p>
      <w:pPr>
        <w:pStyle w:val="43"/>
        <w:rPr>
          <w:sz w:val="20"/>
        </w:rPr>
      </w:pPr>
      <w:r>
        <w:rPr>
          <w:sz w:val="20"/>
        </w:rPr>
        <w:t>3GPP TS37.355 V18.0.0 (2023-12) LTE Positioning Protocol (LPP) (Release 18)</w:t>
      </w:r>
    </w:p>
    <w:p>
      <w:pPr>
        <w:pStyle w:val="43"/>
        <w:rPr>
          <w:sz w:val="20"/>
        </w:rPr>
      </w:pPr>
      <w:r>
        <w:rPr>
          <w:sz w:val="20"/>
        </w:rPr>
        <w:t>R1-2401042, “Discussion on support for AIML positioning”, InterDigital, RAN1#116, Athens, Greece, Feb 2024.</w:t>
      </w:r>
    </w:p>
    <w:p>
      <w:pPr>
        <w:pStyle w:val="43"/>
        <w:rPr>
          <w:sz w:val="20"/>
        </w:rPr>
      </w:pPr>
      <w:bookmarkStart w:id="23" w:name="_Ref158992276"/>
      <w:r>
        <w:rPr>
          <w:sz w:val="20"/>
        </w:rPr>
        <w:t>R1-2400908, “Discussion on AI/ML-based CSI prediction”, InterDigital, RAN1 #116, Athens, Greece, Feb. 2024.</w:t>
      </w:r>
    </w:p>
    <w:p>
      <w:pPr>
        <w:pStyle w:val="43"/>
        <w:rPr>
          <w:sz w:val="20"/>
        </w:rPr>
      </w:pPr>
      <w:r>
        <w:rPr>
          <w:sz w:val="20"/>
        </w:rPr>
        <w:t>R1-2402609, “Discussion on AIML for beam management”, InterDigital, RAN1#116bis, Changsha, China, April 2024.</w:t>
      </w:r>
      <w:bookmarkEnd w:id="23"/>
    </w:p>
    <w:p>
      <w:pPr>
        <w:pStyle w:val="43"/>
        <w:overflowPunct w:val="0"/>
        <w:autoSpaceDE w:val="0"/>
        <w:autoSpaceDN w:val="0"/>
        <w:adjustRightInd w:val="0"/>
        <w:spacing w:after="120" w:line="240" w:lineRule="auto"/>
        <w:textAlignment w:val="baseline"/>
        <w:rPr>
          <w:sz w:val="20"/>
        </w:rPr>
      </w:pPr>
      <w:bookmarkStart w:id="24" w:name="_Ref166181206"/>
      <w:r>
        <w:rPr>
          <w:sz w:val="20"/>
        </w:rPr>
        <w:t>RAN1 #116b Chairman’s note</w:t>
      </w:r>
      <w:bookmarkEnd w:id="24"/>
    </w:p>
    <w:p>
      <w:pPr>
        <w:pStyle w:val="43"/>
        <w:overflowPunct w:val="0"/>
        <w:autoSpaceDE w:val="0"/>
        <w:autoSpaceDN w:val="0"/>
        <w:adjustRightInd w:val="0"/>
        <w:spacing w:after="120" w:line="240" w:lineRule="auto"/>
        <w:textAlignment w:val="baseline"/>
        <w:rPr>
          <w:sz w:val="20"/>
        </w:rPr>
      </w:pPr>
      <w:bookmarkStart w:id="25" w:name="_Ref174002248"/>
      <w:r>
        <w:rPr>
          <w:sz w:val="20"/>
        </w:rPr>
        <w:t>RAN1 #117 Chairman’s note</w:t>
      </w:r>
      <w:bookmarkEnd w:id="25"/>
    </w:p>
    <w:p>
      <w:pPr>
        <w:pStyle w:val="43"/>
        <w:overflowPunct w:val="0"/>
        <w:autoSpaceDE w:val="0"/>
        <w:autoSpaceDN w:val="0"/>
        <w:adjustRightInd w:val="0"/>
        <w:spacing w:after="120" w:line="240" w:lineRule="auto"/>
        <w:textAlignment w:val="baseline"/>
        <w:rPr>
          <w:sz w:val="20"/>
        </w:rPr>
      </w:pPr>
      <w:bookmarkStart w:id="26" w:name="_Ref174086432"/>
      <w:r>
        <w:rPr>
          <w:sz w:val="20"/>
        </w:rPr>
        <w:t>R2-2406381, “Report of [POST126][032][AI/ML PHY] LCM (Intel/Samsung)_Phase 2”</w:t>
      </w:r>
      <w:bookmarkEnd w:id="26"/>
    </w:p>
    <w:p>
      <w:pPr>
        <w:pStyle w:val="43"/>
        <w:numPr>
          <w:ilvl w:val="0"/>
          <w:numId w:val="0"/>
        </w:numPr>
        <w:overflowPunct w:val="0"/>
        <w:autoSpaceDE w:val="0"/>
        <w:autoSpaceDN w:val="0"/>
        <w:adjustRightInd w:val="0"/>
        <w:spacing w:after="120" w:line="240" w:lineRule="auto"/>
        <w:textAlignment w:val="baseline"/>
        <w:rPr>
          <w:sz w:val="20"/>
        </w:rPr>
      </w:pPr>
    </w:p>
    <w:p>
      <w:pPr>
        <w:spacing w:before="240"/>
        <w:rPr>
          <w:rFonts w:cs="Times New Roman"/>
          <w:lang w:eastAsia="zh-CN"/>
        </w:rPr>
      </w:pPr>
    </w:p>
    <w:sectPr>
      <w:footerReference r:id="rId7" w:type="first"/>
      <w:footerReference r:id="rId5" w:type="default"/>
      <w:footerReference r:id="rId6" w:type="even"/>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altName w:val="宋体-简"/>
    <w:panose1 w:val="00000000000000000000"/>
    <w:charset w:val="86"/>
    <w:family w:val="auto"/>
    <w:pitch w:val="default"/>
    <w:sig w:usb0="00000000" w:usb1="00000000" w:usb2="00000000" w:usb3="00000000" w:csb0="00000000" w:csb1="00000000"/>
  </w:font>
  <w:font w:name="宋体-简">
    <w:panose1 w:val="02010600040101010101"/>
    <w:charset w:val="86"/>
    <w:family w:val="auto"/>
    <w:pitch w:val="default"/>
    <w:sig w:usb0="00000000" w:usb1="00000000" w:usb2="00000000" w:usb3="00000000" w:csb0="00160000" w:csb1="00000000"/>
  </w:font>
  <w:font w:name="Arial">
    <w:panose1 w:val="020B0604020202020204"/>
    <w:charset w:val="00"/>
    <w:family w:val="swiss"/>
    <w:pitch w:val="default"/>
    <w:sig w:usb0="00000000" w:usb1="00000000" w:usb2="00000000" w:usb3="00000000" w:csb0="00000000" w:csb1="00000000"/>
  </w:font>
  <w:font w:name="黑体">
    <w:altName w:val="黑体-简"/>
    <w:panose1 w:val="02010600030101010101"/>
    <w:charset w:val="00"/>
    <w:family w:val="auto"/>
    <w:pitch w:val="default"/>
    <w:sig w:usb0="00000001" w:usb1="080E0000" w:usb2="00000010" w:usb3="00000000" w:csb0="00040000" w:csb1="00000000"/>
  </w:font>
  <w:font w:name="黑体-简">
    <w:panose1 w:val="02000000000000000000"/>
    <w:charset w:val="86"/>
    <w:family w:val="auto"/>
    <w:pitch w:val="default"/>
    <w:sig w:usb0="00000000" w:usb1="00000000" w:usb2="00000000" w:usb3="00000000" w:csb0="00160000" w:csb1="00000000"/>
  </w:font>
  <w:font w:name="Courier New">
    <w:panose1 w:val="02070309020205020404"/>
    <w:charset w:val="00"/>
    <w:family w:val="modern"/>
    <w:pitch w:val="default"/>
    <w:sig w:usb0="00000000" w:usb1="00000000" w:usb2="00000000" w:usb3="00000000" w:csb0="00000000" w:csb1="00000000"/>
  </w:font>
  <w:font w:name="Wingdings">
    <w:panose1 w:val="05000000000000000000"/>
    <w:charset w:val="00"/>
    <w:family w:val="auto"/>
    <w:pitch w:val="default"/>
    <w:sig w:usb0="00000000" w:usb1="00000000" w:usb2="00000000" w:usb3="00000000" w:csb0="0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00000000" w:usb1="00000000" w:usb2="00000000" w:usb3="00000000" w:csb0="00000000" w:csb1="00000000"/>
  </w:font>
  <w:font w:name="SimSun">
    <w:altName w:val="宋体-简"/>
    <w:panose1 w:val="02010600030101010101"/>
    <w:charset w:val="86"/>
    <w:family w:val="auto"/>
    <w:pitch w:val="default"/>
    <w:sig w:usb0="00000000" w:usb1="00000000" w:usb2="00000016" w:usb3="00000000" w:csb0="00040001" w:csb1="00000000"/>
  </w:font>
  <w:font w:name="游明朝">
    <w:altName w:val="苹方-简"/>
    <w:panose1 w:val="00000000000000000000"/>
    <w:charset w:val="86"/>
    <w:family w:val="auto"/>
    <w:pitch w:val="default"/>
    <w:sig w:usb0="00000000" w:usb1="00000000" w:usb2="00000000" w:usb3="00000000" w:csb0="00000000" w:csb1="00000000"/>
  </w:font>
  <w:font w:name="苹方-简">
    <w:panose1 w:val="020B0400000000000000"/>
    <w:charset w:val="86"/>
    <w:family w:val="auto"/>
    <w:pitch w:val="default"/>
    <w:sig w:usb0="00000000" w:usb1="00000000" w:usb2="00000000" w:usb3="00000000" w:csb0="00160000" w:csb1="00000000"/>
  </w:font>
  <w:font w:name="MS Mincho">
    <w:altName w:val="Hiragino Sans"/>
    <w:panose1 w:val="02020609040205080304"/>
    <w:charset w:val="80"/>
    <w:family w:val="modern"/>
    <w:pitch w:val="default"/>
    <w:sig w:usb0="00000000" w:usb1="00000000" w:usb2="08000012" w:usb3="00000000" w:csb0="0002009F" w:csb1="00000000"/>
  </w:font>
  <w:font w:name="Hiragino Sans">
    <w:panose1 w:val="020B0300000000000000"/>
    <w:charset w:val="86"/>
    <w:family w:val="auto"/>
    <w:pitch w:val="default"/>
    <w:sig w:usb0="00000000" w:usb1="00000000" w:usb2="00000000" w:usb3="00000000" w:csb0="00160000" w:csb1="00000000"/>
  </w:font>
  <w:font w:name="Segoe UI">
    <w:altName w:val="苹方-简"/>
    <w:panose1 w:val="020B0502040204020203"/>
    <w:charset w:val="00"/>
    <w:family w:val="swiss"/>
    <w:pitch w:val="default"/>
    <w:sig w:usb0="00000000" w:usb1="00000000" w:usb2="00000009" w:usb3="00000000" w:csb0="000001FF" w:csb1="00000000"/>
  </w:font>
  <w:font w:name="Malgun Gothic">
    <w:altName w:val="Apple SD Gothic Neo"/>
    <w:panose1 w:val="020B0503020000020004"/>
    <w:charset w:val="81"/>
    <w:family w:val="swiss"/>
    <w:pitch w:val="default"/>
    <w:sig w:usb0="00000000" w:usb1="00000000" w:usb2="00000012" w:usb3="00000000" w:csb0="00080001" w:csb1="00000000"/>
  </w:font>
  <w:font w:name="Apple SD Gothic Neo">
    <w:panose1 w:val="02000300000000000000"/>
    <w:charset w:val="86"/>
    <w:family w:val="auto"/>
    <w:pitch w:val="default"/>
    <w:sig w:usb0="00000000" w:usb1="00000000" w:usb2="00000000" w:usb3="00000000" w:csb0="003E0000" w:csb1="00000000"/>
  </w:font>
  <w:font w:name="DengXian">
    <w:altName w:val="苹方-简"/>
    <w:panose1 w:val="02010600030101010101"/>
    <w:charset w:val="86"/>
    <w:family w:val="auto"/>
    <w:pitch w:val="default"/>
    <w:sig w:usb0="00000000" w:usb1="00000000" w:usb2="00000016" w:usb3="00000000" w:csb0="0004000F" w:csb1="00000000"/>
  </w:font>
  <w:font w:name="Symbol">
    <w:altName w:val="Kingsoft Sign"/>
    <w:panose1 w:val="05050102010706020507"/>
    <w:charset w:val="02"/>
    <w:family w:val="roman"/>
    <w:pitch w:val="default"/>
    <w:sig w:usb0="00000000" w:usb1="00000000" w:usb2="00000000" w:usb3="00000000" w:csb0="80000000" w:csb1="00000000"/>
  </w:font>
  <w:font w:name="Kingsoft Sign">
    <w:panose1 w:val="05050102010706020507"/>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00000000" w:csb1="00000000"/>
  </w:font>
  <w:font w:name="Yu Mincho">
    <w:altName w:val="Hiragino Sans CNS"/>
    <w:panose1 w:val="00000000000000000000"/>
    <w:charset w:val="80"/>
    <w:family w:val="roman"/>
    <w:pitch w:val="default"/>
    <w:sig w:usb0="00000000" w:usb1="00000000" w:usb2="00000012" w:usb3="00000000" w:csb0="0002009F" w:csb1="00000000"/>
  </w:font>
  <w:font w:name="Hiragino Sans CNS">
    <w:panose1 w:val="020B0300000000000000"/>
    <w:charset w:val="86"/>
    <w:family w:val="auto"/>
    <w:pitch w:val="default"/>
    <w:sig w:usb0="00000000" w:usb1="00000000" w:usb2="00000000" w:usb3="00000000" w:csb0="00160000" w:csb1="00000000"/>
  </w:font>
  <w:font w:name="Batang">
    <w:altName w:val="Apple SD Gothic Neo"/>
    <w:panose1 w:val="02030600000101010101"/>
    <w:charset w:val="81"/>
    <w:family w:val="roman"/>
    <w:pitch w:val="default"/>
    <w:sig w:usb0="00000000" w:usb1="00000000" w:usb2="00000030" w:usb3="00000000" w:csb0="0008009F" w:csb1="00000000"/>
  </w:font>
  <w:font w:name="游明朝">
    <w:altName w:val="苹方-简"/>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89"/>
    <w:multiLevelType w:val="singleLevel"/>
    <w:tmpl w:val="FFFFFF89"/>
    <w:lvl w:ilvl="0" w:tentative="0">
      <w:start w:val="1"/>
      <w:numFmt w:val="bullet"/>
      <w:pStyle w:val="23"/>
      <w:lvlText w:val=""/>
      <w:lvlJc w:val="left"/>
      <w:pPr>
        <w:tabs>
          <w:tab w:val="left" w:pos="360"/>
        </w:tabs>
        <w:ind w:left="360" w:hanging="360"/>
      </w:pPr>
      <w:rPr>
        <w:rFonts w:hint="default" w:ascii="Symbol" w:hAnsi="Symbol"/>
      </w:rPr>
    </w:lvl>
  </w:abstractNum>
  <w:abstractNum w:abstractNumId="1">
    <w:nsid w:val="02552047"/>
    <w:multiLevelType w:val="multilevel"/>
    <w:tmpl w:val="02552047"/>
    <w:lvl w:ilvl="0" w:tentative="0">
      <w:start w:val="1"/>
      <w:numFmt w:val="decimal"/>
      <w:pStyle w:val="2"/>
      <w:lvlText w:val="%1"/>
      <w:lvlJc w:val="left"/>
      <w:pPr>
        <w:tabs>
          <w:tab w:val="left" w:pos="432"/>
        </w:tabs>
        <w:ind w:left="432" w:hanging="432"/>
      </w:pPr>
      <w:rPr>
        <w:rFonts w:hint="default"/>
        <w:lang w:val="en-US"/>
      </w:rPr>
    </w:lvl>
    <w:lvl w:ilvl="1" w:tentative="0">
      <w:start w:val="1"/>
      <w:numFmt w:val="decimal"/>
      <w:pStyle w:val="3"/>
      <w:lvlText w:val="%1.%2"/>
      <w:lvlJc w:val="left"/>
      <w:pPr>
        <w:tabs>
          <w:tab w:val="left" w:pos="576"/>
        </w:tabs>
        <w:ind w:left="576" w:hanging="576"/>
      </w:pPr>
      <w:rPr>
        <w:rFonts w:hint="default"/>
        <w:b w:val="0"/>
        <w:bCs w:val="0"/>
        <w:sz w:val="28"/>
        <w:lang w:val="en-US"/>
      </w:rPr>
    </w:lvl>
    <w:lvl w:ilvl="2" w:tentative="0">
      <w:start w:val="1"/>
      <w:numFmt w:val="decimal"/>
      <w:pStyle w:val="4"/>
      <w:lvlText w:val="%1.%2.%3"/>
      <w:lvlJc w:val="left"/>
      <w:pPr>
        <w:tabs>
          <w:tab w:val="left" w:pos="1004"/>
        </w:tabs>
        <w:ind w:left="1004" w:hanging="720"/>
      </w:pPr>
      <w:rPr>
        <w:rFonts w:hint="default"/>
        <w:lang w:val="en-GB"/>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2">
    <w:nsid w:val="0A2F6520"/>
    <w:multiLevelType w:val="multilevel"/>
    <w:tmpl w:val="0A2F652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112D3086"/>
    <w:multiLevelType w:val="multilevel"/>
    <w:tmpl w:val="112D308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6CC7596"/>
    <w:multiLevelType w:val="multilevel"/>
    <w:tmpl w:val="36CC7596"/>
    <w:lvl w:ilvl="0" w:tentative="0">
      <w:start w:val="1"/>
      <w:numFmt w:val="bullet"/>
      <w:pStyle w:val="65"/>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Times New Roman" w:hAnsi="Times New Roman" w:cs="Times New Roman"/>
        <w:lang w:val="en-GB"/>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3FC07A98"/>
    <w:multiLevelType w:val="multilevel"/>
    <w:tmpl w:val="3FC07A9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4BDF65F6"/>
    <w:multiLevelType w:val="multilevel"/>
    <w:tmpl w:val="4BDF65F6"/>
    <w:lvl w:ilvl="0" w:tentative="0">
      <w:start w:val="1"/>
      <w:numFmt w:val="decimal"/>
      <w:pStyle w:val="43"/>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2BF1D56"/>
    <w:multiLevelType w:val="multilevel"/>
    <w:tmpl w:val="52BF1D56"/>
    <w:lvl w:ilvl="0" w:tentative="0">
      <w:start w:val="0"/>
      <w:numFmt w:val="bullet"/>
      <w:lvlText w:val="-"/>
      <w:lvlJc w:val="left"/>
      <w:pPr>
        <w:ind w:left="720" w:hanging="360"/>
      </w:pPr>
      <w:rPr>
        <w:rFonts w:hint="default" w:ascii="Times New Roman" w:hAnsi="Times New Roman" w:eastAsia="MS Mincho"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562467C0"/>
    <w:multiLevelType w:val="multilevel"/>
    <w:tmpl w:val="562467C0"/>
    <w:lvl w:ilvl="0" w:tentative="0">
      <w:start w:val="5"/>
      <w:numFmt w:val="bullet"/>
      <w:lvlText w:val=""/>
      <w:lvlJc w:val="left"/>
      <w:pPr>
        <w:ind w:left="800" w:hanging="440"/>
      </w:pPr>
      <w:rPr>
        <w:rFonts w:hint="default" w:ascii="Symbol" w:hAnsi="Symbol" w:eastAsia="SimSun" w:cs="Times New Roman"/>
      </w:rPr>
    </w:lvl>
    <w:lvl w:ilvl="1" w:tentative="0">
      <w:start w:val="1"/>
      <w:numFmt w:val="bullet"/>
      <w:lvlText w:val=""/>
      <w:lvlJc w:val="left"/>
      <w:pPr>
        <w:ind w:left="1240" w:hanging="440"/>
      </w:pPr>
      <w:rPr>
        <w:rFonts w:hint="default" w:ascii="Wingdings" w:hAnsi="Wingdings"/>
      </w:rPr>
    </w:lvl>
    <w:lvl w:ilvl="2" w:tentative="0">
      <w:start w:val="1"/>
      <w:numFmt w:val="bullet"/>
      <w:lvlText w:val=""/>
      <w:lvlJc w:val="left"/>
      <w:pPr>
        <w:ind w:left="1680" w:hanging="440"/>
      </w:pPr>
      <w:rPr>
        <w:rFonts w:hint="default" w:ascii="Wingdings" w:hAnsi="Wingdings"/>
      </w:rPr>
    </w:lvl>
    <w:lvl w:ilvl="3" w:tentative="0">
      <w:start w:val="1"/>
      <w:numFmt w:val="bullet"/>
      <w:lvlText w:val=""/>
      <w:lvlJc w:val="left"/>
      <w:pPr>
        <w:ind w:left="2120" w:hanging="440"/>
      </w:pPr>
      <w:rPr>
        <w:rFonts w:hint="default" w:ascii="Wingdings" w:hAnsi="Wingdings"/>
      </w:rPr>
    </w:lvl>
    <w:lvl w:ilvl="4" w:tentative="0">
      <w:start w:val="1"/>
      <w:numFmt w:val="bullet"/>
      <w:lvlText w:val=""/>
      <w:lvlJc w:val="left"/>
      <w:pPr>
        <w:ind w:left="2560" w:hanging="440"/>
      </w:pPr>
      <w:rPr>
        <w:rFonts w:hint="default" w:ascii="Wingdings" w:hAnsi="Wingdings"/>
      </w:rPr>
    </w:lvl>
    <w:lvl w:ilvl="5" w:tentative="0">
      <w:start w:val="1"/>
      <w:numFmt w:val="bullet"/>
      <w:lvlText w:val=""/>
      <w:lvlJc w:val="left"/>
      <w:pPr>
        <w:ind w:left="3000" w:hanging="440"/>
      </w:pPr>
      <w:rPr>
        <w:rFonts w:hint="default" w:ascii="Wingdings" w:hAnsi="Wingdings"/>
      </w:rPr>
    </w:lvl>
    <w:lvl w:ilvl="6" w:tentative="0">
      <w:start w:val="1"/>
      <w:numFmt w:val="bullet"/>
      <w:lvlText w:val=""/>
      <w:lvlJc w:val="left"/>
      <w:pPr>
        <w:ind w:left="3440" w:hanging="440"/>
      </w:pPr>
      <w:rPr>
        <w:rFonts w:hint="default" w:ascii="Wingdings" w:hAnsi="Wingdings"/>
      </w:rPr>
    </w:lvl>
    <w:lvl w:ilvl="7" w:tentative="0">
      <w:start w:val="1"/>
      <w:numFmt w:val="bullet"/>
      <w:lvlText w:val=""/>
      <w:lvlJc w:val="left"/>
      <w:pPr>
        <w:ind w:left="3880" w:hanging="440"/>
      </w:pPr>
      <w:rPr>
        <w:rFonts w:hint="default" w:ascii="Wingdings" w:hAnsi="Wingdings"/>
      </w:rPr>
    </w:lvl>
    <w:lvl w:ilvl="8" w:tentative="0">
      <w:start w:val="1"/>
      <w:numFmt w:val="bullet"/>
      <w:lvlText w:val=""/>
      <w:lvlJc w:val="left"/>
      <w:pPr>
        <w:ind w:left="4320" w:hanging="440"/>
      </w:pPr>
      <w:rPr>
        <w:rFonts w:hint="default" w:ascii="Wingdings" w:hAnsi="Wingdings"/>
      </w:rPr>
    </w:lvl>
  </w:abstractNum>
  <w:abstractNum w:abstractNumId="9">
    <w:nsid w:val="5785522F"/>
    <w:multiLevelType w:val="multilevel"/>
    <w:tmpl w:val="5785522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6B9B7943"/>
    <w:multiLevelType w:val="multilevel"/>
    <w:tmpl w:val="6B9B794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6C280105"/>
    <w:multiLevelType w:val="multilevel"/>
    <w:tmpl w:val="6C28010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0146DC0"/>
    <w:multiLevelType w:val="multilevel"/>
    <w:tmpl w:val="70146DC0"/>
    <w:lvl w:ilvl="0" w:tentative="0">
      <w:start w:val="1"/>
      <w:numFmt w:val="bullet"/>
      <w:pStyle w:val="68"/>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abstractNum w:abstractNumId="13">
    <w:nsid w:val="74047E3D"/>
    <w:multiLevelType w:val="multilevel"/>
    <w:tmpl w:val="74047E3D"/>
    <w:lvl w:ilvl="0" w:tentative="0">
      <w:start w:val="1"/>
      <w:numFmt w:val="bullet"/>
      <w:pStyle w:val="57"/>
      <w:lvlText w:val="●"/>
      <w:lvlJc w:val="left"/>
      <w:pPr>
        <w:ind w:left="1418" w:hanging="284"/>
      </w:pPr>
      <w:rPr>
        <w:rFonts w:hint="default" w:ascii="Times New Roman" w:hAnsi="Times New Roman" w:cs="Times New Roman"/>
        <w:color w:val="auto"/>
        <w:sz w:val="22"/>
      </w:rPr>
    </w:lvl>
    <w:lvl w:ilvl="1" w:tentative="0">
      <w:start w:val="1"/>
      <w:numFmt w:val="bullet"/>
      <w:lvlText w:val="○"/>
      <w:lvlJc w:val="left"/>
      <w:pPr>
        <w:ind w:left="851" w:hanging="283"/>
      </w:pPr>
      <w:rPr>
        <w:rFonts w:hint="default" w:ascii="Times New Roman" w:hAnsi="Times New Roman" w:cs="Times New Roman"/>
        <w:color w:val="auto"/>
        <w:sz w:val="22"/>
        <w:lang w:val="en-GB"/>
      </w:rPr>
    </w:lvl>
    <w:lvl w:ilvl="2" w:tentative="0">
      <w:start w:val="1"/>
      <w:numFmt w:val="bullet"/>
      <w:lvlText w:val="♦"/>
      <w:lvlJc w:val="left"/>
      <w:pPr>
        <w:ind w:left="1135" w:hanging="284"/>
      </w:pPr>
      <w:rPr>
        <w:rFonts w:hint="default" w:ascii="Times New Roman" w:hAnsi="Times New Roman" w:cs="Times New Roman"/>
        <w:color w:val="auto"/>
        <w:sz w:val="22"/>
      </w:rPr>
    </w:lvl>
    <w:lvl w:ilvl="3" w:tentative="0">
      <w:start w:val="1"/>
      <w:numFmt w:val="bullet"/>
      <w:lvlText w:val="□"/>
      <w:lvlJc w:val="left"/>
      <w:pPr>
        <w:ind w:left="1418" w:hanging="283"/>
      </w:pPr>
      <w:rPr>
        <w:rFonts w:hint="default" w:ascii="Times New Roman" w:hAnsi="Times New Roman" w:cs="Times New Roman"/>
        <w:color w:val="auto"/>
      </w:rPr>
    </w:lvl>
    <w:lvl w:ilvl="4" w:tentative="0">
      <w:start w:val="1"/>
      <w:numFmt w:val="bullet"/>
      <w:lvlText w:val="▪"/>
      <w:lvlJc w:val="left"/>
      <w:pPr>
        <w:ind w:left="1702" w:hanging="284"/>
      </w:pPr>
      <w:rPr>
        <w:rFonts w:hint="default" w:ascii="Times New Roman" w:hAnsi="Times New Roman" w:cs="Times New Roman"/>
        <w:color w:val="auto"/>
      </w:rPr>
    </w:lvl>
    <w:lvl w:ilvl="5" w:tentative="0">
      <w:start w:val="1"/>
      <w:numFmt w:val="lowerRoman"/>
      <w:lvlText w:val="(%6)"/>
      <w:lvlJc w:val="left"/>
      <w:pPr>
        <w:ind w:left="2444" w:hanging="360"/>
      </w:pPr>
      <w:rPr>
        <w:rFonts w:hint="default"/>
      </w:rPr>
    </w:lvl>
    <w:lvl w:ilvl="6" w:tentative="0">
      <w:start w:val="1"/>
      <w:numFmt w:val="decimal"/>
      <w:lvlText w:val="%7."/>
      <w:lvlJc w:val="left"/>
      <w:pPr>
        <w:ind w:left="2804" w:hanging="360"/>
      </w:pPr>
      <w:rPr>
        <w:rFonts w:hint="default"/>
      </w:rPr>
    </w:lvl>
    <w:lvl w:ilvl="7" w:tentative="0">
      <w:start w:val="1"/>
      <w:numFmt w:val="lowerLetter"/>
      <w:lvlText w:val="%8."/>
      <w:lvlJc w:val="left"/>
      <w:pPr>
        <w:ind w:left="3164" w:hanging="360"/>
      </w:pPr>
      <w:rPr>
        <w:rFonts w:hint="default"/>
      </w:rPr>
    </w:lvl>
    <w:lvl w:ilvl="8" w:tentative="0">
      <w:start w:val="1"/>
      <w:numFmt w:val="lowerRoman"/>
      <w:lvlText w:val="%9."/>
      <w:lvlJc w:val="left"/>
      <w:pPr>
        <w:ind w:left="3524" w:hanging="360"/>
      </w:pPr>
      <w:rPr>
        <w:rFonts w:hint="default"/>
      </w:rPr>
    </w:lvl>
  </w:abstractNum>
  <w:abstractNum w:abstractNumId="14">
    <w:nsid w:val="7B9970AC"/>
    <w:multiLevelType w:val="multilevel"/>
    <w:tmpl w:val="7B9970A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7C5F09A9"/>
    <w:multiLevelType w:val="multilevel"/>
    <w:tmpl w:val="7C5F09A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7D8B1F58"/>
    <w:multiLevelType w:val="multilevel"/>
    <w:tmpl w:val="7D8B1F5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0"/>
  </w:num>
  <w:num w:numId="3">
    <w:abstractNumId w:val="6"/>
  </w:num>
  <w:num w:numId="4">
    <w:abstractNumId w:val="13"/>
  </w:num>
  <w:num w:numId="5">
    <w:abstractNumId w:val="4"/>
  </w:num>
  <w:num w:numId="6">
    <w:abstractNumId w:val="12"/>
  </w:num>
  <w:num w:numId="7">
    <w:abstractNumId w:val="7"/>
  </w:num>
  <w:num w:numId="8">
    <w:abstractNumId w:val="16"/>
  </w:num>
  <w:num w:numId="9">
    <w:abstractNumId w:val="8"/>
  </w:num>
  <w:num w:numId="10">
    <w:abstractNumId w:val="11"/>
  </w:num>
  <w:num w:numId="11">
    <w:abstractNumId w:val="2"/>
  </w:num>
  <w:num w:numId="12">
    <w:abstractNumId w:val="15"/>
  </w:num>
  <w:num w:numId="13">
    <w:abstractNumId w:val="5"/>
  </w:num>
  <w:num w:numId="14">
    <w:abstractNumId w:val="9"/>
  </w:num>
  <w:num w:numId="15">
    <w:abstractNumId w:val="3"/>
  </w:num>
  <w:num w:numId="16">
    <w:abstractNumId w:val="10"/>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9"/>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46F0"/>
    <w:rsid w:val="00000075"/>
    <w:rsid w:val="00000218"/>
    <w:rsid w:val="00000A46"/>
    <w:rsid w:val="00000C69"/>
    <w:rsid w:val="000017B1"/>
    <w:rsid w:val="000017E0"/>
    <w:rsid w:val="0000230E"/>
    <w:rsid w:val="000029C3"/>
    <w:rsid w:val="000038C6"/>
    <w:rsid w:val="00003F71"/>
    <w:rsid w:val="00006413"/>
    <w:rsid w:val="00007777"/>
    <w:rsid w:val="000077C1"/>
    <w:rsid w:val="00007B78"/>
    <w:rsid w:val="00007E6E"/>
    <w:rsid w:val="000109D0"/>
    <w:rsid w:val="00010A7F"/>
    <w:rsid w:val="000110ED"/>
    <w:rsid w:val="00011106"/>
    <w:rsid w:val="00011138"/>
    <w:rsid w:val="000114E8"/>
    <w:rsid w:val="00011739"/>
    <w:rsid w:val="00012853"/>
    <w:rsid w:val="00012DED"/>
    <w:rsid w:val="00012E62"/>
    <w:rsid w:val="0001372D"/>
    <w:rsid w:val="000139B3"/>
    <w:rsid w:val="0001413C"/>
    <w:rsid w:val="000145AD"/>
    <w:rsid w:val="00014AEE"/>
    <w:rsid w:val="000158A5"/>
    <w:rsid w:val="00015CC2"/>
    <w:rsid w:val="00015FBF"/>
    <w:rsid w:val="000162F9"/>
    <w:rsid w:val="000163BD"/>
    <w:rsid w:val="00016B6E"/>
    <w:rsid w:val="000171BC"/>
    <w:rsid w:val="000175FD"/>
    <w:rsid w:val="00017975"/>
    <w:rsid w:val="00017B92"/>
    <w:rsid w:val="00020068"/>
    <w:rsid w:val="0002062B"/>
    <w:rsid w:val="00020C66"/>
    <w:rsid w:val="00021230"/>
    <w:rsid w:val="00021490"/>
    <w:rsid w:val="000230E5"/>
    <w:rsid w:val="00023298"/>
    <w:rsid w:val="0002337F"/>
    <w:rsid w:val="00023657"/>
    <w:rsid w:val="0002387B"/>
    <w:rsid w:val="00024409"/>
    <w:rsid w:val="000245EC"/>
    <w:rsid w:val="00024816"/>
    <w:rsid w:val="00024898"/>
    <w:rsid w:val="00024B0C"/>
    <w:rsid w:val="00024BAE"/>
    <w:rsid w:val="00024DE4"/>
    <w:rsid w:val="00025107"/>
    <w:rsid w:val="00025ADF"/>
    <w:rsid w:val="00025FCB"/>
    <w:rsid w:val="00026820"/>
    <w:rsid w:val="00026F14"/>
    <w:rsid w:val="00027268"/>
    <w:rsid w:val="00030910"/>
    <w:rsid w:val="00030ABF"/>
    <w:rsid w:val="00030B12"/>
    <w:rsid w:val="00030D2F"/>
    <w:rsid w:val="0003159D"/>
    <w:rsid w:val="0003242B"/>
    <w:rsid w:val="000326A2"/>
    <w:rsid w:val="00033763"/>
    <w:rsid w:val="00033C03"/>
    <w:rsid w:val="00034348"/>
    <w:rsid w:val="00035918"/>
    <w:rsid w:val="000368F1"/>
    <w:rsid w:val="00037E51"/>
    <w:rsid w:val="00037FC1"/>
    <w:rsid w:val="00040316"/>
    <w:rsid w:val="00040320"/>
    <w:rsid w:val="00040492"/>
    <w:rsid w:val="00040A68"/>
    <w:rsid w:val="00040C45"/>
    <w:rsid w:val="00042022"/>
    <w:rsid w:val="0004293F"/>
    <w:rsid w:val="00042F34"/>
    <w:rsid w:val="00043736"/>
    <w:rsid w:val="000444FE"/>
    <w:rsid w:val="00045572"/>
    <w:rsid w:val="00045602"/>
    <w:rsid w:val="0004664E"/>
    <w:rsid w:val="00046DD4"/>
    <w:rsid w:val="00047CAC"/>
    <w:rsid w:val="00050AC0"/>
    <w:rsid w:val="00051DC6"/>
    <w:rsid w:val="00052AA9"/>
    <w:rsid w:val="00052E03"/>
    <w:rsid w:val="00052FD8"/>
    <w:rsid w:val="00053197"/>
    <w:rsid w:val="000533D6"/>
    <w:rsid w:val="0005411A"/>
    <w:rsid w:val="000543CE"/>
    <w:rsid w:val="00055FA5"/>
    <w:rsid w:val="0005604A"/>
    <w:rsid w:val="00056C82"/>
    <w:rsid w:val="00057B09"/>
    <w:rsid w:val="000603CE"/>
    <w:rsid w:val="00060644"/>
    <w:rsid w:val="000606EC"/>
    <w:rsid w:val="000607C2"/>
    <w:rsid w:val="000609D9"/>
    <w:rsid w:val="0006187F"/>
    <w:rsid w:val="00061D89"/>
    <w:rsid w:val="00062344"/>
    <w:rsid w:val="000629A2"/>
    <w:rsid w:val="00062A21"/>
    <w:rsid w:val="000635B6"/>
    <w:rsid w:val="000639D2"/>
    <w:rsid w:val="00063B55"/>
    <w:rsid w:val="000644CF"/>
    <w:rsid w:val="00064C26"/>
    <w:rsid w:val="00064F79"/>
    <w:rsid w:val="00065150"/>
    <w:rsid w:val="000651AE"/>
    <w:rsid w:val="000651D3"/>
    <w:rsid w:val="000656C1"/>
    <w:rsid w:val="000657E5"/>
    <w:rsid w:val="00066531"/>
    <w:rsid w:val="00066E0F"/>
    <w:rsid w:val="00066E40"/>
    <w:rsid w:val="0006705A"/>
    <w:rsid w:val="00067167"/>
    <w:rsid w:val="00067783"/>
    <w:rsid w:val="000702C5"/>
    <w:rsid w:val="00070700"/>
    <w:rsid w:val="00070816"/>
    <w:rsid w:val="00071058"/>
    <w:rsid w:val="0007113B"/>
    <w:rsid w:val="000711AA"/>
    <w:rsid w:val="00071459"/>
    <w:rsid w:val="00071B2E"/>
    <w:rsid w:val="00072098"/>
    <w:rsid w:val="00072380"/>
    <w:rsid w:val="000730D7"/>
    <w:rsid w:val="00074BF5"/>
    <w:rsid w:val="000755E5"/>
    <w:rsid w:val="00075F4A"/>
    <w:rsid w:val="00075FAC"/>
    <w:rsid w:val="00076419"/>
    <w:rsid w:val="00076800"/>
    <w:rsid w:val="000777DC"/>
    <w:rsid w:val="000779A8"/>
    <w:rsid w:val="000802A3"/>
    <w:rsid w:val="0008120F"/>
    <w:rsid w:val="0008280E"/>
    <w:rsid w:val="00083001"/>
    <w:rsid w:val="000833EB"/>
    <w:rsid w:val="00084155"/>
    <w:rsid w:val="000846F7"/>
    <w:rsid w:val="00084ABC"/>
    <w:rsid w:val="00085605"/>
    <w:rsid w:val="00085852"/>
    <w:rsid w:val="0008644D"/>
    <w:rsid w:val="0008670B"/>
    <w:rsid w:val="00086B9B"/>
    <w:rsid w:val="00087722"/>
    <w:rsid w:val="00090005"/>
    <w:rsid w:val="00090189"/>
    <w:rsid w:val="000904AF"/>
    <w:rsid w:val="00091172"/>
    <w:rsid w:val="00092187"/>
    <w:rsid w:val="000928A1"/>
    <w:rsid w:val="00093048"/>
    <w:rsid w:val="00094126"/>
    <w:rsid w:val="00094E63"/>
    <w:rsid w:val="00095068"/>
    <w:rsid w:val="000958E5"/>
    <w:rsid w:val="000963B8"/>
    <w:rsid w:val="000A07D4"/>
    <w:rsid w:val="000A1A7F"/>
    <w:rsid w:val="000A1DDA"/>
    <w:rsid w:val="000A262E"/>
    <w:rsid w:val="000A2836"/>
    <w:rsid w:val="000A2DE9"/>
    <w:rsid w:val="000A33F7"/>
    <w:rsid w:val="000A37DC"/>
    <w:rsid w:val="000A3DA9"/>
    <w:rsid w:val="000A3EB9"/>
    <w:rsid w:val="000A45BD"/>
    <w:rsid w:val="000A4CC1"/>
    <w:rsid w:val="000A52DF"/>
    <w:rsid w:val="000A534C"/>
    <w:rsid w:val="000A5354"/>
    <w:rsid w:val="000A58A7"/>
    <w:rsid w:val="000A5F61"/>
    <w:rsid w:val="000A6538"/>
    <w:rsid w:val="000A705B"/>
    <w:rsid w:val="000A72DB"/>
    <w:rsid w:val="000A7B58"/>
    <w:rsid w:val="000B03F6"/>
    <w:rsid w:val="000B0C59"/>
    <w:rsid w:val="000B11F9"/>
    <w:rsid w:val="000B1C92"/>
    <w:rsid w:val="000B1F3D"/>
    <w:rsid w:val="000B2231"/>
    <w:rsid w:val="000B2727"/>
    <w:rsid w:val="000B277A"/>
    <w:rsid w:val="000B2982"/>
    <w:rsid w:val="000B324F"/>
    <w:rsid w:val="000B3442"/>
    <w:rsid w:val="000B3CDD"/>
    <w:rsid w:val="000B41E1"/>
    <w:rsid w:val="000B4466"/>
    <w:rsid w:val="000B44C7"/>
    <w:rsid w:val="000B4DE0"/>
    <w:rsid w:val="000B4E10"/>
    <w:rsid w:val="000B576A"/>
    <w:rsid w:val="000B6486"/>
    <w:rsid w:val="000B6507"/>
    <w:rsid w:val="000B698D"/>
    <w:rsid w:val="000B6B16"/>
    <w:rsid w:val="000B71B5"/>
    <w:rsid w:val="000B7863"/>
    <w:rsid w:val="000B7DA8"/>
    <w:rsid w:val="000C17BE"/>
    <w:rsid w:val="000C2A1E"/>
    <w:rsid w:val="000C374E"/>
    <w:rsid w:val="000C3F7F"/>
    <w:rsid w:val="000C3F9C"/>
    <w:rsid w:val="000C4246"/>
    <w:rsid w:val="000C4525"/>
    <w:rsid w:val="000C46D7"/>
    <w:rsid w:val="000C4ED8"/>
    <w:rsid w:val="000C51C7"/>
    <w:rsid w:val="000C5505"/>
    <w:rsid w:val="000C555F"/>
    <w:rsid w:val="000C6AEC"/>
    <w:rsid w:val="000C7FE2"/>
    <w:rsid w:val="000D045C"/>
    <w:rsid w:val="000D0603"/>
    <w:rsid w:val="000D0679"/>
    <w:rsid w:val="000D1363"/>
    <w:rsid w:val="000D155C"/>
    <w:rsid w:val="000D156C"/>
    <w:rsid w:val="000D1D0E"/>
    <w:rsid w:val="000D21EA"/>
    <w:rsid w:val="000D254D"/>
    <w:rsid w:val="000D413A"/>
    <w:rsid w:val="000D4221"/>
    <w:rsid w:val="000D4457"/>
    <w:rsid w:val="000D4DE1"/>
    <w:rsid w:val="000D4E8E"/>
    <w:rsid w:val="000D4FBC"/>
    <w:rsid w:val="000D5143"/>
    <w:rsid w:val="000D5A1F"/>
    <w:rsid w:val="000D629A"/>
    <w:rsid w:val="000D7DBF"/>
    <w:rsid w:val="000E0074"/>
    <w:rsid w:val="000E034B"/>
    <w:rsid w:val="000E04E8"/>
    <w:rsid w:val="000E07CF"/>
    <w:rsid w:val="000E08DB"/>
    <w:rsid w:val="000E14A2"/>
    <w:rsid w:val="000E1F25"/>
    <w:rsid w:val="000E257A"/>
    <w:rsid w:val="000E3156"/>
    <w:rsid w:val="000E3A99"/>
    <w:rsid w:val="000E3E10"/>
    <w:rsid w:val="000E49E6"/>
    <w:rsid w:val="000E4F43"/>
    <w:rsid w:val="000E5F6B"/>
    <w:rsid w:val="000E6656"/>
    <w:rsid w:val="000E6AE0"/>
    <w:rsid w:val="000E6B09"/>
    <w:rsid w:val="000E6CEA"/>
    <w:rsid w:val="000E6F19"/>
    <w:rsid w:val="000E7822"/>
    <w:rsid w:val="000E7D31"/>
    <w:rsid w:val="000F097D"/>
    <w:rsid w:val="000F0A1E"/>
    <w:rsid w:val="000F0D2A"/>
    <w:rsid w:val="000F1F64"/>
    <w:rsid w:val="000F2DA2"/>
    <w:rsid w:val="000F2DF1"/>
    <w:rsid w:val="000F34B1"/>
    <w:rsid w:val="000F3AF2"/>
    <w:rsid w:val="000F46D8"/>
    <w:rsid w:val="000F5ECF"/>
    <w:rsid w:val="000F63C3"/>
    <w:rsid w:val="000F726E"/>
    <w:rsid w:val="000F778E"/>
    <w:rsid w:val="000F7D40"/>
    <w:rsid w:val="000F7DD8"/>
    <w:rsid w:val="00100015"/>
    <w:rsid w:val="0010033D"/>
    <w:rsid w:val="00100418"/>
    <w:rsid w:val="0010069E"/>
    <w:rsid w:val="001006AC"/>
    <w:rsid w:val="0010074E"/>
    <w:rsid w:val="00100DA5"/>
    <w:rsid w:val="00101829"/>
    <w:rsid w:val="00101ED7"/>
    <w:rsid w:val="00102165"/>
    <w:rsid w:val="001024C3"/>
    <w:rsid w:val="001024C7"/>
    <w:rsid w:val="001027E4"/>
    <w:rsid w:val="00102AF2"/>
    <w:rsid w:val="00102AFC"/>
    <w:rsid w:val="00103279"/>
    <w:rsid w:val="0010348E"/>
    <w:rsid w:val="0010366C"/>
    <w:rsid w:val="001041C9"/>
    <w:rsid w:val="0010421E"/>
    <w:rsid w:val="001042CC"/>
    <w:rsid w:val="0010469C"/>
    <w:rsid w:val="001046C6"/>
    <w:rsid w:val="00104AA2"/>
    <w:rsid w:val="00104B10"/>
    <w:rsid w:val="00104D08"/>
    <w:rsid w:val="00104E2E"/>
    <w:rsid w:val="00105531"/>
    <w:rsid w:val="0010553A"/>
    <w:rsid w:val="001055B6"/>
    <w:rsid w:val="001058F0"/>
    <w:rsid w:val="00105F63"/>
    <w:rsid w:val="00105F6C"/>
    <w:rsid w:val="001065D8"/>
    <w:rsid w:val="00106A25"/>
    <w:rsid w:val="00106CC8"/>
    <w:rsid w:val="00106ED6"/>
    <w:rsid w:val="0010747C"/>
    <w:rsid w:val="00107569"/>
    <w:rsid w:val="00107B75"/>
    <w:rsid w:val="001110FF"/>
    <w:rsid w:val="001114FB"/>
    <w:rsid w:val="001115E7"/>
    <w:rsid w:val="00111D4A"/>
    <w:rsid w:val="00112553"/>
    <w:rsid w:val="00112BB6"/>
    <w:rsid w:val="00112EFA"/>
    <w:rsid w:val="00113436"/>
    <w:rsid w:val="001139C8"/>
    <w:rsid w:val="00113ACE"/>
    <w:rsid w:val="001145DD"/>
    <w:rsid w:val="001152C5"/>
    <w:rsid w:val="001155C0"/>
    <w:rsid w:val="00115C2C"/>
    <w:rsid w:val="00116219"/>
    <w:rsid w:val="00116779"/>
    <w:rsid w:val="00116A5F"/>
    <w:rsid w:val="00116E26"/>
    <w:rsid w:val="00117A83"/>
    <w:rsid w:val="00120E96"/>
    <w:rsid w:val="00121D42"/>
    <w:rsid w:val="00121E11"/>
    <w:rsid w:val="00122298"/>
    <w:rsid w:val="00122FEB"/>
    <w:rsid w:val="00123749"/>
    <w:rsid w:val="0012392E"/>
    <w:rsid w:val="00123BDB"/>
    <w:rsid w:val="00124278"/>
    <w:rsid w:val="00124419"/>
    <w:rsid w:val="00124917"/>
    <w:rsid w:val="00125188"/>
    <w:rsid w:val="00125CE9"/>
    <w:rsid w:val="001261FD"/>
    <w:rsid w:val="00126825"/>
    <w:rsid w:val="001268F9"/>
    <w:rsid w:val="00126B15"/>
    <w:rsid w:val="00126C5A"/>
    <w:rsid w:val="00127125"/>
    <w:rsid w:val="00127B23"/>
    <w:rsid w:val="001312A0"/>
    <w:rsid w:val="00132156"/>
    <w:rsid w:val="00132664"/>
    <w:rsid w:val="001328CD"/>
    <w:rsid w:val="00133F56"/>
    <w:rsid w:val="001346F8"/>
    <w:rsid w:val="00135567"/>
    <w:rsid w:val="00136719"/>
    <w:rsid w:val="00137121"/>
    <w:rsid w:val="00137FCD"/>
    <w:rsid w:val="001402CC"/>
    <w:rsid w:val="001410B6"/>
    <w:rsid w:val="001415A9"/>
    <w:rsid w:val="00141A29"/>
    <w:rsid w:val="00141C21"/>
    <w:rsid w:val="00142945"/>
    <w:rsid w:val="00142968"/>
    <w:rsid w:val="00142982"/>
    <w:rsid w:val="00142B1F"/>
    <w:rsid w:val="00142DC4"/>
    <w:rsid w:val="00143240"/>
    <w:rsid w:val="0014405B"/>
    <w:rsid w:val="0014418D"/>
    <w:rsid w:val="00145130"/>
    <w:rsid w:val="00145168"/>
    <w:rsid w:val="001452C4"/>
    <w:rsid w:val="00145BCF"/>
    <w:rsid w:val="00145D35"/>
    <w:rsid w:val="00146186"/>
    <w:rsid w:val="0014718B"/>
    <w:rsid w:val="001471A9"/>
    <w:rsid w:val="00147323"/>
    <w:rsid w:val="00147BFC"/>
    <w:rsid w:val="00147C47"/>
    <w:rsid w:val="00150774"/>
    <w:rsid w:val="00150BAD"/>
    <w:rsid w:val="00150CD1"/>
    <w:rsid w:val="00150D70"/>
    <w:rsid w:val="00150E9B"/>
    <w:rsid w:val="00151346"/>
    <w:rsid w:val="00151733"/>
    <w:rsid w:val="00151E94"/>
    <w:rsid w:val="00151F5E"/>
    <w:rsid w:val="0015220F"/>
    <w:rsid w:val="00152798"/>
    <w:rsid w:val="00152F5C"/>
    <w:rsid w:val="00153306"/>
    <w:rsid w:val="00153405"/>
    <w:rsid w:val="00153913"/>
    <w:rsid w:val="00153F98"/>
    <w:rsid w:val="00154410"/>
    <w:rsid w:val="001547BB"/>
    <w:rsid w:val="00154C06"/>
    <w:rsid w:val="00155267"/>
    <w:rsid w:val="0015556D"/>
    <w:rsid w:val="00155C43"/>
    <w:rsid w:val="001566A4"/>
    <w:rsid w:val="00156A10"/>
    <w:rsid w:val="001571FA"/>
    <w:rsid w:val="001603DF"/>
    <w:rsid w:val="001608EC"/>
    <w:rsid w:val="00160A2D"/>
    <w:rsid w:val="00160F6F"/>
    <w:rsid w:val="0016289C"/>
    <w:rsid w:val="00163D7E"/>
    <w:rsid w:val="00165070"/>
    <w:rsid w:val="0016509E"/>
    <w:rsid w:val="00165106"/>
    <w:rsid w:val="0016514E"/>
    <w:rsid w:val="001675A4"/>
    <w:rsid w:val="001716D8"/>
    <w:rsid w:val="00171974"/>
    <w:rsid w:val="001720E2"/>
    <w:rsid w:val="0017256B"/>
    <w:rsid w:val="00173FAF"/>
    <w:rsid w:val="00174123"/>
    <w:rsid w:val="001749A6"/>
    <w:rsid w:val="00175597"/>
    <w:rsid w:val="001755A1"/>
    <w:rsid w:val="0017569B"/>
    <w:rsid w:val="00175736"/>
    <w:rsid w:val="00176519"/>
    <w:rsid w:val="001767FB"/>
    <w:rsid w:val="001769C8"/>
    <w:rsid w:val="00176D93"/>
    <w:rsid w:val="00176F44"/>
    <w:rsid w:val="001801AF"/>
    <w:rsid w:val="0018095E"/>
    <w:rsid w:val="00180B8B"/>
    <w:rsid w:val="00181B04"/>
    <w:rsid w:val="0018216D"/>
    <w:rsid w:val="00182173"/>
    <w:rsid w:val="00182BCF"/>
    <w:rsid w:val="00182D27"/>
    <w:rsid w:val="00182D35"/>
    <w:rsid w:val="00183126"/>
    <w:rsid w:val="00183242"/>
    <w:rsid w:val="001836EE"/>
    <w:rsid w:val="001854D2"/>
    <w:rsid w:val="00185A49"/>
    <w:rsid w:val="00185ADB"/>
    <w:rsid w:val="00185DFC"/>
    <w:rsid w:val="00186DE3"/>
    <w:rsid w:val="0018722E"/>
    <w:rsid w:val="001875C8"/>
    <w:rsid w:val="00187CF3"/>
    <w:rsid w:val="001900AC"/>
    <w:rsid w:val="00190F6C"/>
    <w:rsid w:val="00191785"/>
    <w:rsid w:val="00191B66"/>
    <w:rsid w:val="00192745"/>
    <w:rsid w:val="001928CB"/>
    <w:rsid w:val="0019361C"/>
    <w:rsid w:val="001938AD"/>
    <w:rsid w:val="00193939"/>
    <w:rsid w:val="001945AC"/>
    <w:rsid w:val="00194F21"/>
    <w:rsid w:val="00195A9B"/>
    <w:rsid w:val="00195D78"/>
    <w:rsid w:val="0019624F"/>
    <w:rsid w:val="00196551"/>
    <w:rsid w:val="00196B5C"/>
    <w:rsid w:val="001975A7"/>
    <w:rsid w:val="001A0A09"/>
    <w:rsid w:val="001A0A6A"/>
    <w:rsid w:val="001A0C3F"/>
    <w:rsid w:val="001A1512"/>
    <w:rsid w:val="001A1662"/>
    <w:rsid w:val="001A1A23"/>
    <w:rsid w:val="001A21BB"/>
    <w:rsid w:val="001A380C"/>
    <w:rsid w:val="001A3D84"/>
    <w:rsid w:val="001A3F9D"/>
    <w:rsid w:val="001A4134"/>
    <w:rsid w:val="001A428A"/>
    <w:rsid w:val="001A4BF0"/>
    <w:rsid w:val="001A566A"/>
    <w:rsid w:val="001A6482"/>
    <w:rsid w:val="001A6847"/>
    <w:rsid w:val="001A69F5"/>
    <w:rsid w:val="001A7462"/>
    <w:rsid w:val="001A76B9"/>
    <w:rsid w:val="001B04DC"/>
    <w:rsid w:val="001B0843"/>
    <w:rsid w:val="001B1434"/>
    <w:rsid w:val="001B2D27"/>
    <w:rsid w:val="001B3B16"/>
    <w:rsid w:val="001B5078"/>
    <w:rsid w:val="001B5E34"/>
    <w:rsid w:val="001B5E96"/>
    <w:rsid w:val="001B6297"/>
    <w:rsid w:val="001B759F"/>
    <w:rsid w:val="001B75FD"/>
    <w:rsid w:val="001B7CB7"/>
    <w:rsid w:val="001C0BDF"/>
    <w:rsid w:val="001C15F0"/>
    <w:rsid w:val="001C18B4"/>
    <w:rsid w:val="001C195F"/>
    <w:rsid w:val="001C26D1"/>
    <w:rsid w:val="001C28DB"/>
    <w:rsid w:val="001C31DE"/>
    <w:rsid w:val="001C382E"/>
    <w:rsid w:val="001C389C"/>
    <w:rsid w:val="001C38B8"/>
    <w:rsid w:val="001C40FA"/>
    <w:rsid w:val="001C5035"/>
    <w:rsid w:val="001C503F"/>
    <w:rsid w:val="001C572A"/>
    <w:rsid w:val="001C5A3E"/>
    <w:rsid w:val="001C6412"/>
    <w:rsid w:val="001C6584"/>
    <w:rsid w:val="001C66AC"/>
    <w:rsid w:val="001C67F3"/>
    <w:rsid w:val="001C750E"/>
    <w:rsid w:val="001C77F0"/>
    <w:rsid w:val="001C7BDB"/>
    <w:rsid w:val="001D00FD"/>
    <w:rsid w:val="001D0E4D"/>
    <w:rsid w:val="001D1163"/>
    <w:rsid w:val="001D1563"/>
    <w:rsid w:val="001D1B3A"/>
    <w:rsid w:val="001D2304"/>
    <w:rsid w:val="001D25DB"/>
    <w:rsid w:val="001D32B0"/>
    <w:rsid w:val="001D3D6C"/>
    <w:rsid w:val="001D4711"/>
    <w:rsid w:val="001D472A"/>
    <w:rsid w:val="001D490D"/>
    <w:rsid w:val="001D5267"/>
    <w:rsid w:val="001D543B"/>
    <w:rsid w:val="001D5444"/>
    <w:rsid w:val="001D5717"/>
    <w:rsid w:val="001D5BB2"/>
    <w:rsid w:val="001D5C29"/>
    <w:rsid w:val="001D5EBA"/>
    <w:rsid w:val="001D6F7F"/>
    <w:rsid w:val="001D7820"/>
    <w:rsid w:val="001D7877"/>
    <w:rsid w:val="001D7F04"/>
    <w:rsid w:val="001E0640"/>
    <w:rsid w:val="001E118E"/>
    <w:rsid w:val="001E13C7"/>
    <w:rsid w:val="001E16B4"/>
    <w:rsid w:val="001E1740"/>
    <w:rsid w:val="001E1813"/>
    <w:rsid w:val="001E1B3B"/>
    <w:rsid w:val="001E1B88"/>
    <w:rsid w:val="001E29B0"/>
    <w:rsid w:val="001E2DA7"/>
    <w:rsid w:val="001E3CC9"/>
    <w:rsid w:val="001E3D24"/>
    <w:rsid w:val="001E597F"/>
    <w:rsid w:val="001E6215"/>
    <w:rsid w:val="001E66D4"/>
    <w:rsid w:val="001E7CD1"/>
    <w:rsid w:val="001E7E1E"/>
    <w:rsid w:val="001F0864"/>
    <w:rsid w:val="001F0B93"/>
    <w:rsid w:val="001F0B9B"/>
    <w:rsid w:val="001F1087"/>
    <w:rsid w:val="001F12FD"/>
    <w:rsid w:val="001F1A87"/>
    <w:rsid w:val="001F1B53"/>
    <w:rsid w:val="001F2AF4"/>
    <w:rsid w:val="001F2B3A"/>
    <w:rsid w:val="001F33B5"/>
    <w:rsid w:val="001F3443"/>
    <w:rsid w:val="001F454E"/>
    <w:rsid w:val="001F5354"/>
    <w:rsid w:val="001F6F29"/>
    <w:rsid w:val="001F7D2B"/>
    <w:rsid w:val="0020052F"/>
    <w:rsid w:val="002008B1"/>
    <w:rsid w:val="00200A4F"/>
    <w:rsid w:val="0020206E"/>
    <w:rsid w:val="002020B1"/>
    <w:rsid w:val="00202156"/>
    <w:rsid w:val="00202866"/>
    <w:rsid w:val="002033F7"/>
    <w:rsid w:val="00203542"/>
    <w:rsid w:val="00204180"/>
    <w:rsid w:val="002043A0"/>
    <w:rsid w:val="0020449F"/>
    <w:rsid w:val="002049CF"/>
    <w:rsid w:val="002056AF"/>
    <w:rsid w:val="002058C3"/>
    <w:rsid w:val="00206208"/>
    <w:rsid w:val="0020748F"/>
    <w:rsid w:val="002078F4"/>
    <w:rsid w:val="002103F3"/>
    <w:rsid w:val="0021084B"/>
    <w:rsid w:val="00211511"/>
    <w:rsid w:val="00211B6F"/>
    <w:rsid w:val="00211CE3"/>
    <w:rsid w:val="002125DA"/>
    <w:rsid w:val="00212ADE"/>
    <w:rsid w:val="002130AF"/>
    <w:rsid w:val="00213E15"/>
    <w:rsid w:val="002157DC"/>
    <w:rsid w:val="00215D22"/>
    <w:rsid w:val="00216100"/>
    <w:rsid w:val="00216208"/>
    <w:rsid w:val="002162FD"/>
    <w:rsid w:val="002166B5"/>
    <w:rsid w:val="00216739"/>
    <w:rsid w:val="002167D5"/>
    <w:rsid w:val="00216F90"/>
    <w:rsid w:val="00217074"/>
    <w:rsid w:val="0021760F"/>
    <w:rsid w:val="00217CBB"/>
    <w:rsid w:val="002200E6"/>
    <w:rsid w:val="00221BA0"/>
    <w:rsid w:val="0022206A"/>
    <w:rsid w:val="002222F6"/>
    <w:rsid w:val="00222396"/>
    <w:rsid w:val="002225B5"/>
    <w:rsid w:val="00222B50"/>
    <w:rsid w:val="002230CC"/>
    <w:rsid w:val="0022352C"/>
    <w:rsid w:val="00223900"/>
    <w:rsid w:val="00223E7E"/>
    <w:rsid w:val="00224536"/>
    <w:rsid w:val="00224873"/>
    <w:rsid w:val="00224D50"/>
    <w:rsid w:val="002250A5"/>
    <w:rsid w:val="002250EC"/>
    <w:rsid w:val="0022547B"/>
    <w:rsid w:val="00225A07"/>
    <w:rsid w:val="0022639F"/>
    <w:rsid w:val="00226468"/>
    <w:rsid w:val="00226635"/>
    <w:rsid w:val="00226AB9"/>
    <w:rsid w:val="00226BC5"/>
    <w:rsid w:val="00227079"/>
    <w:rsid w:val="00227889"/>
    <w:rsid w:val="00227AB3"/>
    <w:rsid w:val="002302F1"/>
    <w:rsid w:val="00230952"/>
    <w:rsid w:val="0023120E"/>
    <w:rsid w:val="00231566"/>
    <w:rsid w:val="00231696"/>
    <w:rsid w:val="00231D27"/>
    <w:rsid w:val="00231F98"/>
    <w:rsid w:val="00232125"/>
    <w:rsid w:val="002321D6"/>
    <w:rsid w:val="002328CA"/>
    <w:rsid w:val="00232BC0"/>
    <w:rsid w:val="0023451E"/>
    <w:rsid w:val="00234716"/>
    <w:rsid w:val="00235903"/>
    <w:rsid w:val="0023625E"/>
    <w:rsid w:val="00237D4E"/>
    <w:rsid w:val="00237F31"/>
    <w:rsid w:val="002402E6"/>
    <w:rsid w:val="00241891"/>
    <w:rsid w:val="00241B36"/>
    <w:rsid w:val="00241FA0"/>
    <w:rsid w:val="002423AC"/>
    <w:rsid w:val="0024283F"/>
    <w:rsid w:val="00243092"/>
    <w:rsid w:val="00243812"/>
    <w:rsid w:val="00243DE8"/>
    <w:rsid w:val="00243FC1"/>
    <w:rsid w:val="00244487"/>
    <w:rsid w:val="002449CE"/>
    <w:rsid w:val="00244D38"/>
    <w:rsid w:val="0024510B"/>
    <w:rsid w:val="002451C4"/>
    <w:rsid w:val="00245438"/>
    <w:rsid w:val="002477F1"/>
    <w:rsid w:val="00250A5A"/>
    <w:rsid w:val="002510C0"/>
    <w:rsid w:val="002513C8"/>
    <w:rsid w:val="002514BC"/>
    <w:rsid w:val="0025169F"/>
    <w:rsid w:val="00251BBA"/>
    <w:rsid w:val="002525F4"/>
    <w:rsid w:val="002529CB"/>
    <w:rsid w:val="00252BAF"/>
    <w:rsid w:val="002534B7"/>
    <w:rsid w:val="0025392B"/>
    <w:rsid w:val="00253B30"/>
    <w:rsid w:val="002541EA"/>
    <w:rsid w:val="00254662"/>
    <w:rsid w:val="002549FA"/>
    <w:rsid w:val="00254CC5"/>
    <w:rsid w:val="00255FC7"/>
    <w:rsid w:val="00255FD9"/>
    <w:rsid w:val="00256ADF"/>
    <w:rsid w:val="002570FF"/>
    <w:rsid w:val="0025759F"/>
    <w:rsid w:val="0025788A"/>
    <w:rsid w:val="002603A2"/>
    <w:rsid w:val="00260E5F"/>
    <w:rsid w:val="0026136A"/>
    <w:rsid w:val="00261415"/>
    <w:rsid w:val="002619FA"/>
    <w:rsid w:val="0026215F"/>
    <w:rsid w:val="00262168"/>
    <w:rsid w:val="002621C5"/>
    <w:rsid w:val="0026262E"/>
    <w:rsid w:val="002626BC"/>
    <w:rsid w:val="0026281A"/>
    <w:rsid w:val="002632D0"/>
    <w:rsid w:val="00264F6B"/>
    <w:rsid w:val="0026699C"/>
    <w:rsid w:val="00266EB3"/>
    <w:rsid w:val="00267357"/>
    <w:rsid w:val="00267578"/>
    <w:rsid w:val="002676AE"/>
    <w:rsid w:val="00270217"/>
    <w:rsid w:val="002706B9"/>
    <w:rsid w:val="00270994"/>
    <w:rsid w:val="00270A58"/>
    <w:rsid w:val="00270B15"/>
    <w:rsid w:val="00270C74"/>
    <w:rsid w:val="00271366"/>
    <w:rsid w:val="0027166D"/>
    <w:rsid w:val="002723EF"/>
    <w:rsid w:val="00272535"/>
    <w:rsid w:val="002730AC"/>
    <w:rsid w:val="0027315A"/>
    <w:rsid w:val="00273834"/>
    <w:rsid w:val="00273A66"/>
    <w:rsid w:val="00274344"/>
    <w:rsid w:val="00274506"/>
    <w:rsid w:val="00274556"/>
    <w:rsid w:val="00274988"/>
    <w:rsid w:val="00275240"/>
    <w:rsid w:val="002754DD"/>
    <w:rsid w:val="002755DF"/>
    <w:rsid w:val="002758AE"/>
    <w:rsid w:val="00275D77"/>
    <w:rsid w:val="00275F95"/>
    <w:rsid w:val="00275FA8"/>
    <w:rsid w:val="002762A3"/>
    <w:rsid w:val="00276DB1"/>
    <w:rsid w:val="00277CA2"/>
    <w:rsid w:val="00280CAD"/>
    <w:rsid w:val="0028146E"/>
    <w:rsid w:val="00281CDB"/>
    <w:rsid w:val="002821BD"/>
    <w:rsid w:val="00282760"/>
    <w:rsid w:val="002829AC"/>
    <w:rsid w:val="00282BC6"/>
    <w:rsid w:val="0028354C"/>
    <w:rsid w:val="00283A95"/>
    <w:rsid w:val="0028419F"/>
    <w:rsid w:val="00284C0C"/>
    <w:rsid w:val="0028549E"/>
    <w:rsid w:val="002866E9"/>
    <w:rsid w:val="00286BF5"/>
    <w:rsid w:val="002872C6"/>
    <w:rsid w:val="002873DC"/>
    <w:rsid w:val="00287B80"/>
    <w:rsid w:val="0029094B"/>
    <w:rsid w:val="002909F1"/>
    <w:rsid w:val="00291176"/>
    <w:rsid w:val="00291372"/>
    <w:rsid w:val="00292104"/>
    <w:rsid w:val="002935B9"/>
    <w:rsid w:val="002939F1"/>
    <w:rsid w:val="00293ECA"/>
    <w:rsid w:val="002946AD"/>
    <w:rsid w:val="00295E08"/>
    <w:rsid w:val="0029713E"/>
    <w:rsid w:val="002974AA"/>
    <w:rsid w:val="0029793E"/>
    <w:rsid w:val="002A02B1"/>
    <w:rsid w:val="002A06F5"/>
    <w:rsid w:val="002A0C22"/>
    <w:rsid w:val="002A0C8E"/>
    <w:rsid w:val="002A196C"/>
    <w:rsid w:val="002A1AF5"/>
    <w:rsid w:val="002A1D30"/>
    <w:rsid w:val="002A1FA7"/>
    <w:rsid w:val="002A3830"/>
    <w:rsid w:val="002A48B0"/>
    <w:rsid w:val="002A4B35"/>
    <w:rsid w:val="002A4C83"/>
    <w:rsid w:val="002A4F91"/>
    <w:rsid w:val="002A5371"/>
    <w:rsid w:val="002A577A"/>
    <w:rsid w:val="002A71A2"/>
    <w:rsid w:val="002A7C1D"/>
    <w:rsid w:val="002A7FBE"/>
    <w:rsid w:val="002A7FC3"/>
    <w:rsid w:val="002B090A"/>
    <w:rsid w:val="002B0B6F"/>
    <w:rsid w:val="002B10DB"/>
    <w:rsid w:val="002B1A4C"/>
    <w:rsid w:val="002B1D16"/>
    <w:rsid w:val="002B2BC1"/>
    <w:rsid w:val="002B2D03"/>
    <w:rsid w:val="002B30EA"/>
    <w:rsid w:val="002B3A75"/>
    <w:rsid w:val="002B495C"/>
    <w:rsid w:val="002B4CCE"/>
    <w:rsid w:val="002B5207"/>
    <w:rsid w:val="002B54B4"/>
    <w:rsid w:val="002B5641"/>
    <w:rsid w:val="002B570E"/>
    <w:rsid w:val="002B62BB"/>
    <w:rsid w:val="002B69E6"/>
    <w:rsid w:val="002C092C"/>
    <w:rsid w:val="002C0A51"/>
    <w:rsid w:val="002C0C14"/>
    <w:rsid w:val="002C0CDD"/>
    <w:rsid w:val="002C1802"/>
    <w:rsid w:val="002C22A5"/>
    <w:rsid w:val="002C258C"/>
    <w:rsid w:val="002C27D4"/>
    <w:rsid w:val="002C2BD9"/>
    <w:rsid w:val="002C2C52"/>
    <w:rsid w:val="002C2C93"/>
    <w:rsid w:val="002C2FC4"/>
    <w:rsid w:val="002C30C9"/>
    <w:rsid w:val="002C3764"/>
    <w:rsid w:val="002C3905"/>
    <w:rsid w:val="002C458F"/>
    <w:rsid w:val="002C485B"/>
    <w:rsid w:val="002C4E56"/>
    <w:rsid w:val="002C5EEF"/>
    <w:rsid w:val="002C5F0D"/>
    <w:rsid w:val="002C677F"/>
    <w:rsid w:val="002C69E0"/>
    <w:rsid w:val="002C7185"/>
    <w:rsid w:val="002C71A1"/>
    <w:rsid w:val="002C7917"/>
    <w:rsid w:val="002C7B12"/>
    <w:rsid w:val="002D071F"/>
    <w:rsid w:val="002D18B4"/>
    <w:rsid w:val="002D1D46"/>
    <w:rsid w:val="002D2301"/>
    <w:rsid w:val="002D2A40"/>
    <w:rsid w:val="002D30C3"/>
    <w:rsid w:val="002D30F6"/>
    <w:rsid w:val="002D34A1"/>
    <w:rsid w:val="002D3AD9"/>
    <w:rsid w:val="002D3DDA"/>
    <w:rsid w:val="002D4CAA"/>
    <w:rsid w:val="002D4EF8"/>
    <w:rsid w:val="002D4FED"/>
    <w:rsid w:val="002D52C7"/>
    <w:rsid w:val="002D576B"/>
    <w:rsid w:val="002D5F96"/>
    <w:rsid w:val="002D62E2"/>
    <w:rsid w:val="002D640D"/>
    <w:rsid w:val="002D6DB6"/>
    <w:rsid w:val="002D6FEC"/>
    <w:rsid w:val="002D73CF"/>
    <w:rsid w:val="002D7754"/>
    <w:rsid w:val="002D7B42"/>
    <w:rsid w:val="002D7F90"/>
    <w:rsid w:val="002E132B"/>
    <w:rsid w:val="002E1F6D"/>
    <w:rsid w:val="002E2AFF"/>
    <w:rsid w:val="002E365B"/>
    <w:rsid w:val="002E3887"/>
    <w:rsid w:val="002E3A0A"/>
    <w:rsid w:val="002E3D2E"/>
    <w:rsid w:val="002E41F8"/>
    <w:rsid w:val="002E46FC"/>
    <w:rsid w:val="002E4E4F"/>
    <w:rsid w:val="002E5049"/>
    <w:rsid w:val="002E56C0"/>
    <w:rsid w:val="002E5CD1"/>
    <w:rsid w:val="002E64E7"/>
    <w:rsid w:val="002E6539"/>
    <w:rsid w:val="002E66EF"/>
    <w:rsid w:val="002E6C9C"/>
    <w:rsid w:val="002F0067"/>
    <w:rsid w:val="002F0611"/>
    <w:rsid w:val="002F085C"/>
    <w:rsid w:val="002F09C5"/>
    <w:rsid w:val="002F0C88"/>
    <w:rsid w:val="002F12EE"/>
    <w:rsid w:val="002F1341"/>
    <w:rsid w:val="002F13DF"/>
    <w:rsid w:val="002F144C"/>
    <w:rsid w:val="002F182B"/>
    <w:rsid w:val="002F19B6"/>
    <w:rsid w:val="002F1DFA"/>
    <w:rsid w:val="002F2C2A"/>
    <w:rsid w:val="002F2F7A"/>
    <w:rsid w:val="002F35BD"/>
    <w:rsid w:val="002F35DB"/>
    <w:rsid w:val="002F4001"/>
    <w:rsid w:val="002F48BA"/>
    <w:rsid w:val="002F59B4"/>
    <w:rsid w:val="002F6586"/>
    <w:rsid w:val="002F69D1"/>
    <w:rsid w:val="002F72A3"/>
    <w:rsid w:val="002F72DB"/>
    <w:rsid w:val="002F7664"/>
    <w:rsid w:val="002F7D8F"/>
    <w:rsid w:val="00300465"/>
    <w:rsid w:val="00300F32"/>
    <w:rsid w:val="003011FE"/>
    <w:rsid w:val="00301B44"/>
    <w:rsid w:val="00301E7E"/>
    <w:rsid w:val="00301FE3"/>
    <w:rsid w:val="00302C17"/>
    <w:rsid w:val="00302C6A"/>
    <w:rsid w:val="00302D5B"/>
    <w:rsid w:val="00302F5A"/>
    <w:rsid w:val="00303055"/>
    <w:rsid w:val="003032BD"/>
    <w:rsid w:val="003032FE"/>
    <w:rsid w:val="003035A2"/>
    <w:rsid w:val="003040AC"/>
    <w:rsid w:val="00304951"/>
    <w:rsid w:val="003052D0"/>
    <w:rsid w:val="0030531F"/>
    <w:rsid w:val="00305428"/>
    <w:rsid w:val="00305F68"/>
    <w:rsid w:val="00306AF3"/>
    <w:rsid w:val="00307385"/>
    <w:rsid w:val="00307AA3"/>
    <w:rsid w:val="00310028"/>
    <w:rsid w:val="00310064"/>
    <w:rsid w:val="00310538"/>
    <w:rsid w:val="00310BED"/>
    <w:rsid w:val="00311794"/>
    <w:rsid w:val="00311EA0"/>
    <w:rsid w:val="0031206B"/>
    <w:rsid w:val="0031210B"/>
    <w:rsid w:val="0031220A"/>
    <w:rsid w:val="0031258B"/>
    <w:rsid w:val="00312DBB"/>
    <w:rsid w:val="0031317F"/>
    <w:rsid w:val="003131E4"/>
    <w:rsid w:val="003138BB"/>
    <w:rsid w:val="00314409"/>
    <w:rsid w:val="00314659"/>
    <w:rsid w:val="00314674"/>
    <w:rsid w:val="00314772"/>
    <w:rsid w:val="003157A8"/>
    <w:rsid w:val="003157AC"/>
    <w:rsid w:val="0031587C"/>
    <w:rsid w:val="00316298"/>
    <w:rsid w:val="003169BA"/>
    <w:rsid w:val="003176B4"/>
    <w:rsid w:val="00317919"/>
    <w:rsid w:val="003207BC"/>
    <w:rsid w:val="00320B0D"/>
    <w:rsid w:val="00320BF4"/>
    <w:rsid w:val="00320D8C"/>
    <w:rsid w:val="00322F68"/>
    <w:rsid w:val="00323106"/>
    <w:rsid w:val="003231E3"/>
    <w:rsid w:val="00323645"/>
    <w:rsid w:val="00323C39"/>
    <w:rsid w:val="00324335"/>
    <w:rsid w:val="003248E8"/>
    <w:rsid w:val="003254EB"/>
    <w:rsid w:val="00325DDF"/>
    <w:rsid w:val="00325F47"/>
    <w:rsid w:val="00325FC4"/>
    <w:rsid w:val="00326B64"/>
    <w:rsid w:val="0032709A"/>
    <w:rsid w:val="00327979"/>
    <w:rsid w:val="00327B20"/>
    <w:rsid w:val="00327E13"/>
    <w:rsid w:val="003304F9"/>
    <w:rsid w:val="00331CA4"/>
    <w:rsid w:val="0033267B"/>
    <w:rsid w:val="00332738"/>
    <w:rsid w:val="003328FE"/>
    <w:rsid w:val="00333253"/>
    <w:rsid w:val="0033376E"/>
    <w:rsid w:val="003337A1"/>
    <w:rsid w:val="0033389D"/>
    <w:rsid w:val="00333BBD"/>
    <w:rsid w:val="003346F0"/>
    <w:rsid w:val="0033488E"/>
    <w:rsid w:val="00334C57"/>
    <w:rsid w:val="00335B17"/>
    <w:rsid w:val="0033624D"/>
    <w:rsid w:val="00336326"/>
    <w:rsid w:val="00336C48"/>
    <w:rsid w:val="00336CEA"/>
    <w:rsid w:val="00336FDE"/>
    <w:rsid w:val="0033722B"/>
    <w:rsid w:val="00337B5A"/>
    <w:rsid w:val="00337B9B"/>
    <w:rsid w:val="00340E71"/>
    <w:rsid w:val="00341726"/>
    <w:rsid w:val="00341B93"/>
    <w:rsid w:val="0034222F"/>
    <w:rsid w:val="00342CB5"/>
    <w:rsid w:val="003436F2"/>
    <w:rsid w:val="00343904"/>
    <w:rsid w:val="00343A44"/>
    <w:rsid w:val="00343C0B"/>
    <w:rsid w:val="00343FD0"/>
    <w:rsid w:val="00344442"/>
    <w:rsid w:val="00344701"/>
    <w:rsid w:val="003454D4"/>
    <w:rsid w:val="0034612D"/>
    <w:rsid w:val="003469AE"/>
    <w:rsid w:val="00346BBC"/>
    <w:rsid w:val="00347FC4"/>
    <w:rsid w:val="00350D0C"/>
    <w:rsid w:val="00350D2B"/>
    <w:rsid w:val="0035100B"/>
    <w:rsid w:val="00351A47"/>
    <w:rsid w:val="003520D4"/>
    <w:rsid w:val="00352461"/>
    <w:rsid w:val="0035260F"/>
    <w:rsid w:val="00352947"/>
    <w:rsid w:val="003537E0"/>
    <w:rsid w:val="00353983"/>
    <w:rsid w:val="00353B25"/>
    <w:rsid w:val="00354867"/>
    <w:rsid w:val="00354B55"/>
    <w:rsid w:val="00354D70"/>
    <w:rsid w:val="00355112"/>
    <w:rsid w:val="003551D8"/>
    <w:rsid w:val="0035593C"/>
    <w:rsid w:val="00356064"/>
    <w:rsid w:val="00357212"/>
    <w:rsid w:val="00357467"/>
    <w:rsid w:val="0036012F"/>
    <w:rsid w:val="00360AE1"/>
    <w:rsid w:val="003610C9"/>
    <w:rsid w:val="0036209B"/>
    <w:rsid w:val="0036258C"/>
    <w:rsid w:val="00362730"/>
    <w:rsid w:val="0036285C"/>
    <w:rsid w:val="00362AA0"/>
    <w:rsid w:val="00363259"/>
    <w:rsid w:val="003640AE"/>
    <w:rsid w:val="00364C21"/>
    <w:rsid w:val="00364C5C"/>
    <w:rsid w:val="00365727"/>
    <w:rsid w:val="0036588D"/>
    <w:rsid w:val="00365E10"/>
    <w:rsid w:val="00365E42"/>
    <w:rsid w:val="003667BE"/>
    <w:rsid w:val="00366992"/>
    <w:rsid w:val="00366D1B"/>
    <w:rsid w:val="0037125F"/>
    <w:rsid w:val="003732FD"/>
    <w:rsid w:val="003733BD"/>
    <w:rsid w:val="003737CE"/>
    <w:rsid w:val="00373BF8"/>
    <w:rsid w:val="00373BFF"/>
    <w:rsid w:val="00374410"/>
    <w:rsid w:val="0037549A"/>
    <w:rsid w:val="003754C8"/>
    <w:rsid w:val="00375A4F"/>
    <w:rsid w:val="00375ADA"/>
    <w:rsid w:val="0037630E"/>
    <w:rsid w:val="00376AA2"/>
    <w:rsid w:val="00376EF5"/>
    <w:rsid w:val="00377AB5"/>
    <w:rsid w:val="00380671"/>
    <w:rsid w:val="00380BE3"/>
    <w:rsid w:val="00380F80"/>
    <w:rsid w:val="003814BA"/>
    <w:rsid w:val="00382227"/>
    <w:rsid w:val="00382828"/>
    <w:rsid w:val="003832AA"/>
    <w:rsid w:val="00383A0B"/>
    <w:rsid w:val="00384523"/>
    <w:rsid w:val="00384A57"/>
    <w:rsid w:val="00384C3E"/>
    <w:rsid w:val="00385095"/>
    <w:rsid w:val="0038515F"/>
    <w:rsid w:val="00385273"/>
    <w:rsid w:val="00385700"/>
    <w:rsid w:val="00385E8F"/>
    <w:rsid w:val="003866F2"/>
    <w:rsid w:val="00386A1D"/>
    <w:rsid w:val="00387176"/>
    <w:rsid w:val="00387447"/>
    <w:rsid w:val="00387AB3"/>
    <w:rsid w:val="00387B99"/>
    <w:rsid w:val="00390BDD"/>
    <w:rsid w:val="003912DC"/>
    <w:rsid w:val="003917E6"/>
    <w:rsid w:val="00391B55"/>
    <w:rsid w:val="00393013"/>
    <w:rsid w:val="00393840"/>
    <w:rsid w:val="003938DB"/>
    <w:rsid w:val="00393E60"/>
    <w:rsid w:val="00393E9A"/>
    <w:rsid w:val="00394543"/>
    <w:rsid w:val="00394CDA"/>
    <w:rsid w:val="00394D9E"/>
    <w:rsid w:val="0039628B"/>
    <w:rsid w:val="00396CC4"/>
    <w:rsid w:val="003972C7"/>
    <w:rsid w:val="00397F97"/>
    <w:rsid w:val="003A0C9F"/>
    <w:rsid w:val="003A11BE"/>
    <w:rsid w:val="003A12D7"/>
    <w:rsid w:val="003A161C"/>
    <w:rsid w:val="003A23FA"/>
    <w:rsid w:val="003A2744"/>
    <w:rsid w:val="003A30D9"/>
    <w:rsid w:val="003A33BD"/>
    <w:rsid w:val="003A3735"/>
    <w:rsid w:val="003A3B07"/>
    <w:rsid w:val="003A48DB"/>
    <w:rsid w:val="003A4B24"/>
    <w:rsid w:val="003A4F97"/>
    <w:rsid w:val="003A6060"/>
    <w:rsid w:val="003A6292"/>
    <w:rsid w:val="003A6AC1"/>
    <w:rsid w:val="003A6D0B"/>
    <w:rsid w:val="003A7251"/>
    <w:rsid w:val="003B0AAD"/>
    <w:rsid w:val="003B135E"/>
    <w:rsid w:val="003B19E9"/>
    <w:rsid w:val="003B1BF3"/>
    <w:rsid w:val="003B2251"/>
    <w:rsid w:val="003B2709"/>
    <w:rsid w:val="003B3F2B"/>
    <w:rsid w:val="003B466D"/>
    <w:rsid w:val="003B4A67"/>
    <w:rsid w:val="003B527B"/>
    <w:rsid w:val="003B5330"/>
    <w:rsid w:val="003B564F"/>
    <w:rsid w:val="003B58FB"/>
    <w:rsid w:val="003B5A6E"/>
    <w:rsid w:val="003B5C82"/>
    <w:rsid w:val="003B6792"/>
    <w:rsid w:val="003B693B"/>
    <w:rsid w:val="003B6CC3"/>
    <w:rsid w:val="003B6DEA"/>
    <w:rsid w:val="003B6E93"/>
    <w:rsid w:val="003B7148"/>
    <w:rsid w:val="003B7223"/>
    <w:rsid w:val="003B7AD8"/>
    <w:rsid w:val="003C0AED"/>
    <w:rsid w:val="003C0DA0"/>
    <w:rsid w:val="003C133C"/>
    <w:rsid w:val="003C1AEC"/>
    <w:rsid w:val="003C2113"/>
    <w:rsid w:val="003C22B6"/>
    <w:rsid w:val="003C2A51"/>
    <w:rsid w:val="003C306A"/>
    <w:rsid w:val="003C3A0A"/>
    <w:rsid w:val="003C3AAA"/>
    <w:rsid w:val="003C3E66"/>
    <w:rsid w:val="003C44A1"/>
    <w:rsid w:val="003C46EB"/>
    <w:rsid w:val="003C4C48"/>
    <w:rsid w:val="003C55CA"/>
    <w:rsid w:val="003C5833"/>
    <w:rsid w:val="003C62D6"/>
    <w:rsid w:val="003C6424"/>
    <w:rsid w:val="003C7057"/>
    <w:rsid w:val="003C784F"/>
    <w:rsid w:val="003D0936"/>
    <w:rsid w:val="003D0C67"/>
    <w:rsid w:val="003D118B"/>
    <w:rsid w:val="003D1E70"/>
    <w:rsid w:val="003D1F7E"/>
    <w:rsid w:val="003D29E9"/>
    <w:rsid w:val="003D2C37"/>
    <w:rsid w:val="003D32BE"/>
    <w:rsid w:val="003D3B21"/>
    <w:rsid w:val="003D4191"/>
    <w:rsid w:val="003D4840"/>
    <w:rsid w:val="003D4C0D"/>
    <w:rsid w:val="003D632B"/>
    <w:rsid w:val="003D69F9"/>
    <w:rsid w:val="003D7546"/>
    <w:rsid w:val="003D7C3D"/>
    <w:rsid w:val="003E0226"/>
    <w:rsid w:val="003E0CEE"/>
    <w:rsid w:val="003E1310"/>
    <w:rsid w:val="003E1787"/>
    <w:rsid w:val="003E1ACE"/>
    <w:rsid w:val="003E26FE"/>
    <w:rsid w:val="003E273D"/>
    <w:rsid w:val="003E2889"/>
    <w:rsid w:val="003E3796"/>
    <w:rsid w:val="003E3F62"/>
    <w:rsid w:val="003E4663"/>
    <w:rsid w:val="003E4DED"/>
    <w:rsid w:val="003E5022"/>
    <w:rsid w:val="003E59A2"/>
    <w:rsid w:val="003E5A91"/>
    <w:rsid w:val="003E5B5A"/>
    <w:rsid w:val="003E74F5"/>
    <w:rsid w:val="003F02D8"/>
    <w:rsid w:val="003F12F2"/>
    <w:rsid w:val="003F1D70"/>
    <w:rsid w:val="003F2371"/>
    <w:rsid w:val="003F45A6"/>
    <w:rsid w:val="003F482D"/>
    <w:rsid w:val="003F51C9"/>
    <w:rsid w:val="003F546F"/>
    <w:rsid w:val="003F58C6"/>
    <w:rsid w:val="003F5B26"/>
    <w:rsid w:val="003F6DA5"/>
    <w:rsid w:val="003F6E1F"/>
    <w:rsid w:val="003F7070"/>
    <w:rsid w:val="003F77F2"/>
    <w:rsid w:val="003F78C5"/>
    <w:rsid w:val="00400628"/>
    <w:rsid w:val="0040065C"/>
    <w:rsid w:val="004008A8"/>
    <w:rsid w:val="0040099B"/>
    <w:rsid w:val="00400F45"/>
    <w:rsid w:val="004014AD"/>
    <w:rsid w:val="00401746"/>
    <w:rsid w:val="00401CB7"/>
    <w:rsid w:val="00402633"/>
    <w:rsid w:val="00403688"/>
    <w:rsid w:val="00403690"/>
    <w:rsid w:val="004037F6"/>
    <w:rsid w:val="004051BA"/>
    <w:rsid w:val="004069D9"/>
    <w:rsid w:val="004072AF"/>
    <w:rsid w:val="0040790C"/>
    <w:rsid w:val="00407E35"/>
    <w:rsid w:val="00410C23"/>
    <w:rsid w:val="00411FD7"/>
    <w:rsid w:val="00412946"/>
    <w:rsid w:val="00412CFF"/>
    <w:rsid w:val="00412E6F"/>
    <w:rsid w:val="00413405"/>
    <w:rsid w:val="00413E45"/>
    <w:rsid w:val="004167C9"/>
    <w:rsid w:val="0041770E"/>
    <w:rsid w:val="00417DCE"/>
    <w:rsid w:val="00417F45"/>
    <w:rsid w:val="004223F8"/>
    <w:rsid w:val="0042335A"/>
    <w:rsid w:val="0042391B"/>
    <w:rsid w:val="0042407E"/>
    <w:rsid w:val="00424981"/>
    <w:rsid w:val="00424AB3"/>
    <w:rsid w:val="004250B2"/>
    <w:rsid w:val="00425411"/>
    <w:rsid w:val="0042595C"/>
    <w:rsid w:val="00426FEE"/>
    <w:rsid w:val="00427791"/>
    <w:rsid w:val="004277A9"/>
    <w:rsid w:val="00427811"/>
    <w:rsid w:val="00427C44"/>
    <w:rsid w:val="0043073D"/>
    <w:rsid w:val="00430B88"/>
    <w:rsid w:val="00431811"/>
    <w:rsid w:val="0043235C"/>
    <w:rsid w:val="00432EAF"/>
    <w:rsid w:val="00433AD8"/>
    <w:rsid w:val="00433B64"/>
    <w:rsid w:val="00434DF8"/>
    <w:rsid w:val="00435494"/>
    <w:rsid w:val="004357E2"/>
    <w:rsid w:val="00435F3D"/>
    <w:rsid w:val="00437598"/>
    <w:rsid w:val="00437A09"/>
    <w:rsid w:val="00440B8F"/>
    <w:rsid w:val="00440C0C"/>
    <w:rsid w:val="00440C11"/>
    <w:rsid w:val="004410D3"/>
    <w:rsid w:val="004413E2"/>
    <w:rsid w:val="00441487"/>
    <w:rsid w:val="00441708"/>
    <w:rsid w:val="00441923"/>
    <w:rsid w:val="004420E8"/>
    <w:rsid w:val="00443A91"/>
    <w:rsid w:val="0044478B"/>
    <w:rsid w:val="00444833"/>
    <w:rsid w:val="00444BD4"/>
    <w:rsid w:val="00445376"/>
    <w:rsid w:val="004457C2"/>
    <w:rsid w:val="00446A96"/>
    <w:rsid w:val="00446F93"/>
    <w:rsid w:val="00447CB8"/>
    <w:rsid w:val="0045280F"/>
    <w:rsid w:val="00452B98"/>
    <w:rsid w:val="00452C63"/>
    <w:rsid w:val="0045302F"/>
    <w:rsid w:val="004534E1"/>
    <w:rsid w:val="00453B4F"/>
    <w:rsid w:val="00454BDF"/>
    <w:rsid w:val="00454ECA"/>
    <w:rsid w:val="00454F0C"/>
    <w:rsid w:val="00454FB8"/>
    <w:rsid w:val="00455190"/>
    <w:rsid w:val="004556CF"/>
    <w:rsid w:val="00455893"/>
    <w:rsid w:val="00455F41"/>
    <w:rsid w:val="00457604"/>
    <w:rsid w:val="0045779B"/>
    <w:rsid w:val="00457CF2"/>
    <w:rsid w:val="00460426"/>
    <w:rsid w:val="0046095A"/>
    <w:rsid w:val="00460B70"/>
    <w:rsid w:val="0046102A"/>
    <w:rsid w:val="00461469"/>
    <w:rsid w:val="00461552"/>
    <w:rsid w:val="00461D31"/>
    <w:rsid w:val="00462A9F"/>
    <w:rsid w:val="00463D9B"/>
    <w:rsid w:val="0046402B"/>
    <w:rsid w:val="00464548"/>
    <w:rsid w:val="0046534F"/>
    <w:rsid w:val="00465E00"/>
    <w:rsid w:val="00466267"/>
    <w:rsid w:val="00466443"/>
    <w:rsid w:val="00466BF8"/>
    <w:rsid w:val="0046741A"/>
    <w:rsid w:val="0047047C"/>
    <w:rsid w:val="004708FF"/>
    <w:rsid w:val="00470974"/>
    <w:rsid w:val="004709A2"/>
    <w:rsid w:val="00470E25"/>
    <w:rsid w:val="00471E42"/>
    <w:rsid w:val="00471E84"/>
    <w:rsid w:val="004721C4"/>
    <w:rsid w:val="004725A0"/>
    <w:rsid w:val="00472F98"/>
    <w:rsid w:val="004731D6"/>
    <w:rsid w:val="00473FCB"/>
    <w:rsid w:val="004746E3"/>
    <w:rsid w:val="00474EB7"/>
    <w:rsid w:val="00475652"/>
    <w:rsid w:val="00476252"/>
    <w:rsid w:val="0047687E"/>
    <w:rsid w:val="004769D9"/>
    <w:rsid w:val="00476DCE"/>
    <w:rsid w:val="0048095B"/>
    <w:rsid w:val="0048210C"/>
    <w:rsid w:val="004821A7"/>
    <w:rsid w:val="00482393"/>
    <w:rsid w:val="004826D5"/>
    <w:rsid w:val="00482FD6"/>
    <w:rsid w:val="00482FEE"/>
    <w:rsid w:val="004838C3"/>
    <w:rsid w:val="00483AA6"/>
    <w:rsid w:val="004846B6"/>
    <w:rsid w:val="00484B19"/>
    <w:rsid w:val="004873FB"/>
    <w:rsid w:val="00487858"/>
    <w:rsid w:val="00487D89"/>
    <w:rsid w:val="00487F43"/>
    <w:rsid w:val="0049003E"/>
    <w:rsid w:val="00490937"/>
    <w:rsid w:val="004914BD"/>
    <w:rsid w:val="004916D9"/>
    <w:rsid w:val="00492007"/>
    <w:rsid w:val="004934D9"/>
    <w:rsid w:val="00495199"/>
    <w:rsid w:val="0049622F"/>
    <w:rsid w:val="004964E4"/>
    <w:rsid w:val="004967E3"/>
    <w:rsid w:val="00496D34"/>
    <w:rsid w:val="0049735D"/>
    <w:rsid w:val="004973F6"/>
    <w:rsid w:val="004979BC"/>
    <w:rsid w:val="00497A55"/>
    <w:rsid w:val="00497CBE"/>
    <w:rsid w:val="00497DF5"/>
    <w:rsid w:val="004A0026"/>
    <w:rsid w:val="004A2282"/>
    <w:rsid w:val="004A2363"/>
    <w:rsid w:val="004A2A07"/>
    <w:rsid w:val="004A2F33"/>
    <w:rsid w:val="004A36F3"/>
    <w:rsid w:val="004A3D74"/>
    <w:rsid w:val="004A4435"/>
    <w:rsid w:val="004A4678"/>
    <w:rsid w:val="004A51E2"/>
    <w:rsid w:val="004A5DAF"/>
    <w:rsid w:val="004A5F52"/>
    <w:rsid w:val="004A5F75"/>
    <w:rsid w:val="004A603A"/>
    <w:rsid w:val="004A6100"/>
    <w:rsid w:val="004A648B"/>
    <w:rsid w:val="004A64B5"/>
    <w:rsid w:val="004A66B4"/>
    <w:rsid w:val="004A7D12"/>
    <w:rsid w:val="004B0210"/>
    <w:rsid w:val="004B0ACC"/>
    <w:rsid w:val="004B2591"/>
    <w:rsid w:val="004B27F0"/>
    <w:rsid w:val="004B2DD5"/>
    <w:rsid w:val="004B3BE3"/>
    <w:rsid w:val="004B3D77"/>
    <w:rsid w:val="004B4014"/>
    <w:rsid w:val="004B4E5E"/>
    <w:rsid w:val="004B513A"/>
    <w:rsid w:val="004B59A9"/>
    <w:rsid w:val="004B5C8E"/>
    <w:rsid w:val="004B63E1"/>
    <w:rsid w:val="004B7329"/>
    <w:rsid w:val="004B737A"/>
    <w:rsid w:val="004B7A00"/>
    <w:rsid w:val="004C0F6D"/>
    <w:rsid w:val="004C12BD"/>
    <w:rsid w:val="004C1661"/>
    <w:rsid w:val="004C2337"/>
    <w:rsid w:val="004C2424"/>
    <w:rsid w:val="004C259C"/>
    <w:rsid w:val="004C273D"/>
    <w:rsid w:val="004C2C86"/>
    <w:rsid w:val="004C2D1D"/>
    <w:rsid w:val="004C2E8B"/>
    <w:rsid w:val="004C31A1"/>
    <w:rsid w:val="004C3225"/>
    <w:rsid w:val="004C32BD"/>
    <w:rsid w:val="004C3B4E"/>
    <w:rsid w:val="004C3B6E"/>
    <w:rsid w:val="004C5D66"/>
    <w:rsid w:val="004C5FDC"/>
    <w:rsid w:val="004C6318"/>
    <w:rsid w:val="004C667B"/>
    <w:rsid w:val="004C7984"/>
    <w:rsid w:val="004C7AC6"/>
    <w:rsid w:val="004C7F5A"/>
    <w:rsid w:val="004D16C1"/>
    <w:rsid w:val="004D1BBF"/>
    <w:rsid w:val="004D1BC3"/>
    <w:rsid w:val="004D1D42"/>
    <w:rsid w:val="004D1D66"/>
    <w:rsid w:val="004D47D0"/>
    <w:rsid w:val="004D586C"/>
    <w:rsid w:val="004D58A7"/>
    <w:rsid w:val="004D6102"/>
    <w:rsid w:val="004D61F2"/>
    <w:rsid w:val="004D6608"/>
    <w:rsid w:val="004D6C04"/>
    <w:rsid w:val="004D6FB4"/>
    <w:rsid w:val="004D72EA"/>
    <w:rsid w:val="004D7352"/>
    <w:rsid w:val="004D7422"/>
    <w:rsid w:val="004D7C14"/>
    <w:rsid w:val="004D7D8C"/>
    <w:rsid w:val="004E0F0C"/>
    <w:rsid w:val="004E0FBD"/>
    <w:rsid w:val="004E1137"/>
    <w:rsid w:val="004E1392"/>
    <w:rsid w:val="004E1636"/>
    <w:rsid w:val="004E20F0"/>
    <w:rsid w:val="004E2DB3"/>
    <w:rsid w:val="004E2E53"/>
    <w:rsid w:val="004E2E90"/>
    <w:rsid w:val="004E3931"/>
    <w:rsid w:val="004E4117"/>
    <w:rsid w:val="004E48AB"/>
    <w:rsid w:val="004E4A58"/>
    <w:rsid w:val="004E4AC0"/>
    <w:rsid w:val="004E52C8"/>
    <w:rsid w:val="004E598F"/>
    <w:rsid w:val="004E6759"/>
    <w:rsid w:val="004E6AA6"/>
    <w:rsid w:val="004E6CB6"/>
    <w:rsid w:val="004E6DB3"/>
    <w:rsid w:val="004E70FA"/>
    <w:rsid w:val="004E7953"/>
    <w:rsid w:val="004E7FAA"/>
    <w:rsid w:val="004F02F9"/>
    <w:rsid w:val="004F04A3"/>
    <w:rsid w:val="004F0919"/>
    <w:rsid w:val="004F0CF1"/>
    <w:rsid w:val="004F0DF1"/>
    <w:rsid w:val="004F0FD4"/>
    <w:rsid w:val="004F11E3"/>
    <w:rsid w:val="004F1962"/>
    <w:rsid w:val="004F2F28"/>
    <w:rsid w:val="004F41FD"/>
    <w:rsid w:val="004F428F"/>
    <w:rsid w:val="004F42C9"/>
    <w:rsid w:val="004F42CA"/>
    <w:rsid w:val="004F4552"/>
    <w:rsid w:val="004F49E0"/>
    <w:rsid w:val="004F49FF"/>
    <w:rsid w:val="004F4A96"/>
    <w:rsid w:val="004F53F5"/>
    <w:rsid w:val="004F621D"/>
    <w:rsid w:val="004F6A43"/>
    <w:rsid w:val="004F6E06"/>
    <w:rsid w:val="004F75FF"/>
    <w:rsid w:val="004F7731"/>
    <w:rsid w:val="004F79C5"/>
    <w:rsid w:val="004F79F7"/>
    <w:rsid w:val="004F7F76"/>
    <w:rsid w:val="004F7FD1"/>
    <w:rsid w:val="00500606"/>
    <w:rsid w:val="0050093A"/>
    <w:rsid w:val="00500D24"/>
    <w:rsid w:val="00500D98"/>
    <w:rsid w:val="005011E1"/>
    <w:rsid w:val="00501587"/>
    <w:rsid w:val="00501F17"/>
    <w:rsid w:val="00502BA4"/>
    <w:rsid w:val="00503065"/>
    <w:rsid w:val="00503C37"/>
    <w:rsid w:val="0050413F"/>
    <w:rsid w:val="0050485F"/>
    <w:rsid w:val="00504A6D"/>
    <w:rsid w:val="005050D6"/>
    <w:rsid w:val="00505367"/>
    <w:rsid w:val="00505642"/>
    <w:rsid w:val="005057C9"/>
    <w:rsid w:val="00506217"/>
    <w:rsid w:val="0050711F"/>
    <w:rsid w:val="00507FA8"/>
    <w:rsid w:val="00510CB7"/>
    <w:rsid w:val="00511839"/>
    <w:rsid w:val="00512250"/>
    <w:rsid w:val="00513307"/>
    <w:rsid w:val="00513A14"/>
    <w:rsid w:val="00513DC8"/>
    <w:rsid w:val="00514124"/>
    <w:rsid w:val="00514EF3"/>
    <w:rsid w:val="00515051"/>
    <w:rsid w:val="00515181"/>
    <w:rsid w:val="005155C4"/>
    <w:rsid w:val="00515C75"/>
    <w:rsid w:val="00516B41"/>
    <w:rsid w:val="00516B77"/>
    <w:rsid w:val="005173B6"/>
    <w:rsid w:val="00517406"/>
    <w:rsid w:val="0052005F"/>
    <w:rsid w:val="0052075E"/>
    <w:rsid w:val="00520C04"/>
    <w:rsid w:val="005213A0"/>
    <w:rsid w:val="0052182A"/>
    <w:rsid w:val="00521A23"/>
    <w:rsid w:val="00521D93"/>
    <w:rsid w:val="005227D4"/>
    <w:rsid w:val="00522D30"/>
    <w:rsid w:val="00523637"/>
    <w:rsid w:val="00523842"/>
    <w:rsid w:val="00523C58"/>
    <w:rsid w:val="005240A4"/>
    <w:rsid w:val="00524543"/>
    <w:rsid w:val="0052477A"/>
    <w:rsid w:val="00524847"/>
    <w:rsid w:val="00524C29"/>
    <w:rsid w:val="00524D79"/>
    <w:rsid w:val="00524F47"/>
    <w:rsid w:val="00525272"/>
    <w:rsid w:val="00525534"/>
    <w:rsid w:val="005260B5"/>
    <w:rsid w:val="0052769E"/>
    <w:rsid w:val="00527B2B"/>
    <w:rsid w:val="00530653"/>
    <w:rsid w:val="005306C2"/>
    <w:rsid w:val="00530CDD"/>
    <w:rsid w:val="0053101B"/>
    <w:rsid w:val="005311D2"/>
    <w:rsid w:val="00531303"/>
    <w:rsid w:val="00531A7D"/>
    <w:rsid w:val="00531CCB"/>
    <w:rsid w:val="00531E33"/>
    <w:rsid w:val="00532054"/>
    <w:rsid w:val="00532234"/>
    <w:rsid w:val="005330DC"/>
    <w:rsid w:val="0053341A"/>
    <w:rsid w:val="005335AC"/>
    <w:rsid w:val="00533764"/>
    <w:rsid w:val="00533955"/>
    <w:rsid w:val="005343CF"/>
    <w:rsid w:val="00534FF6"/>
    <w:rsid w:val="00535631"/>
    <w:rsid w:val="00535839"/>
    <w:rsid w:val="00535E57"/>
    <w:rsid w:val="0053710F"/>
    <w:rsid w:val="00537C8C"/>
    <w:rsid w:val="005402B0"/>
    <w:rsid w:val="005408FA"/>
    <w:rsid w:val="0054150B"/>
    <w:rsid w:val="00541D1B"/>
    <w:rsid w:val="00541D49"/>
    <w:rsid w:val="005422FC"/>
    <w:rsid w:val="005424CD"/>
    <w:rsid w:val="00543103"/>
    <w:rsid w:val="00543231"/>
    <w:rsid w:val="005438E8"/>
    <w:rsid w:val="005439A3"/>
    <w:rsid w:val="005443C1"/>
    <w:rsid w:val="00544AC7"/>
    <w:rsid w:val="00544FA3"/>
    <w:rsid w:val="00545173"/>
    <w:rsid w:val="0054529F"/>
    <w:rsid w:val="00546C47"/>
    <w:rsid w:val="0054708B"/>
    <w:rsid w:val="005471F5"/>
    <w:rsid w:val="00547CF3"/>
    <w:rsid w:val="005504A3"/>
    <w:rsid w:val="005507A1"/>
    <w:rsid w:val="00551181"/>
    <w:rsid w:val="00551222"/>
    <w:rsid w:val="00551EE3"/>
    <w:rsid w:val="00552028"/>
    <w:rsid w:val="00552222"/>
    <w:rsid w:val="005529E5"/>
    <w:rsid w:val="00552EAB"/>
    <w:rsid w:val="00553EE7"/>
    <w:rsid w:val="005542F8"/>
    <w:rsid w:val="00554A44"/>
    <w:rsid w:val="0055505F"/>
    <w:rsid w:val="0055554C"/>
    <w:rsid w:val="00555D49"/>
    <w:rsid w:val="00556344"/>
    <w:rsid w:val="0055779A"/>
    <w:rsid w:val="00557AB0"/>
    <w:rsid w:val="00560109"/>
    <w:rsid w:val="00560A18"/>
    <w:rsid w:val="00560E18"/>
    <w:rsid w:val="00560E6A"/>
    <w:rsid w:val="00561176"/>
    <w:rsid w:val="0056150E"/>
    <w:rsid w:val="005618A0"/>
    <w:rsid w:val="00562188"/>
    <w:rsid w:val="00562788"/>
    <w:rsid w:val="0056279E"/>
    <w:rsid w:val="00562CFC"/>
    <w:rsid w:val="0056348A"/>
    <w:rsid w:val="005637C9"/>
    <w:rsid w:val="00563D7B"/>
    <w:rsid w:val="005645BB"/>
    <w:rsid w:val="005647E4"/>
    <w:rsid w:val="00564910"/>
    <w:rsid w:val="00564FA4"/>
    <w:rsid w:val="005653F8"/>
    <w:rsid w:val="00565B0C"/>
    <w:rsid w:val="005666D4"/>
    <w:rsid w:val="00566F82"/>
    <w:rsid w:val="0056702C"/>
    <w:rsid w:val="005671A3"/>
    <w:rsid w:val="00570B71"/>
    <w:rsid w:val="0057105E"/>
    <w:rsid w:val="00571409"/>
    <w:rsid w:val="00571981"/>
    <w:rsid w:val="00571CE5"/>
    <w:rsid w:val="00571F7A"/>
    <w:rsid w:val="00572074"/>
    <w:rsid w:val="00572EB3"/>
    <w:rsid w:val="005733DB"/>
    <w:rsid w:val="00573AF4"/>
    <w:rsid w:val="005745F0"/>
    <w:rsid w:val="0057520D"/>
    <w:rsid w:val="005753FE"/>
    <w:rsid w:val="005754BB"/>
    <w:rsid w:val="00576038"/>
    <w:rsid w:val="00576544"/>
    <w:rsid w:val="00576629"/>
    <w:rsid w:val="005768F4"/>
    <w:rsid w:val="00576EEC"/>
    <w:rsid w:val="00577F1F"/>
    <w:rsid w:val="0058075B"/>
    <w:rsid w:val="0058109D"/>
    <w:rsid w:val="0058230F"/>
    <w:rsid w:val="00582576"/>
    <w:rsid w:val="00582C18"/>
    <w:rsid w:val="00584122"/>
    <w:rsid w:val="00584EB7"/>
    <w:rsid w:val="0058535C"/>
    <w:rsid w:val="00586102"/>
    <w:rsid w:val="005862B2"/>
    <w:rsid w:val="00586D7F"/>
    <w:rsid w:val="00586F84"/>
    <w:rsid w:val="00587391"/>
    <w:rsid w:val="00587FA4"/>
    <w:rsid w:val="0059017B"/>
    <w:rsid w:val="00590579"/>
    <w:rsid w:val="005911E6"/>
    <w:rsid w:val="00591B30"/>
    <w:rsid w:val="0059275B"/>
    <w:rsid w:val="00592941"/>
    <w:rsid w:val="00592D6D"/>
    <w:rsid w:val="00593F27"/>
    <w:rsid w:val="005941F2"/>
    <w:rsid w:val="005947FD"/>
    <w:rsid w:val="00594B3D"/>
    <w:rsid w:val="00595343"/>
    <w:rsid w:val="005953CF"/>
    <w:rsid w:val="00595D90"/>
    <w:rsid w:val="0059659F"/>
    <w:rsid w:val="005968FC"/>
    <w:rsid w:val="005969D8"/>
    <w:rsid w:val="00596E20"/>
    <w:rsid w:val="00596F1A"/>
    <w:rsid w:val="00597193"/>
    <w:rsid w:val="00597517"/>
    <w:rsid w:val="00597E63"/>
    <w:rsid w:val="00597EE4"/>
    <w:rsid w:val="00597F45"/>
    <w:rsid w:val="005A0907"/>
    <w:rsid w:val="005A1861"/>
    <w:rsid w:val="005A2E19"/>
    <w:rsid w:val="005A2E90"/>
    <w:rsid w:val="005A3198"/>
    <w:rsid w:val="005A3E30"/>
    <w:rsid w:val="005A3E7D"/>
    <w:rsid w:val="005A3F77"/>
    <w:rsid w:val="005A57D8"/>
    <w:rsid w:val="005A5E02"/>
    <w:rsid w:val="005A5F1B"/>
    <w:rsid w:val="005A604C"/>
    <w:rsid w:val="005A616E"/>
    <w:rsid w:val="005A6D77"/>
    <w:rsid w:val="005A7358"/>
    <w:rsid w:val="005A77FE"/>
    <w:rsid w:val="005A7886"/>
    <w:rsid w:val="005A7FD7"/>
    <w:rsid w:val="005B0732"/>
    <w:rsid w:val="005B0D4D"/>
    <w:rsid w:val="005B190E"/>
    <w:rsid w:val="005B2B04"/>
    <w:rsid w:val="005B2CDB"/>
    <w:rsid w:val="005B35A7"/>
    <w:rsid w:val="005B3A72"/>
    <w:rsid w:val="005B5EF2"/>
    <w:rsid w:val="005B6335"/>
    <w:rsid w:val="005B7211"/>
    <w:rsid w:val="005B7565"/>
    <w:rsid w:val="005B76DD"/>
    <w:rsid w:val="005B79BA"/>
    <w:rsid w:val="005B7A35"/>
    <w:rsid w:val="005B7AC6"/>
    <w:rsid w:val="005B7E3D"/>
    <w:rsid w:val="005B7F79"/>
    <w:rsid w:val="005C013A"/>
    <w:rsid w:val="005C0148"/>
    <w:rsid w:val="005C0233"/>
    <w:rsid w:val="005C0480"/>
    <w:rsid w:val="005C0524"/>
    <w:rsid w:val="005C0D23"/>
    <w:rsid w:val="005C0DA1"/>
    <w:rsid w:val="005C1167"/>
    <w:rsid w:val="005C19B7"/>
    <w:rsid w:val="005C1C8B"/>
    <w:rsid w:val="005C235A"/>
    <w:rsid w:val="005C25AF"/>
    <w:rsid w:val="005C26ED"/>
    <w:rsid w:val="005C2D98"/>
    <w:rsid w:val="005C361D"/>
    <w:rsid w:val="005C3F4E"/>
    <w:rsid w:val="005C484E"/>
    <w:rsid w:val="005C596F"/>
    <w:rsid w:val="005C605D"/>
    <w:rsid w:val="005C7301"/>
    <w:rsid w:val="005C7D2C"/>
    <w:rsid w:val="005C7E85"/>
    <w:rsid w:val="005D0174"/>
    <w:rsid w:val="005D029D"/>
    <w:rsid w:val="005D1194"/>
    <w:rsid w:val="005D1330"/>
    <w:rsid w:val="005D1618"/>
    <w:rsid w:val="005D1666"/>
    <w:rsid w:val="005D24C2"/>
    <w:rsid w:val="005D2575"/>
    <w:rsid w:val="005D27AF"/>
    <w:rsid w:val="005D320B"/>
    <w:rsid w:val="005D3353"/>
    <w:rsid w:val="005D3613"/>
    <w:rsid w:val="005D36C1"/>
    <w:rsid w:val="005D3A88"/>
    <w:rsid w:val="005D3BB7"/>
    <w:rsid w:val="005D40CC"/>
    <w:rsid w:val="005D4892"/>
    <w:rsid w:val="005D49FE"/>
    <w:rsid w:val="005D51FA"/>
    <w:rsid w:val="005D54A6"/>
    <w:rsid w:val="005D5515"/>
    <w:rsid w:val="005D5B1E"/>
    <w:rsid w:val="005D5D3A"/>
    <w:rsid w:val="005D5DED"/>
    <w:rsid w:val="005D5E10"/>
    <w:rsid w:val="005D5F57"/>
    <w:rsid w:val="005D636C"/>
    <w:rsid w:val="005D6E9D"/>
    <w:rsid w:val="005D73EB"/>
    <w:rsid w:val="005D7C3E"/>
    <w:rsid w:val="005D7FE8"/>
    <w:rsid w:val="005E0618"/>
    <w:rsid w:val="005E0A01"/>
    <w:rsid w:val="005E0D3E"/>
    <w:rsid w:val="005E0F57"/>
    <w:rsid w:val="005E260E"/>
    <w:rsid w:val="005E3C68"/>
    <w:rsid w:val="005E3F08"/>
    <w:rsid w:val="005E3F9A"/>
    <w:rsid w:val="005E51AC"/>
    <w:rsid w:val="005E53D9"/>
    <w:rsid w:val="005E5FB9"/>
    <w:rsid w:val="005E6257"/>
    <w:rsid w:val="005E73D2"/>
    <w:rsid w:val="005F01C5"/>
    <w:rsid w:val="005F01ED"/>
    <w:rsid w:val="005F04A0"/>
    <w:rsid w:val="005F1588"/>
    <w:rsid w:val="005F1BFC"/>
    <w:rsid w:val="005F2137"/>
    <w:rsid w:val="005F355A"/>
    <w:rsid w:val="005F3EAD"/>
    <w:rsid w:val="005F3F3A"/>
    <w:rsid w:val="005F3FA7"/>
    <w:rsid w:val="005F40D3"/>
    <w:rsid w:val="005F4FF5"/>
    <w:rsid w:val="005F61CC"/>
    <w:rsid w:val="005F6217"/>
    <w:rsid w:val="005F67BD"/>
    <w:rsid w:val="005F6959"/>
    <w:rsid w:val="005F7847"/>
    <w:rsid w:val="00600BC5"/>
    <w:rsid w:val="00601564"/>
    <w:rsid w:val="006020CA"/>
    <w:rsid w:val="00602349"/>
    <w:rsid w:val="00602B09"/>
    <w:rsid w:val="0060426F"/>
    <w:rsid w:val="0060427C"/>
    <w:rsid w:val="00604375"/>
    <w:rsid w:val="006043B1"/>
    <w:rsid w:val="00604900"/>
    <w:rsid w:val="00605241"/>
    <w:rsid w:val="00606926"/>
    <w:rsid w:val="0060765E"/>
    <w:rsid w:val="00607AD2"/>
    <w:rsid w:val="0061016E"/>
    <w:rsid w:val="00610457"/>
    <w:rsid w:val="006108EF"/>
    <w:rsid w:val="00611019"/>
    <w:rsid w:val="006114F4"/>
    <w:rsid w:val="006118B1"/>
    <w:rsid w:val="00611AFA"/>
    <w:rsid w:val="006128E4"/>
    <w:rsid w:val="00612909"/>
    <w:rsid w:val="00612A7F"/>
    <w:rsid w:val="00613342"/>
    <w:rsid w:val="00613AF5"/>
    <w:rsid w:val="00613C21"/>
    <w:rsid w:val="00613DC9"/>
    <w:rsid w:val="006140CA"/>
    <w:rsid w:val="0061475F"/>
    <w:rsid w:val="00614A74"/>
    <w:rsid w:val="00615E07"/>
    <w:rsid w:val="00616020"/>
    <w:rsid w:val="006166A3"/>
    <w:rsid w:val="00620C92"/>
    <w:rsid w:val="0062112C"/>
    <w:rsid w:val="006221C3"/>
    <w:rsid w:val="0062261E"/>
    <w:rsid w:val="0062281E"/>
    <w:rsid w:val="006238D6"/>
    <w:rsid w:val="00623FBC"/>
    <w:rsid w:val="00624157"/>
    <w:rsid w:val="0062425E"/>
    <w:rsid w:val="00624B58"/>
    <w:rsid w:val="006251A6"/>
    <w:rsid w:val="0062533D"/>
    <w:rsid w:val="00625344"/>
    <w:rsid w:val="00626991"/>
    <w:rsid w:val="0062711A"/>
    <w:rsid w:val="006271A5"/>
    <w:rsid w:val="00627A59"/>
    <w:rsid w:val="00627C82"/>
    <w:rsid w:val="00627D14"/>
    <w:rsid w:val="006304E8"/>
    <w:rsid w:val="00630744"/>
    <w:rsid w:val="00630BD9"/>
    <w:rsid w:val="00631238"/>
    <w:rsid w:val="00631406"/>
    <w:rsid w:val="0063146C"/>
    <w:rsid w:val="00631891"/>
    <w:rsid w:val="00631F6F"/>
    <w:rsid w:val="00632655"/>
    <w:rsid w:val="00632DD0"/>
    <w:rsid w:val="00633358"/>
    <w:rsid w:val="00633666"/>
    <w:rsid w:val="00633AC8"/>
    <w:rsid w:val="00634D74"/>
    <w:rsid w:val="00634E2E"/>
    <w:rsid w:val="00634FC9"/>
    <w:rsid w:val="006378B3"/>
    <w:rsid w:val="0064076F"/>
    <w:rsid w:val="00640784"/>
    <w:rsid w:val="00641244"/>
    <w:rsid w:val="00641290"/>
    <w:rsid w:val="0064191C"/>
    <w:rsid w:val="00641C34"/>
    <w:rsid w:val="00643282"/>
    <w:rsid w:val="00643E19"/>
    <w:rsid w:val="006441DC"/>
    <w:rsid w:val="0064421B"/>
    <w:rsid w:val="00645D17"/>
    <w:rsid w:val="0064649C"/>
    <w:rsid w:val="0064666B"/>
    <w:rsid w:val="00646A14"/>
    <w:rsid w:val="00646A4F"/>
    <w:rsid w:val="00646A62"/>
    <w:rsid w:val="00646B1C"/>
    <w:rsid w:val="00646C88"/>
    <w:rsid w:val="006474F9"/>
    <w:rsid w:val="00647A77"/>
    <w:rsid w:val="00647C8D"/>
    <w:rsid w:val="006500E9"/>
    <w:rsid w:val="00650763"/>
    <w:rsid w:val="006510DD"/>
    <w:rsid w:val="00652157"/>
    <w:rsid w:val="00652253"/>
    <w:rsid w:val="006522ED"/>
    <w:rsid w:val="0065238A"/>
    <w:rsid w:val="006524A5"/>
    <w:rsid w:val="00652702"/>
    <w:rsid w:val="00652CF6"/>
    <w:rsid w:val="00652D0B"/>
    <w:rsid w:val="00652FA6"/>
    <w:rsid w:val="006537D0"/>
    <w:rsid w:val="00653894"/>
    <w:rsid w:val="00653B68"/>
    <w:rsid w:val="0065419A"/>
    <w:rsid w:val="0065445E"/>
    <w:rsid w:val="00654498"/>
    <w:rsid w:val="00655423"/>
    <w:rsid w:val="00655EDB"/>
    <w:rsid w:val="006562B3"/>
    <w:rsid w:val="00656DE1"/>
    <w:rsid w:val="00660049"/>
    <w:rsid w:val="0066007D"/>
    <w:rsid w:val="00660A77"/>
    <w:rsid w:val="00660EF7"/>
    <w:rsid w:val="006610E9"/>
    <w:rsid w:val="00661510"/>
    <w:rsid w:val="006617A8"/>
    <w:rsid w:val="00662397"/>
    <w:rsid w:val="00662A92"/>
    <w:rsid w:val="00662F88"/>
    <w:rsid w:val="006637A0"/>
    <w:rsid w:val="00663F3F"/>
    <w:rsid w:val="006644F6"/>
    <w:rsid w:val="00664DA1"/>
    <w:rsid w:val="00666192"/>
    <w:rsid w:val="00666417"/>
    <w:rsid w:val="00666F17"/>
    <w:rsid w:val="006673E6"/>
    <w:rsid w:val="0067003E"/>
    <w:rsid w:val="0067008E"/>
    <w:rsid w:val="00670154"/>
    <w:rsid w:val="00672C79"/>
    <w:rsid w:val="00672F76"/>
    <w:rsid w:val="006735D1"/>
    <w:rsid w:val="0067425B"/>
    <w:rsid w:val="006746FE"/>
    <w:rsid w:val="00676862"/>
    <w:rsid w:val="00676A9E"/>
    <w:rsid w:val="00676BC2"/>
    <w:rsid w:val="00676D95"/>
    <w:rsid w:val="00677499"/>
    <w:rsid w:val="006778CB"/>
    <w:rsid w:val="00677972"/>
    <w:rsid w:val="00677DA3"/>
    <w:rsid w:val="00677FB4"/>
    <w:rsid w:val="00681859"/>
    <w:rsid w:val="00681E6C"/>
    <w:rsid w:val="0068308B"/>
    <w:rsid w:val="0068310C"/>
    <w:rsid w:val="00683500"/>
    <w:rsid w:val="00683558"/>
    <w:rsid w:val="00685033"/>
    <w:rsid w:val="0068516C"/>
    <w:rsid w:val="006853DF"/>
    <w:rsid w:val="0068648A"/>
    <w:rsid w:val="00686A1C"/>
    <w:rsid w:val="00687288"/>
    <w:rsid w:val="00687D78"/>
    <w:rsid w:val="0069068C"/>
    <w:rsid w:val="00691B6F"/>
    <w:rsid w:val="00691B89"/>
    <w:rsid w:val="00691BE8"/>
    <w:rsid w:val="006922A7"/>
    <w:rsid w:val="006928A6"/>
    <w:rsid w:val="00692A41"/>
    <w:rsid w:val="00694CA8"/>
    <w:rsid w:val="00695381"/>
    <w:rsid w:val="006955BB"/>
    <w:rsid w:val="00695678"/>
    <w:rsid w:val="006957BF"/>
    <w:rsid w:val="006A05D2"/>
    <w:rsid w:val="006A09B8"/>
    <w:rsid w:val="006A0B16"/>
    <w:rsid w:val="006A12FE"/>
    <w:rsid w:val="006A1A92"/>
    <w:rsid w:val="006A1AEF"/>
    <w:rsid w:val="006A1C73"/>
    <w:rsid w:val="006A2D8B"/>
    <w:rsid w:val="006A2F56"/>
    <w:rsid w:val="006A3C56"/>
    <w:rsid w:val="006A47D3"/>
    <w:rsid w:val="006A4AB2"/>
    <w:rsid w:val="006A4BF2"/>
    <w:rsid w:val="006A4E4E"/>
    <w:rsid w:val="006A5ADA"/>
    <w:rsid w:val="006A603C"/>
    <w:rsid w:val="006A6633"/>
    <w:rsid w:val="006A7275"/>
    <w:rsid w:val="006B0DCE"/>
    <w:rsid w:val="006B1274"/>
    <w:rsid w:val="006B1B20"/>
    <w:rsid w:val="006B1B46"/>
    <w:rsid w:val="006B222D"/>
    <w:rsid w:val="006B25A1"/>
    <w:rsid w:val="006B26B4"/>
    <w:rsid w:val="006B29BA"/>
    <w:rsid w:val="006B2F7D"/>
    <w:rsid w:val="006B340A"/>
    <w:rsid w:val="006B3F02"/>
    <w:rsid w:val="006B4B09"/>
    <w:rsid w:val="006B592F"/>
    <w:rsid w:val="006B5D5F"/>
    <w:rsid w:val="006B6667"/>
    <w:rsid w:val="006B726D"/>
    <w:rsid w:val="006B773F"/>
    <w:rsid w:val="006B7A06"/>
    <w:rsid w:val="006B7A79"/>
    <w:rsid w:val="006B7ADA"/>
    <w:rsid w:val="006C035B"/>
    <w:rsid w:val="006C07B5"/>
    <w:rsid w:val="006C0843"/>
    <w:rsid w:val="006C0B97"/>
    <w:rsid w:val="006C0DC5"/>
    <w:rsid w:val="006C12B6"/>
    <w:rsid w:val="006C13D8"/>
    <w:rsid w:val="006C15E4"/>
    <w:rsid w:val="006C1A93"/>
    <w:rsid w:val="006C1CD8"/>
    <w:rsid w:val="006C22FC"/>
    <w:rsid w:val="006C232B"/>
    <w:rsid w:val="006C2367"/>
    <w:rsid w:val="006C23C7"/>
    <w:rsid w:val="006C2421"/>
    <w:rsid w:val="006C2B42"/>
    <w:rsid w:val="006C35B1"/>
    <w:rsid w:val="006C39CF"/>
    <w:rsid w:val="006C3ADE"/>
    <w:rsid w:val="006C4051"/>
    <w:rsid w:val="006C4AAE"/>
    <w:rsid w:val="006C55E9"/>
    <w:rsid w:val="006C5B32"/>
    <w:rsid w:val="006C62ED"/>
    <w:rsid w:val="006C6BD1"/>
    <w:rsid w:val="006C71AA"/>
    <w:rsid w:val="006C71FC"/>
    <w:rsid w:val="006C755F"/>
    <w:rsid w:val="006D02CB"/>
    <w:rsid w:val="006D0850"/>
    <w:rsid w:val="006D1170"/>
    <w:rsid w:val="006D125A"/>
    <w:rsid w:val="006D2233"/>
    <w:rsid w:val="006D3C9A"/>
    <w:rsid w:val="006D3FF9"/>
    <w:rsid w:val="006D4048"/>
    <w:rsid w:val="006D41C8"/>
    <w:rsid w:val="006D42B2"/>
    <w:rsid w:val="006D5000"/>
    <w:rsid w:val="006D53B8"/>
    <w:rsid w:val="006D5C13"/>
    <w:rsid w:val="006D6297"/>
    <w:rsid w:val="006D62AD"/>
    <w:rsid w:val="006D6B6D"/>
    <w:rsid w:val="006D6F75"/>
    <w:rsid w:val="006D7E85"/>
    <w:rsid w:val="006E0D68"/>
    <w:rsid w:val="006E0DD0"/>
    <w:rsid w:val="006E19CF"/>
    <w:rsid w:val="006E1C6B"/>
    <w:rsid w:val="006E2064"/>
    <w:rsid w:val="006E282C"/>
    <w:rsid w:val="006E2A6B"/>
    <w:rsid w:val="006E2BDE"/>
    <w:rsid w:val="006E2DA5"/>
    <w:rsid w:val="006E4BFC"/>
    <w:rsid w:val="006E4D6A"/>
    <w:rsid w:val="006E5476"/>
    <w:rsid w:val="006E5C8D"/>
    <w:rsid w:val="006E612D"/>
    <w:rsid w:val="006E6FB3"/>
    <w:rsid w:val="006E771B"/>
    <w:rsid w:val="006E7B67"/>
    <w:rsid w:val="006F031E"/>
    <w:rsid w:val="006F0F5E"/>
    <w:rsid w:val="006F1467"/>
    <w:rsid w:val="006F1516"/>
    <w:rsid w:val="006F2F8F"/>
    <w:rsid w:val="006F3259"/>
    <w:rsid w:val="006F48B9"/>
    <w:rsid w:val="006F4F9E"/>
    <w:rsid w:val="006F5186"/>
    <w:rsid w:val="006F51FA"/>
    <w:rsid w:val="006F533F"/>
    <w:rsid w:val="006F5E84"/>
    <w:rsid w:val="006F6014"/>
    <w:rsid w:val="006F6473"/>
    <w:rsid w:val="006F6E79"/>
    <w:rsid w:val="00700511"/>
    <w:rsid w:val="00700CF3"/>
    <w:rsid w:val="00700E19"/>
    <w:rsid w:val="007017B8"/>
    <w:rsid w:val="00701823"/>
    <w:rsid w:val="00701C45"/>
    <w:rsid w:val="00701CF4"/>
    <w:rsid w:val="0070308F"/>
    <w:rsid w:val="00703223"/>
    <w:rsid w:val="00703CC3"/>
    <w:rsid w:val="00703DF0"/>
    <w:rsid w:val="007051A7"/>
    <w:rsid w:val="00705252"/>
    <w:rsid w:val="00705301"/>
    <w:rsid w:val="007057CA"/>
    <w:rsid w:val="00705E5A"/>
    <w:rsid w:val="007063F7"/>
    <w:rsid w:val="00706A43"/>
    <w:rsid w:val="00707A5D"/>
    <w:rsid w:val="00710851"/>
    <w:rsid w:val="007118C8"/>
    <w:rsid w:val="0071195E"/>
    <w:rsid w:val="0071257F"/>
    <w:rsid w:val="0071281E"/>
    <w:rsid w:val="00712C5A"/>
    <w:rsid w:val="00713C16"/>
    <w:rsid w:val="007151C1"/>
    <w:rsid w:val="00715240"/>
    <w:rsid w:val="00715437"/>
    <w:rsid w:val="007177E5"/>
    <w:rsid w:val="00717936"/>
    <w:rsid w:val="00717A4B"/>
    <w:rsid w:val="007205D5"/>
    <w:rsid w:val="0072069D"/>
    <w:rsid w:val="007214E4"/>
    <w:rsid w:val="00721757"/>
    <w:rsid w:val="00721BAB"/>
    <w:rsid w:val="00723434"/>
    <w:rsid w:val="007241B2"/>
    <w:rsid w:val="0072434B"/>
    <w:rsid w:val="00725627"/>
    <w:rsid w:val="00725A70"/>
    <w:rsid w:val="00725A74"/>
    <w:rsid w:val="007275EE"/>
    <w:rsid w:val="00731F71"/>
    <w:rsid w:val="00733191"/>
    <w:rsid w:val="007337BC"/>
    <w:rsid w:val="00733931"/>
    <w:rsid w:val="00734F33"/>
    <w:rsid w:val="00735109"/>
    <w:rsid w:val="00735329"/>
    <w:rsid w:val="007353FB"/>
    <w:rsid w:val="00735495"/>
    <w:rsid w:val="00735979"/>
    <w:rsid w:val="00735BEF"/>
    <w:rsid w:val="007365E8"/>
    <w:rsid w:val="0074080E"/>
    <w:rsid w:val="0074134C"/>
    <w:rsid w:val="0074166F"/>
    <w:rsid w:val="0074195E"/>
    <w:rsid w:val="00741B29"/>
    <w:rsid w:val="00741E3E"/>
    <w:rsid w:val="00743718"/>
    <w:rsid w:val="00743DE9"/>
    <w:rsid w:val="0074407E"/>
    <w:rsid w:val="0074435A"/>
    <w:rsid w:val="0074454E"/>
    <w:rsid w:val="00744ED6"/>
    <w:rsid w:val="00745700"/>
    <w:rsid w:val="00746139"/>
    <w:rsid w:val="00746B34"/>
    <w:rsid w:val="00746D67"/>
    <w:rsid w:val="007474A1"/>
    <w:rsid w:val="00747985"/>
    <w:rsid w:val="00747A7C"/>
    <w:rsid w:val="00747FF3"/>
    <w:rsid w:val="00751106"/>
    <w:rsid w:val="00753809"/>
    <w:rsid w:val="00753E93"/>
    <w:rsid w:val="00754BEF"/>
    <w:rsid w:val="00754DDC"/>
    <w:rsid w:val="00756C59"/>
    <w:rsid w:val="00756E3C"/>
    <w:rsid w:val="0076008B"/>
    <w:rsid w:val="007606D8"/>
    <w:rsid w:val="00760F8F"/>
    <w:rsid w:val="00761A2A"/>
    <w:rsid w:val="00761C80"/>
    <w:rsid w:val="00761CE7"/>
    <w:rsid w:val="00762889"/>
    <w:rsid w:val="00762914"/>
    <w:rsid w:val="00762B78"/>
    <w:rsid w:val="00762C23"/>
    <w:rsid w:val="007639B7"/>
    <w:rsid w:val="007648DA"/>
    <w:rsid w:val="00764AC1"/>
    <w:rsid w:val="00764C84"/>
    <w:rsid w:val="00765AF5"/>
    <w:rsid w:val="00765C77"/>
    <w:rsid w:val="00765DA4"/>
    <w:rsid w:val="007664FF"/>
    <w:rsid w:val="00766C9F"/>
    <w:rsid w:val="00766CD1"/>
    <w:rsid w:val="007678DA"/>
    <w:rsid w:val="00767B04"/>
    <w:rsid w:val="00770F1D"/>
    <w:rsid w:val="00771583"/>
    <w:rsid w:val="0077180C"/>
    <w:rsid w:val="00772A1C"/>
    <w:rsid w:val="00772C36"/>
    <w:rsid w:val="00772E37"/>
    <w:rsid w:val="00774AEB"/>
    <w:rsid w:val="0077507A"/>
    <w:rsid w:val="0077546D"/>
    <w:rsid w:val="00775BB0"/>
    <w:rsid w:val="00775C62"/>
    <w:rsid w:val="00775D92"/>
    <w:rsid w:val="0077602B"/>
    <w:rsid w:val="00777562"/>
    <w:rsid w:val="007777CB"/>
    <w:rsid w:val="00777B77"/>
    <w:rsid w:val="00780484"/>
    <w:rsid w:val="0078090A"/>
    <w:rsid w:val="00781343"/>
    <w:rsid w:val="00781752"/>
    <w:rsid w:val="00781D50"/>
    <w:rsid w:val="00781EE2"/>
    <w:rsid w:val="0078283C"/>
    <w:rsid w:val="007843B5"/>
    <w:rsid w:val="00784532"/>
    <w:rsid w:val="0078459D"/>
    <w:rsid w:val="00784DD8"/>
    <w:rsid w:val="00785AEE"/>
    <w:rsid w:val="00785EFF"/>
    <w:rsid w:val="0078746D"/>
    <w:rsid w:val="00787A17"/>
    <w:rsid w:val="00787ACC"/>
    <w:rsid w:val="00787B84"/>
    <w:rsid w:val="0079002F"/>
    <w:rsid w:val="007909CC"/>
    <w:rsid w:val="00790E3F"/>
    <w:rsid w:val="007917B9"/>
    <w:rsid w:val="0079265C"/>
    <w:rsid w:val="00793570"/>
    <w:rsid w:val="00794A91"/>
    <w:rsid w:val="00794C44"/>
    <w:rsid w:val="00794D96"/>
    <w:rsid w:val="00795155"/>
    <w:rsid w:val="00795390"/>
    <w:rsid w:val="007953AB"/>
    <w:rsid w:val="00795418"/>
    <w:rsid w:val="00795482"/>
    <w:rsid w:val="007955E3"/>
    <w:rsid w:val="00795822"/>
    <w:rsid w:val="00796281"/>
    <w:rsid w:val="00796347"/>
    <w:rsid w:val="0079634F"/>
    <w:rsid w:val="007A0C03"/>
    <w:rsid w:val="007A1142"/>
    <w:rsid w:val="007A12A3"/>
    <w:rsid w:val="007A151B"/>
    <w:rsid w:val="007A2FF1"/>
    <w:rsid w:val="007A31CF"/>
    <w:rsid w:val="007A31D4"/>
    <w:rsid w:val="007A372B"/>
    <w:rsid w:val="007A3CDA"/>
    <w:rsid w:val="007A3EE4"/>
    <w:rsid w:val="007A438A"/>
    <w:rsid w:val="007A5CFC"/>
    <w:rsid w:val="007A5D19"/>
    <w:rsid w:val="007A7137"/>
    <w:rsid w:val="007A749A"/>
    <w:rsid w:val="007B0088"/>
    <w:rsid w:val="007B00DD"/>
    <w:rsid w:val="007B09AD"/>
    <w:rsid w:val="007B1349"/>
    <w:rsid w:val="007B2794"/>
    <w:rsid w:val="007B32CA"/>
    <w:rsid w:val="007B3CAE"/>
    <w:rsid w:val="007B3EF2"/>
    <w:rsid w:val="007B4496"/>
    <w:rsid w:val="007B4C28"/>
    <w:rsid w:val="007B5486"/>
    <w:rsid w:val="007B586F"/>
    <w:rsid w:val="007B5D59"/>
    <w:rsid w:val="007B6484"/>
    <w:rsid w:val="007B7763"/>
    <w:rsid w:val="007B77F0"/>
    <w:rsid w:val="007B78EF"/>
    <w:rsid w:val="007B7D64"/>
    <w:rsid w:val="007C0427"/>
    <w:rsid w:val="007C042C"/>
    <w:rsid w:val="007C04A6"/>
    <w:rsid w:val="007C0BE5"/>
    <w:rsid w:val="007C0EA2"/>
    <w:rsid w:val="007C2A2C"/>
    <w:rsid w:val="007C2D49"/>
    <w:rsid w:val="007C597B"/>
    <w:rsid w:val="007C6240"/>
    <w:rsid w:val="007C63B3"/>
    <w:rsid w:val="007C6543"/>
    <w:rsid w:val="007C68DC"/>
    <w:rsid w:val="007C7504"/>
    <w:rsid w:val="007D03E6"/>
    <w:rsid w:val="007D0E83"/>
    <w:rsid w:val="007D208D"/>
    <w:rsid w:val="007D2245"/>
    <w:rsid w:val="007D241B"/>
    <w:rsid w:val="007D2EEA"/>
    <w:rsid w:val="007D38C2"/>
    <w:rsid w:val="007D3D27"/>
    <w:rsid w:val="007D3E28"/>
    <w:rsid w:val="007D3E8E"/>
    <w:rsid w:val="007D40FE"/>
    <w:rsid w:val="007D43BA"/>
    <w:rsid w:val="007D4BB3"/>
    <w:rsid w:val="007D4E1A"/>
    <w:rsid w:val="007D5D4B"/>
    <w:rsid w:val="007D5DC2"/>
    <w:rsid w:val="007D5F83"/>
    <w:rsid w:val="007D65A9"/>
    <w:rsid w:val="007D7B0B"/>
    <w:rsid w:val="007E0447"/>
    <w:rsid w:val="007E080F"/>
    <w:rsid w:val="007E0F58"/>
    <w:rsid w:val="007E1552"/>
    <w:rsid w:val="007E22A3"/>
    <w:rsid w:val="007E3246"/>
    <w:rsid w:val="007E332D"/>
    <w:rsid w:val="007E340D"/>
    <w:rsid w:val="007E4FD2"/>
    <w:rsid w:val="007E5553"/>
    <w:rsid w:val="007E56E9"/>
    <w:rsid w:val="007E6E88"/>
    <w:rsid w:val="007E70ED"/>
    <w:rsid w:val="007F0257"/>
    <w:rsid w:val="007F0949"/>
    <w:rsid w:val="007F0BF4"/>
    <w:rsid w:val="007F0C66"/>
    <w:rsid w:val="007F0E35"/>
    <w:rsid w:val="007F14A1"/>
    <w:rsid w:val="007F1CD3"/>
    <w:rsid w:val="007F1CE0"/>
    <w:rsid w:val="007F1E66"/>
    <w:rsid w:val="007F207F"/>
    <w:rsid w:val="007F20A0"/>
    <w:rsid w:val="007F2EC1"/>
    <w:rsid w:val="007F3155"/>
    <w:rsid w:val="007F4241"/>
    <w:rsid w:val="007F4ADC"/>
    <w:rsid w:val="007F6364"/>
    <w:rsid w:val="007F63FF"/>
    <w:rsid w:val="007F7477"/>
    <w:rsid w:val="007F7848"/>
    <w:rsid w:val="007F7BB7"/>
    <w:rsid w:val="0080045D"/>
    <w:rsid w:val="008005B2"/>
    <w:rsid w:val="00800D89"/>
    <w:rsid w:val="008011B6"/>
    <w:rsid w:val="00802702"/>
    <w:rsid w:val="008031FD"/>
    <w:rsid w:val="00803395"/>
    <w:rsid w:val="00803AA7"/>
    <w:rsid w:val="00803B17"/>
    <w:rsid w:val="00804294"/>
    <w:rsid w:val="00804456"/>
    <w:rsid w:val="00804B56"/>
    <w:rsid w:val="00804BDA"/>
    <w:rsid w:val="00805450"/>
    <w:rsid w:val="00805CBB"/>
    <w:rsid w:val="00806552"/>
    <w:rsid w:val="00807113"/>
    <w:rsid w:val="00807508"/>
    <w:rsid w:val="00807574"/>
    <w:rsid w:val="00807B81"/>
    <w:rsid w:val="00810AD5"/>
    <w:rsid w:val="00811550"/>
    <w:rsid w:val="00811B26"/>
    <w:rsid w:val="00811EEC"/>
    <w:rsid w:val="00812766"/>
    <w:rsid w:val="00812B73"/>
    <w:rsid w:val="008131CA"/>
    <w:rsid w:val="008135BA"/>
    <w:rsid w:val="00814186"/>
    <w:rsid w:val="008143EA"/>
    <w:rsid w:val="00814DCC"/>
    <w:rsid w:val="00814EB3"/>
    <w:rsid w:val="00814F3B"/>
    <w:rsid w:val="00815098"/>
    <w:rsid w:val="00815301"/>
    <w:rsid w:val="00815678"/>
    <w:rsid w:val="00815C05"/>
    <w:rsid w:val="00815DB7"/>
    <w:rsid w:val="008162C9"/>
    <w:rsid w:val="00816734"/>
    <w:rsid w:val="00816A97"/>
    <w:rsid w:val="00817E8B"/>
    <w:rsid w:val="008200B7"/>
    <w:rsid w:val="00820921"/>
    <w:rsid w:val="00820B85"/>
    <w:rsid w:val="00820C90"/>
    <w:rsid w:val="00820CA3"/>
    <w:rsid w:val="00821120"/>
    <w:rsid w:val="0082165A"/>
    <w:rsid w:val="008217BC"/>
    <w:rsid w:val="008219E3"/>
    <w:rsid w:val="00821F74"/>
    <w:rsid w:val="00822061"/>
    <w:rsid w:val="00822936"/>
    <w:rsid w:val="00822F59"/>
    <w:rsid w:val="008239C9"/>
    <w:rsid w:val="00823AD4"/>
    <w:rsid w:val="0082475E"/>
    <w:rsid w:val="00824E80"/>
    <w:rsid w:val="0082530E"/>
    <w:rsid w:val="008260FE"/>
    <w:rsid w:val="008268A7"/>
    <w:rsid w:val="00827ED2"/>
    <w:rsid w:val="00831096"/>
    <w:rsid w:val="00831825"/>
    <w:rsid w:val="00831F86"/>
    <w:rsid w:val="0083296F"/>
    <w:rsid w:val="00833838"/>
    <w:rsid w:val="00833C7E"/>
    <w:rsid w:val="00834494"/>
    <w:rsid w:val="00834972"/>
    <w:rsid w:val="00834E9F"/>
    <w:rsid w:val="00835674"/>
    <w:rsid w:val="00836A18"/>
    <w:rsid w:val="008377C4"/>
    <w:rsid w:val="00837812"/>
    <w:rsid w:val="0084070D"/>
    <w:rsid w:val="00840933"/>
    <w:rsid w:val="00840B55"/>
    <w:rsid w:val="00840DEC"/>
    <w:rsid w:val="00841556"/>
    <w:rsid w:val="008417E7"/>
    <w:rsid w:val="00841DC3"/>
    <w:rsid w:val="00841DED"/>
    <w:rsid w:val="00841EDE"/>
    <w:rsid w:val="0084230C"/>
    <w:rsid w:val="00842BB3"/>
    <w:rsid w:val="00842D74"/>
    <w:rsid w:val="008438FA"/>
    <w:rsid w:val="0084392E"/>
    <w:rsid w:val="00843D79"/>
    <w:rsid w:val="0084484D"/>
    <w:rsid w:val="00846B04"/>
    <w:rsid w:val="008474AA"/>
    <w:rsid w:val="00847B0D"/>
    <w:rsid w:val="00847FD1"/>
    <w:rsid w:val="008505FC"/>
    <w:rsid w:val="00850EB2"/>
    <w:rsid w:val="00851496"/>
    <w:rsid w:val="008518F8"/>
    <w:rsid w:val="0085192F"/>
    <w:rsid w:val="00852494"/>
    <w:rsid w:val="0085298F"/>
    <w:rsid w:val="008537B8"/>
    <w:rsid w:val="00853897"/>
    <w:rsid w:val="0085434E"/>
    <w:rsid w:val="008548CA"/>
    <w:rsid w:val="00854A9C"/>
    <w:rsid w:val="00855345"/>
    <w:rsid w:val="00855544"/>
    <w:rsid w:val="0085568C"/>
    <w:rsid w:val="00855991"/>
    <w:rsid w:val="008559A8"/>
    <w:rsid w:val="00855DD2"/>
    <w:rsid w:val="00856562"/>
    <w:rsid w:val="00856578"/>
    <w:rsid w:val="00856C93"/>
    <w:rsid w:val="00857386"/>
    <w:rsid w:val="00857C4E"/>
    <w:rsid w:val="00857D29"/>
    <w:rsid w:val="008607B6"/>
    <w:rsid w:val="008608FB"/>
    <w:rsid w:val="00860B1A"/>
    <w:rsid w:val="00860FCE"/>
    <w:rsid w:val="00861095"/>
    <w:rsid w:val="00861471"/>
    <w:rsid w:val="00861591"/>
    <w:rsid w:val="0086185E"/>
    <w:rsid w:val="008618C1"/>
    <w:rsid w:val="00861FE1"/>
    <w:rsid w:val="0086247B"/>
    <w:rsid w:val="00862484"/>
    <w:rsid w:val="00862F12"/>
    <w:rsid w:val="00862FBD"/>
    <w:rsid w:val="008634F4"/>
    <w:rsid w:val="008638B9"/>
    <w:rsid w:val="00864701"/>
    <w:rsid w:val="0086562E"/>
    <w:rsid w:val="00865C18"/>
    <w:rsid w:val="00866074"/>
    <w:rsid w:val="008715CB"/>
    <w:rsid w:val="00871AD2"/>
    <w:rsid w:val="00871FDD"/>
    <w:rsid w:val="00872B93"/>
    <w:rsid w:val="0087315E"/>
    <w:rsid w:val="00873E08"/>
    <w:rsid w:val="008745DC"/>
    <w:rsid w:val="0087466A"/>
    <w:rsid w:val="008746EA"/>
    <w:rsid w:val="00874798"/>
    <w:rsid w:val="00875AE0"/>
    <w:rsid w:val="00875D16"/>
    <w:rsid w:val="00876439"/>
    <w:rsid w:val="00876668"/>
    <w:rsid w:val="0087676A"/>
    <w:rsid w:val="00876D73"/>
    <w:rsid w:val="00876DA8"/>
    <w:rsid w:val="00877541"/>
    <w:rsid w:val="00877875"/>
    <w:rsid w:val="00877DD1"/>
    <w:rsid w:val="00881185"/>
    <w:rsid w:val="00881547"/>
    <w:rsid w:val="0088165E"/>
    <w:rsid w:val="00881724"/>
    <w:rsid w:val="00881F74"/>
    <w:rsid w:val="00882244"/>
    <w:rsid w:val="00882989"/>
    <w:rsid w:val="00882B0E"/>
    <w:rsid w:val="00883997"/>
    <w:rsid w:val="00883F39"/>
    <w:rsid w:val="008848B8"/>
    <w:rsid w:val="00884BD2"/>
    <w:rsid w:val="00884D77"/>
    <w:rsid w:val="008861FB"/>
    <w:rsid w:val="008865DE"/>
    <w:rsid w:val="00886A23"/>
    <w:rsid w:val="008872E0"/>
    <w:rsid w:val="00890033"/>
    <w:rsid w:val="008902FE"/>
    <w:rsid w:val="008906C2"/>
    <w:rsid w:val="00890C39"/>
    <w:rsid w:val="00890F95"/>
    <w:rsid w:val="0089170F"/>
    <w:rsid w:val="00891B48"/>
    <w:rsid w:val="00891C08"/>
    <w:rsid w:val="00891F73"/>
    <w:rsid w:val="00891FD7"/>
    <w:rsid w:val="008920F7"/>
    <w:rsid w:val="00892159"/>
    <w:rsid w:val="00892388"/>
    <w:rsid w:val="008924E9"/>
    <w:rsid w:val="008935F7"/>
    <w:rsid w:val="00893889"/>
    <w:rsid w:val="00893F63"/>
    <w:rsid w:val="00893F7C"/>
    <w:rsid w:val="008948D5"/>
    <w:rsid w:val="00894C3E"/>
    <w:rsid w:val="0089526D"/>
    <w:rsid w:val="00895A2E"/>
    <w:rsid w:val="00895AD2"/>
    <w:rsid w:val="00895B47"/>
    <w:rsid w:val="00896153"/>
    <w:rsid w:val="008969EC"/>
    <w:rsid w:val="00897D89"/>
    <w:rsid w:val="008A0947"/>
    <w:rsid w:val="008A1840"/>
    <w:rsid w:val="008A2178"/>
    <w:rsid w:val="008A2931"/>
    <w:rsid w:val="008A29E8"/>
    <w:rsid w:val="008A3981"/>
    <w:rsid w:val="008A42B8"/>
    <w:rsid w:val="008A4558"/>
    <w:rsid w:val="008A602F"/>
    <w:rsid w:val="008A655B"/>
    <w:rsid w:val="008A6A85"/>
    <w:rsid w:val="008A753F"/>
    <w:rsid w:val="008A7BA3"/>
    <w:rsid w:val="008B0C55"/>
    <w:rsid w:val="008B1109"/>
    <w:rsid w:val="008B1C51"/>
    <w:rsid w:val="008B1F4D"/>
    <w:rsid w:val="008B1F97"/>
    <w:rsid w:val="008B22B9"/>
    <w:rsid w:val="008B25BF"/>
    <w:rsid w:val="008B25E0"/>
    <w:rsid w:val="008B313D"/>
    <w:rsid w:val="008B31D1"/>
    <w:rsid w:val="008B372F"/>
    <w:rsid w:val="008B3832"/>
    <w:rsid w:val="008B389D"/>
    <w:rsid w:val="008B3A7F"/>
    <w:rsid w:val="008B3E3B"/>
    <w:rsid w:val="008B4925"/>
    <w:rsid w:val="008B505D"/>
    <w:rsid w:val="008B5101"/>
    <w:rsid w:val="008B6082"/>
    <w:rsid w:val="008B658F"/>
    <w:rsid w:val="008B6840"/>
    <w:rsid w:val="008B7096"/>
    <w:rsid w:val="008B77C9"/>
    <w:rsid w:val="008C0A0E"/>
    <w:rsid w:val="008C0BEE"/>
    <w:rsid w:val="008C0F0C"/>
    <w:rsid w:val="008C1346"/>
    <w:rsid w:val="008C141D"/>
    <w:rsid w:val="008C1AEB"/>
    <w:rsid w:val="008C2445"/>
    <w:rsid w:val="008C2C61"/>
    <w:rsid w:val="008C3518"/>
    <w:rsid w:val="008C359F"/>
    <w:rsid w:val="008C3EA6"/>
    <w:rsid w:val="008C4038"/>
    <w:rsid w:val="008C467F"/>
    <w:rsid w:val="008C4C33"/>
    <w:rsid w:val="008C507E"/>
    <w:rsid w:val="008C52FF"/>
    <w:rsid w:val="008C5AFE"/>
    <w:rsid w:val="008C6D7A"/>
    <w:rsid w:val="008C7709"/>
    <w:rsid w:val="008C7E30"/>
    <w:rsid w:val="008D07C0"/>
    <w:rsid w:val="008D0A91"/>
    <w:rsid w:val="008D0B63"/>
    <w:rsid w:val="008D0F8E"/>
    <w:rsid w:val="008D200A"/>
    <w:rsid w:val="008D2B1F"/>
    <w:rsid w:val="008D2B5D"/>
    <w:rsid w:val="008D2C4F"/>
    <w:rsid w:val="008D2E10"/>
    <w:rsid w:val="008D56C1"/>
    <w:rsid w:val="008D596B"/>
    <w:rsid w:val="008D5EBE"/>
    <w:rsid w:val="008D7752"/>
    <w:rsid w:val="008E2173"/>
    <w:rsid w:val="008E21DF"/>
    <w:rsid w:val="008E23A4"/>
    <w:rsid w:val="008E255F"/>
    <w:rsid w:val="008E2BA0"/>
    <w:rsid w:val="008E30B1"/>
    <w:rsid w:val="008E3556"/>
    <w:rsid w:val="008E3963"/>
    <w:rsid w:val="008E4A74"/>
    <w:rsid w:val="008E4DFD"/>
    <w:rsid w:val="008E4E28"/>
    <w:rsid w:val="008E5DFA"/>
    <w:rsid w:val="008E676B"/>
    <w:rsid w:val="008E6B65"/>
    <w:rsid w:val="008E72F7"/>
    <w:rsid w:val="008E76B3"/>
    <w:rsid w:val="008E76E1"/>
    <w:rsid w:val="008E79AC"/>
    <w:rsid w:val="008E7A42"/>
    <w:rsid w:val="008F040C"/>
    <w:rsid w:val="008F04CB"/>
    <w:rsid w:val="008F124F"/>
    <w:rsid w:val="008F14EB"/>
    <w:rsid w:val="008F1E2D"/>
    <w:rsid w:val="008F269E"/>
    <w:rsid w:val="008F2766"/>
    <w:rsid w:val="008F2D88"/>
    <w:rsid w:val="008F3313"/>
    <w:rsid w:val="008F389D"/>
    <w:rsid w:val="008F4408"/>
    <w:rsid w:val="008F5C28"/>
    <w:rsid w:val="008F5CEF"/>
    <w:rsid w:val="008F6496"/>
    <w:rsid w:val="008F68AC"/>
    <w:rsid w:val="008F6A0F"/>
    <w:rsid w:val="008F6C09"/>
    <w:rsid w:val="008F6C4C"/>
    <w:rsid w:val="008F7262"/>
    <w:rsid w:val="008F7960"/>
    <w:rsid w:val="008F7BE6"/>
    <w:rsid w:val="0090050E"/>
    <w:rsid w:val="00900A43"/>
    <w:rsid w:val="00901801"/>
    <w:rsid w:val="00901AB5"/>
    <w:rsid w:val="00901D14"/>
    <w:rsid w:val="00901D59"/>
    <w:rsid w:val="009029F1"/>
    <w:rsid w:val="00902DBA"/>
    <w:rsid w:val="00902EFF"/>
    <w:rsid w:val="00903294"/>
    <w:rsid w:val="00903768"/>
    <w:rsid w:val="00903DA5"/>
    <w:rsid w:val="009046BF"/>
    <w:rsid w:val="00905469"/>
    <w:rsid w:val="0090565E"/>
    <w:rsid w:val="00905C6A"/>
    <w:rsid w:val="00905F02"/>
    <w:rsid w:val="0090612C"/>
    <w:rsid w:val="00906248"/>
    <w:rsid w:val="00906EFA"/>
    <w:rsid w:val="00907161"/>
    <w:rsid w:val="00910596"/>
    <w:rsid w:val="009120B0"/>
    <w:rsid w:val="009120D6"/>
    <w:rsid w:val="009121BD"/>
    <w:rsid w:val="009134C3"/>
    <w:rsid w:val="0091354C"/>
    <w:rsid w:val="00913701"/>
    <w:rsid w:val="0091421D"/>
    <w:rsid w:val="0091451A"/>
    <w:rsid w:val="00914724"/>
    <w:rsid w:val="00914B0A"/>
    <w:rsid w:val="00914BF2"/>
    <w:rsid w:val="00914FC1"/>
    <w:rsid w:val="0091568C"/>
    <w:rsid w:val="009157E2"/>
    <w:rsid w:val="00916372"/>
    <w:rsid w:val="00916457"/>
    <w:rsid w:val="0091680D"/>
    <w:rsid w:val="009168F3"/>
    <w:rsid w:val="00916B56"/>
    <w:rsid w:val="00916D11"/>
    <w:rsid w:val="00916FB6"/>
    <w:rsid w:val="00920AD6"/>
    <w:rsid w:val="00920B8F"/>
    <w:rsid w:val="0092136C"/>
    <w:rsid w:val="009215F2"/>
    <w:rsid w:val="00921C3D"/>
    <w:rsid w:val="00921DE2"/>
    <w:rsid w:val="009226DB"/>
    <w:rsid w:val="00922ED0"/>
    <w:rsid w:val="009231A7"/>
    <w:rsid w:val="00923BF9"/>
    <w:rsid w:val="00923E5F"/>
    <w:rsid w:val="00923FFA"/>
    <w:rsid w:val="009240F1"/>
    <w:rsid w:val="0092527F"/>
    <w:rsid w:val="009254D5"/>
    <w:rsid w:val="00925809"/>
    <w:rsid w:val="0092596A"/>
    <w:rsid w:val="00925DBA"/>
    <w:rsid w:val="00925EFF"/>
    <w:rsid w:val="009261C2"/>
    <w:rsid w:val="00926247"/>
    <w:rsid w:val="0092738E"/>
    <w:rsid w:val="00927582"/>
    <w:rsid w:val="009275E4"/>
    <w:rsid w:val="009300D2"/>
    <w:rsid w:val="0093078A"/>
    <w:rsid w:val="00930930"/>
    <w:rsid w:val="009313B6"/>
    <w:rsid w:val="009316CE"/>
    <w:rsid w:val="00931BA9"/>
    <w:rsid w:val="00931CFE"/>
    <w:rsid w:val="00932124"/>
    <w:rsid w:val="00932BCE"/>
    <w:rsid w:val="00933061"/>
    <w:rsid w:val="00933CFD"/>
    <w:rsid w:val="009340D4"/>
    <w:rsid w:val="009348AF"/>
    <w:rsid w:val="00935355"/>
    <w:rsid w:val="00935703"/>
    <w:rsid w:val="009358FD"/>
    <w:rsid w:val="009364F8"/>
    <w:rsid w:val="009369E2"/>
    <w:rsid w:val="00936F54"/>
    <w:rsid w:val="00937427"/>
    <w:rsid w:val="009378A8"/>
    <w:rsid w:val="0094083C"/>
    <w:rsid w:val="0094125D"/>
    <w:rsid w:val="00941501"/>
    <w:rsid w:val="00941667"/>
    <w:rsid w:val="00941F0E"/>
    <w:rsid w:val="009421E7"/>
    <w:rsid w:val="0094228A"/>
    <w:rsid w:val="00942CFC"/>
    <w:rsid w:val="00942F5C"/>
    <w:rsid w:val="00942FB8"/>
    <w:rsid w:val="009435EC"/>
    <w:rsid w:val="009437A0"/>
    <w:rsid w:val="0094392E"/>
    <w:rsid w:val="00943F64"/>
    <w:rsid w:val="0094495E"/>
    <w:rsid w:val="00946005"/>
    <w:rsid w:val="009461FB"/>
    <w:rsid w:val="00946268"/>
    <w:rsid w:val="009476F2"/>
    <w:rsid w:val="00947973"/>
    <w:rsid w:val="009479D3"/>
    <w:rsid w:val="009509F6"/>
    <w:rsid w:val="00950E27"/>
    <w:rsid w:val="00950EDC"/>
    <w:rsid w:val="009522AD"/>
    <w:rsid w:val="0095252E"/>
    <w:rsid w:val="009530F3"/>
    <w:rsid w:val="00954CD6"/>
    <w:rsid w:val="0095541F"/>
    <w:rsid w:val="009554DD"/>
    <w:rsid w:val="00955E45"/>
    <w:rsid w:val="0095612F"/>
    <w:rsid w:val="009563DB"/>
    <w:rsid w:val="009569F9"/>
    <w:rsid w:val="00956DCF"/>
    <w:rsid w:val="00957106"/>
    <w:rsid w:val="009576CC"/>
    <w:rsid w:val="009602AE"/>
    <w:rsid w:val="009617E5"/>
    <w:rsid w:val="00962BD5"/>
    <w:rsid w:val="009634E8"/>
    <w:rsid w:val="009636BF"/>
    <w:rsid w:val="00964398"/>
    <w:rsid w:val="00965183"/>
    <w:rsid w:val="0096561E"/>
    <w:rsid w:val="00965AB3"/>
    <w:rsid w:val="00965CC2"/>
    <w:rsid w:val="0096645D"/>
    <w:rsid w:val="00967248"/>
    <w:rsid w:val="00967CED"/>
    <w:rsid w:val="00967F1F"/>
    <w:rsid w:val="009701E3"/>
    <w:rsid w:val="00970366"/>
    <w:rsid w:val="00970D6C"/>
    <w:rsid w:val="00971136"/>
    <w:rsid w:val="00971518"/>
    <w:rsid w:val="0097169B"/>
    <w:rsid w:val="009722CC"/>
    <w:rsid w:val="009729DE"/>
    <w:rsid w:val="00972A5C"/>
    <w:rsid w:val="009732C8"/>
    <w:rsid w:val="0097379D"/>
    <w:rsid w:val="00973E3C"/>
    <w:rsid w:val="009741F8"/>
    <w:rsid w:val="0097523B"/>
    <w:rsid w:val="00975268"/>
    <w:rsid w:val="0097580F"/>
    <w:rsid w:val="009758AF"/>
    <w:rsid w:val="009763B6"/>
    <w:rsid w:val="00976E39"/>
    <w:rsid w:val="00976F88"/>
    <w:rsid w:val="00977261"/>
    <w:rsid w:val="0097752A"/>
    <w:rsid w:val="00980268"/>
    <w:rsid w:val="00980B0E"/>
    <w:rsid w:val="00981A0D"/>
    <w:rsid w:val="00982498"/>
    <w:rsid w:val="00982667"/>
    <w:rsid w:val="00982FD8"/>
    <w:rsid w:val="009835C6"/>
    <w:rsid w:val="00983AD9"/>
    <w:rsid w:val="009849C9"/>
    <w:rsid w:val="00985A2D"/>
    <w:rsid w:val="0098722F"/>
    <w:rsid w:val="00990092"/>
    <w:rsid w:val="00990184"/>
    <w:rsid w:val="0099059C"/>
    <w:rsid w:val="00992254"/>
    <w:rsid w:val="00992C4D"/>
    <w:rsid w:val="00993016"/>
    <w:rsid w:val="009932AA"/>
    <w:rsid w:val="0099351E"/>
    <w:rsid w:val="0099376C"/>
    <w:rsid w:val="009937F2"/>
    <w:rsid w:val="00993C6E"/>
    <w:rsid w:val="00993DEC"/>
    <w:rsid w:val="009943EB"/>
    <w:rsid w:val="009949CD"/>
    <w:rsid w:val="00994E94"/>
    <w:rsid w:val="00995AF2"/>
    <w:rsid w:val="00995EF0"/>
    <w:rsid w:val="009962D7"/>
    <w:rsid w:val="00996647"/>
    <w:rsid w:val="0099755A"/>
    <w:rsid w:val="009A0198"/>
    <w:rsid w:val="009A0CC3"/>
    <w:rsid w:val="009A0EC5"/>
    <w:rsid w:val="009A1622"/>
    <w:rsid w:val="009A16D1"/>
    <w:rsid w:val="009A1C2F"/>
    <w:rsid w:val="009A25C6"/>
    <w:rsid w:val="009A2B6E"/>
    <w:rsid w:val="009A2CD3"/>
    <w:rsid w:val="009A3061"/>
    <w:rsid w:val="009A3718"/>
    <w:rsid w:val="009A3C44"/>
    <w:rsid w:val="009A47DE"/>
    <w:rsid w:val="009A497F"/>
    <w:rsid w:val="009A4E4E"/>
    <w:rsid w:val="009A6D0A"/>
    <w:rsid w:val="009A76D0"/>
    <w:rsid w:val="009A7A8A"/>
    <w:rsid w:val="009A7C6F"/>
    <w:rsid w:val="009B0257"/>
    <w:rsid w:val="009B04F3"/>
    <w:rsid w:val="009B06DA"/>
    <w:rsid w:val="009B0808"/>
    <w:rsid w:val="009B19D2"/>
    <w:rsid w:val="009B1A9F"/>
    <w:rsid w:val="009B1D35"/>
    <w:rsid w:val="009B277F"/>
    <w:rsid w:val="009B29A0"/>
    <w:rsid w:val="009B2AEF"/>
    <w:rsid w:val="009B39F7"/>
    <w:rsid w:val="009B3C8E"/>
    <w:rsid w:val="009B3D83"/>
    <w:rsid w:val="009B4FDC"/>
    <w:rsid w:val="009B58AB"/>
    <w:rsid w:val="009B5CF1"/>
    <w:rsid w:val="009B6154"/>
    <w:rsid w:val="009B634B"/>
    <w:rsid w:val="009B6963"/>
    <w:rsid w:val="009B6BB6"/>
    <w:rsid w:val="009C0031"/>
    <w:rsid w:val="009C0E00"/>
    <w:rsid w:val="009C157E"/>
    <w:rsid w:val="009C1903"/>
    <w:rsid w:val="009C1F62"/>
    <w:rsid w:val="009C230F"/>
    <w:rsid w:val="009C2B82"/>
    <w:rsid w:val="009C378E"/>
    <w:rsid w:val="009C3D54"/>
    <w:rsid w:val="009C4BAE"/>
    <w:rsid w:val="009C4FE5"/>
    <w:rsid w:val="009C5B38"/>
    <w:rsid w:val="009C6378"/>
    <w:rsid w:val="009C67E8"/>
    <w:rsid w:val="009C6CA7"/>
    <w:rsid w:val="009C6E4F"/>
    <w:rsid w:val="009C720D"/>
    <w:rsid w:val="009C7A38"/>
    <w:rsid w:val="009D0FC2"/>
    <w:rsid w:val="009D1570"/>
    <w:rsid w:val="009D20AE"/>
    <w:rsid w:val="009D2D85"/>
    <w:rsid w:val="009D2E3B"/>
    <w:rsid w:val="009D2FC4"/>
    <w:rsid w:val="009D2FDB"/>
    <w:rsid w:val="009D31A2"/>
    <w:rsid w:val="009D4133"/>
    <w:rsid w:val="009D44EB"/>
    <w:rsid w:val="009D45BC"/>
    <w:rsid w:val="009D4E1F"/>
    <w:rsid w:val="009D4E65"/>
    <w:rsid w:val="009D510C"/>
    <w:rsid w:val="009D5E06"/>
    <w:rsid w:val="009D5E6D"/>
    <w:rsid w:val="009D607D"/>
    <w:rsid w:val="009D659E"/>
    <w:rsid w:val="009D6876"/>
    <w:rsid w:val="009D782B"/>
    <w:rsid w:val="009D7856"/>
    <w:rsid w:val="009D7880"/>
    <w:rsid w:val="009D7D5B"/>
    <w:rsid w:val="009D7EB5"/>
    <w:rsid w:val="009E01EB"/>
    <w:rsid w:val="009E1144"/>
    <w:rsid w:val="009E11A2"/>
    <w:rsid w:val="009E1525"/>
    <w:rsid w:val="009E239D"/>
    <w:rsid w:val="009E2ABB"/>
    <w:rsid w:val="009E386B"/>
    <w:rsid w:val="009E58A5"/>
    <w:rsid w:val="009E62CA"/>
    <w:rsid w:val="009E639F"/>
    <w:rsid w:val="009E656A"/>
    <w:rsid w:val="009E6D85"/>
    <w:rsid w:val="009E75B0"/>
    <w:rsid w:val="009E7944"/>
    <w:rsid w:val="009F020F"/>
    <w:rsid w:val="009F0678"/>
    <w:rsid w:val="009F0948"/>
    <w:rsid w:val="009F1606"/>
    <w:rsid w:val="009F1E5D"/>
    <w:rsid w:val="009F1FA3"/>
    <w:rsid w:val="009F215E"/>
    <w:rsid w:val="009F2345"/>
    <w:rsid w:val="009F2557"/>
    <w:rsid w:val="009F2948"/>
    <w:rsid w:val="009F2D89"/>
    <w:rsid w:val="009F3A59"/>
    <w:rsid w:val="009F3E82"/>
    <w:rsid w:val="009F3FB9"/>
    <w:rsid w:val="009F3FE0"/>
    <w:rsid w:val="009F4045"/>
    <w:rsid w:val="009F42B0"/>
    <w:rsid w:val="009F4B8C"/>
    <w:rsid w:val="009F5634"/>
    <w:rsid w:val="009F6968"/>
    <w:rsid w:val="009F70ED"/>
    <w:rsid w:val="009F79FE"/>
    <w:rsid w:val="009F7CA2"/>
    <w:rsid w:val="009F7F02"/>
    <w:rsid w:val="00A014BE"/>
    <w:rsid w:val="00A01DCE"/>
    <w:rsid w:val="00A01F2C"/>
    <w:rsid w:val="00A027D6"/>
    <w:rsid w:val="00A029BE"/>
    <w:rsid w:val="00A02B85"/>
    <w:rsid w:val="00A0367B"/>
    <w:rsid w:val="00A03BB9"/>
    <w:rsid w:val="00A03E63"/>
    <w:rsid w:val="00A045E4"/>
    <w:rsid w:val="00A0599E"/>
    <w:rsid w:val="00A05F71"/>
    <w:rsid w:val="00A07647"/>
    <w:rsid w:val="00A109D5"/>
    <w:rsid w:val="00A10D40"/>
    <w:rsid w:val="00A116D4"/>
    <w:rsid w:val="00A11CBB"/>
    <w:rsid w:val="00A12388"/>
    <w:rsid w:val="00A12601"/>
    <w:rsid w:val="00A12F32"/>
    <w:rsid w:val="00A131E4"/>
    <w:rsid w:val="00A132A2"/>
    <w:rsid w:val="00A13B80"/>
    <w:rsid w:val="00A14373"/>
    <w:rsid w:val="00A152F9"/>
    <w:rsid w:val="00A1607B"/>
    <w:rsid w:val="00A16531"/>
    <w:rsid w:val="00A1745D"/>
    <w:rsid w:val="00A174EA"/>
    <w:rsid w:val="00A174F8"/>
    <w:rsid w:val="00A20052"/>
    <w:rsid w:val="00A20338"/>
    <w:rsid w:val="00A20CE1"/>
    <w:rsid w:val="00A215F9"/>
    <w:rsid w:val="00A22392"/>
    <w:rsid w:val="00A22732"/>
    <w:rsid w:val="00A228FC"/>
    <w:rsid w:val="00A22C98"/>
    <w:rsid w:val="00A23541"/>
    <w:rsid w:val="00A23888"/>
    <w:rsid w:val="00A2518B"/>
    <w:rsid w:val="00A25460"/>
    <w:rsid w:val="00A25834"/>
    <w:rsid w:val="00A25C3D"/>
    <w:rsid w:val="00A25F36"/>
    <w:rsid w:val="00A272AD"/>
    <w:rsid w:val="00A30343"/>
    <w:rsid w:val="00A313F2"/>
    <w:rsid w:val="00A317D3"/>
    <w:rsid w:val="00A3298B"/>
    <w:rsid w:val="00A33326"/>
    <w:rsid w:val="00A33460"/>
    <w:rsid w:val="00A339FA"/>
    <w:rsid w:val="00A33BE5"/>
    <w:rsid w:val="00A33C99"/>
    <w:rsid w:val="00A3412C"/>
    <w:rsid w:val="00A35E2E"/>
    <w:rsid w:val="00A35F82"/>
    <w:rsid w:val="00A3697C"/>
    <w:rsid w:val="00A37D0E"/>
    <w:rsid w:val="00A37D4B"/>
    <w:rsid w:val="00A37DDB"/>
    <w:rsid w:val="00A404EF"/>
    <w:rsid w:val="00A405A6"/>
    <w:rsid w:val="00A4067B"/>
    <w:rsid w:val="00A40E68"/>
    <w:rsid w:val="00A40F1C"/>
    <w:rsid w:val="00A417C2"/>
    <w:rsid w:val="00A42F09"/>
    <w:rsid w:val="00A43280"/>
    <w:rsid w:val="00A4342C"/>
    <w:rsid w:val="00A4480A"/>
    <w:rsid w:val="00A44C7F"/>
    <w:rsid w:val="00A452A0"/>
    <w:rsid w:val="00A45E2F"/>
    <w:rsid w:val="00A460FA"/>
    <w:rsid w:val="00A4653F"/>
    <w:rsid w:val="00A4728B"/>
    <w:rsid w:val="00A47DE3"/>
    <w:rsid w:val="00A51088"/>
    <w:rsid w:val="00A518AC"/>
    <w:rsid w:val="00A51A9F"/>
    <w:rsid w:val="00A51B9C"/>
    <w:rsid w:val="00A51EA7"/>
    <w:rsid w:val="00A52314"/>
    <w:rsid w:val="00A52399"/>
    <w:rsid w:val="00A5261B"/>
    <w:rsid w:val="00A528AC"/>
    <w:rsid w:val="00A52D54"/>
    <w:rsid w:val="00A5315E"/>
    <w:rsid w:val="00A533AA"/>
    <w:rsid w:val="00A5380B"/>
    <w:rsid w:val="00A54A55"/>
    <w:rsid w:val="00A54E69"/>
    <w:rsid w:val="00A553D7"/>
    <w:rsid w:val="00A555E6"/>
    <w:rsid w:val="00A55FB2"/>
    <w:rsid w:val="00A560E0"/>
    <w:rsid w:val="00A576E6"/>
    <w:rsid w:val="00A576F3"/>
    <w:rsid w:val="00A5792A"/>
    <w:rsid w:val="00A57DA1"/>
    <w:rsid w:val="00A57E46"/>
    <w:rsid w:val="00A60D58"/>
    <w:rsid w:val="00A60F30"/>
    <w:rsid w:val="00A6211D"/>
    <w:rsid w:val="00A625EC"/>
    <w:rsid w:val="00A62601"/>
    <w:rsid w:val="00A63FDC"/>
    <w:rsid w:val="00A6461B"/>
    <w:rsid w:val="00A64844"/>
    <w:rsid w:val="00A64FBD"/>
    <w:rsid w:val="00A65655"/>
    <w:rsid w:val="00A661E2"/>
    <w:rsid w:val="00A6781A"/>
    <w:rsid w:val="00A67C38"/>
    <w:rsid w:val="00A67EC1"/>
    <w:rsid w:val="00A70631"/>
    <w:rsid w:val="00A70B5B"/>
    <w:rsid w:val="00A70C6B"/>
    <w:rsid w:val="00A711DE"/>
    <w:rsid w:val="00A71568"/>
    <w:rsid w:val="00A72356"/>
    <w:rsid w:val="00A729F7"/>
    <w:rsid w:val="00A72CC8"/>
    <w:rsid w:val="00A7306C"/>
    <w:rsid w:val="00A73890"/>
    <w:rsid w:val="00A73C47"/>
    <w:rsid w:val="00A73F9B"/>
    <w:rsid w:val="00A74172"/>
    <w:rsid w:val="00A74AA3"/>
    <w:rsid w:val="00A74DBC"/>
    <w:rsid w:val="00A74F22"/>
    <w:rsid w:val="00A75701"/>
    <w:rsid w:val="00A75E53"/>
    <w:rsid w:val="00A763F0"/>
    <w:rsid w:val="00A768A7"/>
    <w:rsid w:val="00A76958"/>
    <w:rsid w:val="00A769FD"/>
    <w:rsid w:val="00A76D04"/>
    <w:rsid w:val="00A76D7F"/>
    <w:rsid w:val="00A770B1"/>
    <w:rsid w:val="00A7728A"/>
    <w:rsid w:val="00A77B15"/>
    <w:rsid w:val="00A80390"/>
    <w:rsid w:val="00A80429"/>
    <w:rsid w:val="00A818B1"/>
    <w:rsid w:val="00A81F57"/>
    <w:rsid w:val="00A820D4"/>
    <w:rsid w:val="00A828BB"/>
    <w:rsid w:val="00A834C5"/>
    <w:rsid w:val="00A83C50"/>
    <w:rsid w:val="00A8497D"/>
    <w:rsid w:val="00A84C75"/>
    <w:rsid w:val="00A84EDD"/>
    <w:rsid w:val="00A85114"/>
    <w:rsid w:val="00A8560A"/>
    <w:rsid w:val="00A85861"/>
    <w:rsid w:val="00A859A0"/>
    <w:rsid w:val="00A86109"/>
    <w:rsid w:val="00A869BD"/>
    <w:rsid w:val="00A86E62"/>
    <w:rsid w:val="00A873C4"/>
    <w:rsid w:val="00A87B35"/>
    <w:rsid w:val="00A904B3"/>
    <w:rsid w:val="00A915DD"/>
    <w:rsid w:val="00A925D5"/>
    <w:rsid w:val="00A92A16"/>
    <w:rsid w:val="00A93206"/>
    <w:rsid w:val="00A9336D"/>
    <w:rsid w:val="00A935CE"/>
    <w:rsid w:val="00A942E6"/>
    <w:rsid w:val="00A9483C"/>
    <w:rsid w:val="00A9555C"/>
    <w:rsid w:val="00A96210"/>
    <w:rsid w:val="00A964AE"/>
    <w:rsid w:val="00A96CBC"/>
    <w:rsid w:val="00AA0B3F"/>
    <w:rsid w:val="00AA0DED"/>
    <w:rsid w:val="00AA197E"/>
    <w:rsid w:val="00AA1B0B"/>
    <w:rsid w:val="00AA1E21"/>
    <w:rsid w:val="00AA23F2"/>
    <w:rsid w:val="00AA3070"/>
    <w:rsid w:val="00AA3728"/>
    <w:rsid w:val="00AA3CD7"/>
    <w:rsid w:val="00AA51AE"/>
    <w:rsid w:val="00AA51BD"/>
    <w:rsid w:val="00AA5CDF"/>
    <w:rsid w:val="00AA5DAF"/>
    <w:rsid w:val="00AA6520"/>
    <w:rsid w:val="00AA7033"/>
    <w:rsid w:val="00AA7205"/>
    <w:rsid w:val="00AB1127"/>
    <w:rsid w:val="00AB1538"/>
    <w:rsid w:val="00AB18D8"/>
    <w:rsid w:val="00AB1F39"/>
    <w:rsid w:val="00AB1F40"/>
    <w:rsid w:val="00AB2A08"/>
    <w:rsid w:val="00AB37C9"/>
    <w:rsid w:val="00AB41B4"/>
    <w:rsid w:val="00AB485B"/>
    <w:rsid w:val="00AB4AEF"/>
    <w:rsid w:val="00AB5401"/>
    <w:rsid w:val="00AB61A8"/>
    <w:rsid w:val="00AB6C0F"/>
    <w:rsid w:val="00AB6D83"/>
    <w:rsid w:val="00AB73CB"/>
    <w:rsid w:val="00AB7B41"/>
    <w:rsid w:val="00AC0694"/>
    <w:rsid w:val="00AC0E3E"/>
    <w:rsid w:val="00AC1519"/>
    <w:rsid w:val="00AC1532"/>
    <w:rsid w:val="00AC2895"/>
    <w:rsid w:val="00AC29F9"/>
    <w:rsid w:val="00AC354E"/>
    <w:rsid w:val="00AC452E"/>
    <w:rsid w:val="00AC48F7"/>
    <w:rsid w:val="00AC6321"/>
    <w:rsid w:val="00AC650C"/>
    <w:rsid w:val="00AC69AA"/>
    <w:rsid w:val="00AC69C1"/>
    <w:rsid w:val="00AC7A51"/>
    <w:rsid w:val="00AC7E0B"/>
    <w:rsid w:val="00AD1558"/>
    <w:rsid w:val="00AD25C8"/>
    <w:rsid w:val="00AD25EB"/>
    <w:rsid w:val="00AD2A7F"/>
    <w:rsid w:val="00AD2B10"/>
    <w:rsid w:val="00AD2CCA"/>
    <w:rsid w:val="00AD383E"/>
    <w:rsid w:val="00AD3FD7"/>
    <w:rsid w:val="00AD4E21"/>
    <w:rsid w:val="00AD5224"/>
    <w:rsid w:val="00AD5D68"/>
    <w:rsid w:val="00AD6269"/>
    <w:rsid w:val="00AD67D2"/>
    <w:rsid w:val="00AD6B4C"/>
    <w:rsid w:val="00AD6BDE"/>
    <w:rsid w:val="00AD6F9F"/>
    <w:rsid w:val="00AD74BB"/>
    <w:rsid w:val="00AD7689"/>
    <w:rsid w:val="00AD79AE"/>
    <w:rsid w:val="00AD7A66"/>
    <w:rsid w:val="00AD7F72"/>
    <w:rsid w:val="00AE0E50"/>
    <w:rsid w:val="00AE1004"/>
    <w:rsid w:val="00AE124C"/>
    <w:rsid w:val="00AE142C"/>
    <w:rsid w:val="00AE1A7F"/>
    <w:rsid w:val="00AE2135"/>
    <w:rsid w:val="00AE21C0"/>
    <w:rsid w:val="00AE21CC"/>
    <w:rsid w:val="00AE2848"/>
    <w:rsid w:val="00AE2E28"/>
    <w:rsid w:val="00AE2E69"/>
    <w:rsid w:val="00AE3245"/>
    <w:rsid w:val="00AE37C4"/>
    <w:rsid w:val="00AE4716"/>
    <w:rsid w:val="00AE5257"/>
    <w:rsid w:val="00AE596F"/>
    <w:rsid w:val="00AE5CD2"/>
    <w:rsid w:val="00AE5FF8"/>
    <w:rsid w:val="00AE603C"/>
    <w:rsid w:val="00AE62BE"/>
    <w:rsid w:val="00AE6365"/>
    <w:rsid w:val="00AE6EB9"/>
    <w:rsid w:val="00AE72B5"/>
    <w:rsid w:val="00AE7D05"/>
    <w:rsid w:val="00AE7F20"/>
    <w:rsid w:val="00AF1BBB"/>
    <w:rsid w:val="00AF230A"/>
    <w:rsid w:val="00AF282A"/>
    <w:rsid w:val="00AF297B"/>
    <w:rsid w:val="00AF3018"/>
    <w:rsid w:val="00AF31B7"/>
    <w:rsid w:val="00AF3376"/>
    <w:rsid w:val="00AF36DD"/>
    <w:rsid w:val="00AF3F5F"/>
    <w:rsid w:val="00AF4A29"/>
    <w:rsid w:val="00AF65C6"/>
    <w:rsid w:val="00B000BB"/>
    <w:rsid w:val="00B0066B"/>
    <w:rsid w:val="00B00CDF"/>
    <w:rsid w:val="00B012D3"/>
    <w:rsid w:val="00B014AC"/>
    <w:rsid w:val="00B01D24"/>
    <w:rsid w:val="00B01D7E"/>
    <w:rsid w:val="00B02B21"/>
    <w:rsid w:val="00B048FD"/>
    <w:rsid w:val="00B049C5"/>
    <w:rsid w:val="00B05072"/>
    <w:rsid w:val="00B05312"/>
    <w:rsid w:val="00B069A7"/>
    <w:rsid w:val="00B06A56"/>
    <w:rsid w:val="00B06AC4"/>
    <w:rsid w:val="00B06D61"/>
    <w:rsid w:val="00B07082"/>
    <w:rsid w:val="00B070AA"/>
    <w:rsid w:val="00B10DF0"/>
    <w:rsid w:val="00B1126C"/>
    <w:rsid w:val="00B116C8"/>
    <w:rsid w:val="00B119FD"/>
    <w:rsid w:val="00B11BBA"/>
    <w:rsid w:val="00B124A9"/>
    <w:rsid w:val="00B1253B"/>
    <w:rsid w:val="00B1268B"/>
    <w:rsid w:val="00B12B56"/>
    <w:rsid w:val="00B143F7"/>
    <w:rsid w:val="00B15D7B"/>
    <w:rsid w:val="00B1681C"/>
    <w:rsid w:val="00B1683C"/>
    <w:rsid w:val="00B1742C"/>
    <w:rsid w:val="00B20759"/>
    <w:rsid w:val="00B20ABB"/>
    <w:rsid w:val="00B20E6E"/>
    <w:rsid w:val="00B21343"/>
    <w:rsid w:val="00B227DB"/>
    <w:rsid w:val="00B22CCB"/>
    <w:rsid w:val="00B238AA"/>
    <w:rsid w:val="00B23F60"/>
    <w:rsid w:val="00B24786"/>
    <w:rsid w:val="00B24B88"/>
    <w:rsid w:val="00B256A6"/>
    <w:rsid w:val="00B26593"/>
    <w:rsid w:val="00B26B0C"/>
    <w:rsid w:val="00B26DFE"/>
    <w:rsid w:val="00B27077"/>
    <w:rsid w:val="00B27526"/>
    <w:rsid w:val="00B27A46"/>
    <w:rsid w:val="00B30820"/>
    <w:rsid w:val="00B329A2"/>
    <w:rsid w:val="00B32D6F"/>
    <w:rsid w:val="00B32DF5"/>
    <w:rsid w:val="00B3317C"/>
    <w:rsid w:val="00B336BD"/>
    <w:rsid w:val="00B339C2"/>
    <w:rsid w:val="00B33CDE"/>
    <w:rsid w:val="00B34A47"/>
    <w:rsid w:val="00B354D5"/>
    <w:rsid w:val="00B35697"/>
    <w:rsid w:val="00B3575B"/>
    <w:rsid w:val="00B3595C"/>
    <w:rsid w:val="00B359C6"/>
    <w:rsid w:val="00B35B5B"/>
    <w:rsid w:val="00B35B72"/>
    <w:rsid w:val="00B35B9E"/>
    <w:rsid w:val="00B36015"/>
    <w:rsid w:val="00B363CD"/>
    <w:rsid w:val="00B36557"/>
    <w:rsid w:val="00B3692E"/>
    <w:rsid w:val="00B36A37"/>
    <w:rsid w:val="00B36AB2"/>
    <w:rsid w:val="00B37510"/>
    <w:rsid w:val="00B37CF5"/>
    <w:rsid w:val="00B40E74"/>
    <w:rsid w:val="00B40F0B"/>
    <w:rsid w:val="00B41103"/>
    <w:rsid w:val="00B41669"/>
    <w:rsid w:val="00B41D0F"/>
    <w:rsid w:val="00B42D37"/>
    <w:rsid w:val="00B42F97"/>
    <w:rsid w:val="00B43A07"/>
    <w:rsid w:val="00B43BD3"/>
    <w:rsid w:val="00B45081"/>
    <w:rsid w:val="00B45110"/>
    <w:rsid w:val="00B45EDD"/>
    <w:rsid w:val="00B461D4"/>
    <w:rsid w:val="00B4668A"/>
    <w:rsid w:val="00B466C6"/>
    <w:rsid w:val="00B46B7F"/>
    <w:rsid w:val="00B47656"/>
    <w:rsid w:val="00B47660"/>
    <w:rsid w:val="00B47790"/>
    <w:rsid w:val="00B477BA"/>
    <w:rsid w:val="00B47D1F"/>
    <w:rsid w:val="00B500D1"/>
    <w:rsid w:val="00B518E8"/>
    <w:rsid w:val="00B519C1"/>
    <w:rsid w:val="00B522BA"/>
    <w:rsid w:val="00B5272E"/>
    <w:rsid w:val="00B52B21"/>
    <w:rsid w:val="00B53D92"/>
    <w:rsid w:val="00B53F5F"/>
    <w:rsid w:val="00B5458C"/>
    <w:rsid w:val="00B546DC"/>
    <w:rsid w:val="00B5529E"/>
    <w:rsid w:val="00B552AE"/>
    <w:rsid w:val="00B5549E"/>
    <w:rsid w:val="00B56039"/>
    <w:rsid w:val="00B566CA"/>
    <w:rsid w:val="00B57543"/>
    <w:rsid w:val="00B57AF8"/>
    <w:rsid w:val="00B60999"/>
    <w:rsid w:val="00B615F4"/>
    <w:rsid w:val="00B617B6"/>
    <w:rsid w:val="00B61B40"/>
    <w:rsid w:val="00B61BE6"/>
    <w:rsid w:val="00B61D79"/>
    <w:rsid w:val="00B62217"/>
    <w:rsid w:val="00B62AD1"/>
    <w:rsid w:val="00B62FDD"/>
    <w:rsid w:val="00B63549"/>
    <w:rsid w:val="00B63B90"/>
    <w:rsid w:val="00B63EC6"/>
    <w:rsid w:val="00B643DA"/>
    <w:rsid w:val="00B646DB"/>
    <w:rsid w:val="00B64D48"/>
    <w:rsid w:val="00B653CF"/>
    <w:rsid w:val="00B6593D"/>
    <w:rsid w:val="00B664BE"/>
    <w:rsid w:val="00B664C5"/>
    <w:rsid w:val="00B66761"/>
    <w:rsid w:val="00B6690A"/>
    <w:rsid w:val="00B66EBB"/>
    <w:rsid w:val="00B67222"/>
    <w:rsid w:val="00B67935"/>
    <w:rsid w:val="00B67FDC"/>
    <w:rsid w:val="00B70F79"/>
    <w:rsid w:val="00B7135E"/>
    <w:rsid w:val="00B71569"/>
    <w:rsid w:val="00B71C86"/>
    <w:rsid w:val="00B71CBC"/>
    <w:rsid w:val="00B721FB"/>
    <w:rsid w:val="00B722C0"/>
    <w:rsid w:val="00B7248C"/>
    <w:rsid w:val="00B72E95"/>
    <w:rsid w:val="00B7343A"/>
    <w:rsid w:val="00B7350C"/>
    <w:rsid w:val="00B737DF"/>
    <w:rsid w:val="00B73AB2"/>
    <w:rsid w:val="00B74AD5"/>
    <w:rsid w:val="00B756D8"/>
    <w:rsid w:val="00B75FF1"/>
    <w:rsid w:val="00B766B4"/>
    <w:rsid w:val="00B773A2"/>
    <w:rsid w:val="00B77451"/>
    <w:rsid w:val="00B7755C"/>
    <w:rsid w:val="00B80373"/>
    <w:rsid w:val="00B807DC"/>
    <w:rsid w:val="00B80985"/>
    <w:rsid w:val="00B80E9E"/>
    <w:rsid w:val="00B81144"/>
    <w:rsid w:val="00B811E7"/>
    <w:rsid w:val="00B812B4"/>
    <w:rsid w:val="00B81350"/>
    <w:rsid w:val="00B81D2C"/>
    <w:rsid w:val="00B82039"/>
    <w:rsid w:val="00B825C6"/>
    <w:rsid w:val="00B8270E"/>
    <w:rsid w:val="00B829CB"/>
    <w:rsid w:val="00B82B1E"/>
    <w:rsid w:val="00B831D0"/>
    <w:rsid w:val="00B847CE"/>
    <w:rsid w:val="00B85A83"/>
    <w:rsid w:val="00B85E6D"/>
    <w:rsid w:val="00B86441"/>
    <w:rsid w:val="00B900CA"/>
    <w:rsid w:val="00B9044B"/>
    <w:rsid w:val="00B9051C"/>
    <w:rsid w:val="00B92F34"/>
    <w:rsid w:val="00B93897"/>
    <w:rsid w:val="00B93C67"/>
    <w:rsid w:val="00B93EA4"/>
    <w:rsid w:val="00B9403D"/>
    <w:rsid w:val="00B94295"/>
    <w:rsid w:val="00B94CDC"/>
    <w:rsid w:val="00B953DE"/>
    <w:rsid w:val="00B96240"/>
    <w:rsid w:val="00B96397"/>
    <w:rsid w:val="00B964C3"/>
    <w:rsid w:val="00B96687"/>
    <w:rsid w:val="00B9685C"/>
    <w:rsid w:val="00B97479"/>
    <w:rsid w:val="00B97AD0"/>
    <w:rsid w:val="00BA0A4F"/>
    <w:rsid w:val="00BA0CB6"/>
    <w:rsid w:val="00BA1885"/>
    <w:rsid w:val="00BA29DE"/>
    <w:rsid w:val="00BA3B62"/>
    <w:rsid w:val="00BA3C16"/>
    <w:rsid w:val="00BA480D"/>
    <w:rsid w:val="00BA4A96"/>
    <w:rsid w:val="00BA4D34"/>
    <w:rsid w:val="00BA5620"/>
    <w:rsid w:val="00BA62CE"/>
    <w:rsid w:val="00BA6465"/>
    <w:rsid w:val="00BA6E4C"/>
    <w:rsid w:val="00BA7509"/>
    <w:rsid w:val="00BA77EF"/>
    <w:rsid w:val="00BA79B6"/>
    <w:rsid w:val="00BA7E81"/>
    <w:rsid w:val="00BB134C"/>
    <w:rsid w:val="00BB1861"/>
    <w:rsid w:val="00BB1F47"/>
    <w:rsid w:val="00BB1F65"/>
    <w:rsid w:val="00BB3088"/>
    <w:rsid w:val="00BB3D0A"/>
    <w:rsid w:val="00BB3E72"/>
    <w:rsid w:val="00BB4194"/>
    <w:rsid w:val="00BB470A"/>
    <w:rsid w:val="00BB4CBE"/>
    <w:rsid w:val="00BB4D9D"/>
    <w:rsid w:val="00BB5139"/>
    <w:rsid w:val="00BB5551"/>
    <w:rsid w:val="00BB5C4F"/>
    <w:rsid w:val="00BB5EB0"/>
    <w:rsid w:val="00BB5EDF"/>
    <w:rsid w:val="00BB5FB1"/>
    <w:rsid w:val="00BB61F0"/>
    <w:rsid w:val="00BB62A1"/>
    <w:rsid w:val="00BB676A"/>
    <w:rsid w:val="00BB7685"/>
    <w:rsid w:val="00BB7C33"/>
    <w:rsid w:val="00BC0DA2"/>
    <w:rsid w:val="00BC0F6F"/>
    <w:rsid w:val="00BC10EE"/>
    <w:rsid w:val="00BC195A"/>
    <w:rsid w:val="00BC19C4"/>
    <w:rsid w:val="00BC1A6B"/>
    <w:rsid w:val="00BC1B30"/>
    <w:rsid w:val="00BC22EE"/>
    <w:rsid w:val="00BC3147"/>
    <w:rsid w:val="00BC39B9"/>
    <w:rsid w:val="00BC40D6"/>
    <w:rsid w:val="00BC4218"/>
    <w:rsid w:val="00BC4413"/>
    <w:rsid w:val="00BC4889"/>
    <w:rsid w:val="00BC5061"/>
    <w:rsid w:val="00BC54E8"/>
    <w:rsid w:val="00BC5507"/>
    <w:rsid w:val="00BC60C4"/>
    <w:rsid w:val="00BC6267"/>
    <w:rsid w:val="00BC66B2"/>
    <w:rsid w:val="00BC75E5"/>
    <w:rsid w:val="00BC7989"/>
    <w:rsid w:val="00BD0012"/>
    <w:rsid w:val="00BD0271"/>
    <w:rsid w:val="00BD0517"/>
    <w:rsid w:val="00BD21C1"/>
    <w:rsid w:val="00BD22D8"/>
    <w:rsid w:val="00BD3158"/>
    <w:rsid w:val="00BD38EC"/>
    <w:rsid w:val="00BD3B3E"/>
    <w:rsid w:val="00BD3B44"/>
    <w:rsid w:val="00BD4044"/>
    <w:rsid w:val="00BD46A5"/>
    <w:rsid w:val="00BD4D6E"/>
    <w:rsid w:val="00BD4F42"/>
    <w:rsid w:val="00BD51EC"/>
    <w:rsid w:val="00BD554E"/>
    <w:rsid w:val="00BD5CB0"/>
    <w:rsid w:val="00BD706A"/>
    <w:rsid w:val="00BD71CE"/>
    <w:rsid w:val="00BD734E"/>
    <w:rsid w:val="00BD7523"/>
    <w:rsid w:val="00BD76EF"/>
    <w:rsid w:val="00BE00B9"/>
    <w:rsid w:val="00BE1FF2"/>
    <w:rsid w:val="00BE24B1"/>
    <w:rsid w:val="00BE297A"/>
    <w:rsid w:val="00BE2FB1"/>
    <w:rsid w:val="00BE4338"/>
    <w:rsid w:val="00BE4462"/>
    <w:rsid w:val="00BE44D1"/>
    <w:rsid w:val="00BE48D6"/>
    <w:rsid w:val="00BE5431"/>
    <w:rsid w:val="00BE56D3"/>
    <w:rsid w:val="00BE5EF0"/>
    <w:rsid w:val="00BE6476"/>
    <w:rsid w:val="00BE6969"/>
    <w:rsid w:val="00BE77C8"/>
    <w:rsid w:val="00BE7D21"/>
    <w:rsid w:val="00BE7E41"/>
    <w:rsid w:val="00BF0259"/>
    <w:rsid w:val="00BF0539"/>
    <w:rsid w:val="00BF0CBD"/>
    <w:rsid w:val="00BF0E09"/>
    <w:rsid w:val="00BF12F3"/>
    <w:rsid w:val="00BF1407"/>
    <w:rsid w:val="00BF14FC"/>
    <w:rsid w:val="00BF15AF"/>
    <w:rsid w:val="00BF263B"/>
    <w:rsid w:val="00BF2E42"/>
    <w:rsid w:val="00BF2F92"/>
    <w:rsid w:val="00BF3806"/>
    <w:rsid w:val="00BF3A9B"/>
    <w:rsid w:val="00BF4EEC"/>
    <w:rsid w:val="00BF528A"/>
    <w:rsid w:val="00BF59BD"/>
    <w:rsid w:val="00BF6262"/>
    <w:rsid w:val="00BF671E"/>
    <w:rsid w:val="00BF708C"/>
    <w:rsid w:val="00BF7653"/>
    <w:rsid w:val="00BF78D4"/>
    <w:rsid w:val="00BF7BDC"/>
    <w:rsid w:val="00C005DC"/>
    <w:rsid w:val="00C00983"/>
    <w:rsid w:val="00C010D0"/>
    <w:rsid w:val="00C01B17"/>
    <w:rsid w:val="00C025E4"/>
    <w:rsid w:val="00C03CFF"/>
    <w:rsid w:val="00C04BCF"/>
    <w:rsid w:val="00C04F9A"/>
    <w:rsid w:val="00C05154"/>
    <w:rsid w:val="00C05275"/>
    <w:rsid w:val="00C061AF"/>
    <w:rsid w:val="00C06207"/>
    <w:rsid w:val="00C0672D"/>
    <w:rsid w:val="00C06CCA"/>
    <w:rsid w:val="00C06D35"/>
    <w:rsid w:val="00C06D90"/>
    <w:rsid w:val="00C07935"/>
    <w:rsid w:val="00C07B74"/>
    <w:rsid w:val="00C07DA7"/>
    <w:rsid w:val="00C115E3"/>
    <w:rsid w:val="00C11627"/>
    <w:rsid w:val="00C1269A"/>
    <w:rsid w:val="00C12CBF"/>
    <w:rsid w:val="00C12D4E"/>
    <w:rsid w:val="00C13F4B"/>
    <w:rsid w:val="00C144AF"/>
    <w:rsid w:val="00C14838"/>
    <w:rsid w:val="00C16063"/>
    <w:rsid w:val="00C16CD2"/>
    <w:rsid w:val="00C171EA"/>
    <w:rsid w:val="00C1750D"/>
    <w:rsid w:val="00C1769C"/>
    <w:rsid w:val="00C201E1"/>
    <w:rsid w:val="00C20C9F"/>
    <w:rsid w:val="00C21258"/>
    <w:rsid w:val="00C213F5"/>
    <w:rsid w:val="00C21E2C"/>
    <w:rsid w:val="00C2261C"/>
    <w:rsid w:val="00C22AD3"/>
    <w:rsid w:val="00C22C44"/>
    <w:rsid w:val="00C23C12"/>
    <w:rsid w:val="00C23FA4"/>
    <w:rsid w:val="00C243E3"/>
    <w:rsid w:val="00C24E62"/>
    <w:rsid w:val="00C25481"/>
    <w:rsid w:val="00C260F7"/>
    <w:rsid w:val="00C263EE"/>
    <w:rsid w:val="00C26427"/>
    <w:rsid w:val="00C275FD"/>
    <w:rsid w:val="00C2790D"/>
    <w:rsid w:val="00C27C3B"/>
    <w:rsid w:val="00C30BA0"/>
    <w:rsid w:val="00C30D3D"/>
    <w:rsid w:val="00C31459"/>
    <w:rsid w:val="00C32A6B"/>
    <w:rsid w:val="00C32AE9"/>
    <w:rsid w:val="00C33259"/>
    <w:rsid w:val="00C33449"/>
    <w:rsid w:val="00C33666"/>
    <w:rsid w:val="00C33A4D"/>
    <w:rsid w:val="00C3411E"/>
    <w:rsid w:val="00C34F39"/>
    <w:rsid w:val="00C35471"/>
    <w:rsid w:val="00C35EB8"/>
    <w:rsid w:val="00C364A3"/>
    <w:rsid w:val="00C36FEC"/>
    <w:rsid w:val="00C403E0"/>
    <w:rsid w:val="00C40870"/>
    <w:rsid w:val="00C4088B"/>
    <w:rsid w:val="00C40AA4"/>
    <w:rsid w:val="00C40CB6"/>
    <w:rsid w:val="00C412A4"/>
    <w:rsid w:val="00C41B58"/>
    <w:rsid w:val="00C41D66"/>
    <w:rsid w:val="00C421F4"/>
    <w:rsid w:val="00C42D6C"/>
    <w:rsid w:val="00C430B4"/>
    <w:rsid w:val="00C43896"/>
    <w:rsid w:val="00C43A57"/>
    <w:rsid w:val="00C43ABF"/>
    <w:rsid w:val="00C43D6D"/>
    <w:rsid w:val="00C44EA5"/>
    <w:rsid w:val="00C454A1"/>
    <w:rsid w:val="00C45720"/>
    <w:rsid w:val="00C463BB"/>
    <w:rsid w:val="00C46F34"/>
    <w:rsid w:val="00C475DD"/>
    <w:rsid w:val="00C478A3"/>
    <w:rsid w:val="00C51BB1"/>
    <w:rsid w:val="00C51CBD"/>
    <w:rsid w:val="00C52455"/>
    <w:rsid w:val="00C5353D"/>
    <w:rsid w:val="00C5359B"/>
    <w:rsid w:val="00C53AC0"/>
    <w:rsid w:val="00C53B6A"/>
    <w:rsid w:val="00C5457C"/>
    <w:rsid w:val="00C5466F"/>
    <w:rsid w:val="00C55481"/>
    <w:rsid w:val="00C5622C"/>
    <w:rsid w:val="00C563F9"/>
    <w:rsid w:val="00C56737"/>
    <w:rsid w:val="00C57163"/>
    <w:rsid w:val="00C57404"/>
    <w:rsid w:val="00C57976"/>
    <w:rsid w:val="00C60042"/>
    <w:rsid w:val="00C6038C"/>
    <w:rsid w:val="00C60480"/>
    <w:rsid w:val="00C610B9"/>
    <w:rsid w:val="00C61A57"/>
    <w:rsid w:val="00C61F69"/>
    <w:rsid w:val="00C62156"/>
    <w:rsid w:val="00C62644"/>
    <w:rsid w:val="00C62809"/>
    <w:rsid w:val="00C62F01"/>
    <w:rsid w:val="00C63336"/>
    <w:rsid w:val="00C63956"/>
    <w:rsid w:val="00C63B0D"/>
    <w:rsid w:val="00C63C81"/>
    <w:rsid w:val="00C64597"/>
    <w:rsid w:val="00C64FB7"/>
    <w:rsid w:val="00C650F2"/>
    <w:rsid w:val="00C65A9E"/>
    <w:rsid w:val="00C65F51"/>
    <w:rsid w:val="00C66388"/>
    <w:rsid w:val="00C66EAB"/>
    <w:rsid w:val="00C6745C"/>
    <w:rsid w:val="00C6747F"/>
    <w:rsid w:val="00C677BD"/>
    <w:rsid w:val="00C6796F"/>
    <w:rsid w:val="00C67983"/>
    <w:rsid w:val="00C67AC5"/>
    <w:rsid w:val="00C67E2F"/>
    <w:rsid w:val="00C67FF1"/>
    <w:rsid w:val="00C7115A"/>
    <w:rsid w:val="00C71246"/>
    <w:rsid w:val="00C72668"/>
    <w:rsid w:val="00C72DD0"/>
    <w:rsid w:val="00C7310A"/>
    <w:rsid w:val="00C7314A"/>
    <w:rsid w:val="00C733CD"/>
    <w:rsid w:val="00C735A9"/>
    <w:rsid w:val="00C73C40"/>
    <w:rsid w:val="00C73F13"/>
    <w:rsid w:val="00C74271"/>
    <w:rsid w:val="00C747BF"/>
    <w:rsid w:val="00C750F1"/>
    <w:rsid w:val="00C75B7E"/>
    <w:rsid w:val="00C76721"/>
    <w:rsid w:val="00C76C3D"/>
    <w:rsid w:val="00C7728B"/>
    <w:rsid w:val="00C7748B"/>
    <w:rsid w:val="00C779BB"/>
    <w:rsid w:val="00C8072B"/>
    <w:rsid w:val="00C8198F"/>
    <w:rsid w:val="00C81B3B"/>
    <w:rsid w:val="00C8205B"/>
    <w:rsid w:val="00C83C05"/>
    <w:rsid w:val="00C83F58"/>
    <w:rsid w:val="00C8451C"/>
    <w:rsid w:val="00C85074"/>
    <w:rsid w:val="00C85515"/>
    <w:rsid w:val="00C85602"/>
    <w:rsid w:val="00C8593F"/>
    <w:rsid w:val="00C85CCB"/>
    <w:rsid w:val="00C85D69"/>
    <w:rsid w:val="00C86085"/>
    <w:rsid w:val="00C86898"/>
    <w:rsid w:val="00C86B93"/>
    <w:rsid w:val="00C875B2"/>
    <w:rsid w:val="00C87E12"/>
    <w:rsid w:val="00C90204"/>
    <w:rsid w:val="00C915B5"/>
    <w:rsid w:val="00C9289F"/>
    <w:rsid w:val="00C9305F"/>
    <w:rsid w:val="00C93242"/>
    <w:rsid w:val="00C93AB2"/>
    <w:rsid w:val="00C94B40"/>
    <w:rsid w:val="00C95514"/>
    <w:rsid w:val="00C96921"/>
    <w:rsid w:val="00C96A74"/>
    <w:rsid w:val="00C96CB9"/>
    <w:rsid w:val="00C97226"/>
    <w:rsid w:val="00C97425"/>
    <w:rsid w:val="00CA0387"/>
    <w:rsid w:val="00CA1CC3"/>
    <w:rsid w:val="00CA1E29"/>
    <w:rsid w:val="00CA1FAF"/>
    <w:rsid w:val="00CA24CC"/>
    <w:rsid w:val="00CA2D08"/>
    <w:rsid w:val="00CA2FAB"/>
    <w:rsid w:val="00CA322A"/>
    <w:rsid w:val="00CA3F90"/>
    <w:rsid w:val="00CA4E8D"/>
    <w:rsid w:val="00CA4F61"/>
    <w:rsid w:val="00CA50D0"/>
    <w:rsid w:val="00CA516B"/>
    <w:rsid w:val="00CA5883"/>
    <w:rsid w:val="00CA5E4A"/>
    <w:rsid w:val="00CA6051"/>
    <w:rsid w:val="00CA67B2"/>
    <w:rsid w:val="00CA747D"/>
    <w:rsid w:val="00CB08DB"/>
    <w:rsid w:val="00CB10BF"/>
    <w:rsid w:val="00CB14B7"/>
    <w:rsid w:val="00CB1B63"/>
    <w:rsid w:val="00CB1DA9"/>
    <w:rsid w:val="00CB2FED"/>
    <w:rsid w:val="00CB3B0C"/>
    <w:rsid w:val="00CB4F9F"/>
    <w:rsid w:val="00CB562F"/>
    <w:rsid w:val="00CB5D65"/>
    <w:rsid w:val="00CB701A"/>
    <w:rsid w:val="00CC04F9"/>
    <w:rsid w:val="00CC0EBB"/>
    <w:rsid w:val="00CC1569"/>
    <w:rsid w:val="00CC2A09"/>
    <w:rsid w:val="00CC2A30"/>
    <w:rsid w:val="00CC2A32"/>
    <w:rsid w:val="00CC2FA6"/>
    <w:rsid w:val="00CC3024"/>
    <w:rsid w:val="00CC39F1"/>
    <w:rsid w:val="00CC3DA9"/>
    <w:rsid w:val="00CC3F27"/>
    <w:rsid w:val="00CC4813"/>
    <w:rsid w:val="00CC4979"/>
    <w:rsid w:val="00CC4D78"/>
    <w:rsid w:val="00CC4E7F"/>
    <w:rsid w:val="00CC50C9"/>
    <w:rsid w:val="00CC57E1"/>
    <w:rsid w:val="00CC62AF"/>
    <w:rsid w:val="00CC668E"/>
    <w:rsid w:val="00CC70ED"/>
    <w:rsid w:val="00CC7275"/>
    <w:rsid w:val="00CC737B"/>
    <w:rsid w:val="00CD049A"/>
    <w:rsid w:val="00CD04B3"/>
    <w:rsid w:val="00CD0C46"/>
    <w:rsid w:val="00CD0D63"/>
    <w:rsid w:val="00CD1F2F"/>
    <w:rsid w:val="00CD2302"/>
    <w:rsid w:val="00CD23BB"/>
    <w:rsid w:val="00CD2CA8"/>
    <w:rsid w:val="00CD2CBF"/>
    <w:rsid w:val="00CD2CEA"/>
    <w:rsid w:val="00CD38AF"/>
    <w:rsid w:val="00CD3A78"/>
    <w:rsid w:val="00CD3FD5"/>
    <w:rsid w:val="00CD4407"/>
    <w:rsid w:val="00CD4595"/>
    <w:rsid w:val="00CD4C19"/>
    <w:rsid w:val="00CD5149"/>
    <w:rsid w:val="00CD5229"/>
    <w:rsid w:val="00CD5417"/>
    <w:rsid w:val="00CD55D2"/>
    <w:rsid w:val="00CD566D"/>
    <w:rsid w:val="00CD63CF"/>
    <w:rsid w:val="00CD689E"/>
    <w:rsid w:val="00CD756B"/>
    <w:rsid w:val="00CE0A15"/>
    <w:rsid w:val="00CE1393"/>
    <w:rsid w:val="00CE1462"/>
    <w:rsid w:val="00CE1822"/>
    <w:rsid w:val="00CE18B6"/>
    <w:rsid w:val="00CE1AC7"/>
    <w:rsid w:val="00CE2375"/>
    <w:rsid w:val="00CE2595"/>
    <w:rsid w:val="00CE275B"/>
    <w:rsid w:val="00CE37F7"/>
    <w:rsid w:val="00CE387D"/>
    <w:rsid w:val="00CE3FCC"/>
    <w:rsid w:val="00CE4114"/>
    <w:rsid w:val="00CE4549"/>
    <w:rsid w:val="00CE499D"/>
    <w:rsid w:val="00CE4C9D"/>
    <w:rsid w:val="00CE4F3D"/>
    <w:rsid w:val="00CE4FD3"/>
    <w:rsid w:val="00CE5740"/>
    <w:rsid w:val="00CE6042"/>
    <w:rsid w:val="00CE6337"/>
    <w:rsid w:val="00CE6B92"/>
    <w:rsid w:val="00CE744C"/>
    <w:rsid w:val="00CE7B69"/>
    <w:rsid w:val="00CF030D"/>
    <w:rsid w:val="00CF160C"/>
    <w:rsid w:val="00CF1646"/>
    <w:rsid w:val="00CF17B5"/>
    <w:rsid w:val="00CF2392"/>
    <w:rsid w:val="00CF24DD"/>
    <w:rsid w:val="00CF2B8D"/>
    <w:rsid w:val="00CF4606"/>
    <w:rsid w:val="00CF480A"/>
    <w:rsid w:val="00CF566A"/>
    <w:rsid w:val="00CF593E"/>
    <w:rsid w:val="00CF6B08"/>
    <w:rsid w:val="00CF6E3B"/>
    <w:rsid w:val="00D003DD"/>
    <w:rsid w:val="00D00417"/>
    <w:rsid w:val="00D008C0"/>
    <w:rsid w:val="00D009E4"/>
    <w:rsid w:val="00D026A4"/>
    <w:rsid w:val="00D0288F"/>
    <w:rsid w:val="00D0290C"/>
    <w:rsid w:val="00D02E5E"/>
    <w:rsid w:val="00D031CC"/>
    <w:rsid w:val="00D04025"/>
    <w:rsid w:val="00D04DB5"/>
    <w:rsid w:val="00D0550F"/>
    <w:rsid w:val="00D05523"/>
    <w:rsid w:val="00D05AD5"/>
    <w:rsid w:val="00D05F7E"/>
    <w:rsid w:val="00D060EC"/>
    <w:rsid w:val="00D066C6"/>
    <w:rsid w:val="00D06EB6"/>
    <w:rsid w:val="00D07111"/>
    <w:rsid w:val="00D074A3"/>
    <w:rsid w:val="00D0765D"/>
    <w:rsid w:val="00D10087"/>
    <w:rsid w:val="00D10A05"/>
    <w:rsid w:val="00D10A28"/>
    <w:rsid w:val="00D10B3B"/>
    <w:rsid w:val="00D10F10"/>
    <w:rsid w:val="00D11D34"/>
    <w:rsid w:val="00D11EC9"/>
    <w:rsid w:val="00D125E2"/>
    <w:rsid w:val="00D12D71"/>
    <w:rsid w:val="00D13142"/>
    <w:rsid w:val="00D13920"/>
    <w:rsid w:val="00D1406E"/>
    <w:rsid w:val="00D1454D"/>
    <w:rsid w:val="00D14624"/>
    <w:rsid w:val="00D14BB1"/>
    <w:rsid w:val="00D15131"/>
    <w:rsid w:val="00D1541F"/>
    <w:rsid w:val="00D1660A"/>
    <w:rsid w:val="00D16ECB"/>
    <w:rsid w:val="00D17660"/>
    <w:rsid w:val="00D206A9"/>
    <w:rsid w:val="00D214E5"/>
    <w:rsid w:val="00D218B6"/>
    <w:rsid w:val="00D21B0E"/>
    <w:rsid w:val="00D22CAA"/>
    <w:rsid w:val="00D22FE7"/>
    <w:rsid w:val="00D22FED"/>
    <w:rsid w:val="00D23473"/>
    <w:rsid w:val="00D236FD"/>
    <w:rsid w:val="00D2376E"/>
    <w:rsid w:val="00D23E0C"/>
    <w:rsid w:val="00D2426D"/>
    <w:rsid w:val="00D24368"/>
    <w:rsid w:val="00D24B56"/>
    <w:rsid w:val="00D24EA4"/>
    <w:rsid w:val="00D252C7"/>
    <w:rsid w:val="00D254DF"/>
    <w:rsid w:val="00D25EFC"/>
    <w:rsid w:val="00D25F7D"/>
    <w:rsid w:val="00D2679D"/>
    <w:rsid w:val="00D269F6"/>
    <w:rsid w:val="00D26D3D"/>
    <w:rsid w:val="00D2746F"/>
    <w:rsid w:val="00D3078F"/>
    <w:rsid w:val="00D30B6B"/>
    <w:rsid w:val="00D30C22"/>
    <w:rsid w:val="00D30E59"/>
    <w:rsid w:val="00D30E9D"/>
    <w:rsid w:val="00D310F6"/>
    <w:rsid w:val="00D3175F"/>
    <w:rsid w:val="00D3241E"/>
    <w:rsid w:val="00D3327B"/>
    <w:rsid w:val="00D33795"/>
    <w:rsid w:val="00D34017"/>
    <w:rsid w:val="00D35436"/>
    <w:rsid w:val="00D35D2C"/>
    <w:rsid w:val="00D36998"/>
    <w:rsid w:val="00D370B8"/>
    <w:rsid w:val="00D37185"/>
    <w:rsid w:val="00D371AA"/>
    <w:rsid w:val="00D371BD"/>
    <w:rsid w:val="00D406A6"/>
    <w:rsid w:val="00D4085C"/>
    <w:rsid w:val="00D4114C"/>
    <w:rsid w:val="00D41D1C"/>
    <w:rsid w:val="00D41D8B"/>
    <w:rsid w:val="00D41EE4"/>
    <w:rsid w:val="00D42559"/>
    <w:rsid w:val="00D42B2D"/>
    <w:rsid w:val="00D436E5"/>
    <w:rsid w:val="00D44920"/>
    <w:rsid w:val="00D45345"/>
    <w:rsid w:val="00D45DE9"/>
    <w:rsid w:val="00D46B27"/>
    <w:rsid w:val="00D46E11"/>
    <w:rsid w:val="00D47615"/>
    <w:rsid w:val="00D47F38"/>
    <w:rsid w:val="00D47FE1"/>
    <w:rsid w:val="00D50509"/>
    <w:rsid w:val="00D5080D"/>
    <w:rsid w:val="00D50A9A"/>
    <w:rsid w:val="00D50B5C"/>
    <w:rsid w:val="00D50EFE"/>
    <w:rsid w:val="00D514D3"/>
    <w:rsid w:val="00D51548"/>
    <w:rsid w:val="00D5190E"/>
    <w:rsid w:val="00D5201E"/>
    <w:rsid w:val="00D52589"/>
    <w:rsid w:val="00D5317E"/>
    <w:rsid w:val="00D5359B"/>
    <w:rsid w:val="00D53A3E"/>
    <w:rsid w:val="00D54DC9"/>
    <w:rsid w:val="00D55055"/>
    <w:rsid w:val="00D55882"/>
    <w:rsid w:val="00D56CF4"/>
    <w:rsid w:val="00D572BF"/>
    <w:rsid w:val="00D603D1"/>
    <w:rsid w:val="00D60A0A"/>
    <w:rsid w:val="00D60AA0"/>
    <w:rsid w:val="00D61521"/>
    <w:rsid w:val="00D61805"/>
    <w:rsid w:val="00D62270"/>
    <w:rsid w:val="00D622C5"/>
    <w:rsid w:val="00D62407"/>
    <w:rsid w:val="00D6276C"/>
    <w:rsid w:val="00D62C4F"/>
    <w:rsid w:val="00D6331A"/>
    <w:rsid w:val="00D63703"/>
    <w:rsid w:val="00D64D93"/>
    <w:rsid w:val="00D64DEB"/>
    <w:rsid w:val="00D65F35"/>
    <w:rsid w:val="00D66ED4"/>
    <w:rsid w:val="00D6721F"/>
    <w:rsid w:val="00D679C2"/>
    <w:rsid w:val="00D679DF"/>
    <w:rsid w:val="00D706D1"/>
    <w:rsid w:val="00D70C2C"/>
    <w:rsid w:val="00D724A9"/>
    <w:rsid w:val="00D72825"/>
    <w:rsid w:val="00D7448F"/>
    <w:rsid w:val="00D74BD5"/>
    <w:rsid w:val="00D768F0"/>
    <w:rsid w:val="00D77A1B"/>
    <w:rsid w:val="00D77A53"/>
    <w:rsid w:val="00D800FE"/>
    <w:rsid w:val="00D818D7"/>
    <w:rsid w:val="00D819EC"/>
    <w:rsid w:val="00D81AA8"/>
    <w:rsid w:val="00D829B3"/>
    <w:rsid w:val="00D82AB9"/>
    <w:rsid w:val="00D82CBA"/>
    <w:rsid w:val="00D835FA"/>
    <w:rsid w:val="00D83706"/>
    <w:rsid w:val="00D83C94"/>
    <w:rsid w:val="00D83F41"/>
    <w:rsid w:val="00D8402A"/>
    <w:rsid w:val="00D841D9"/>
    <w:rsid w:val="00D84DF0"/>
    <w:rsid w:val="00D84E22"/>
    <w:rsid w:val="00D860B0"/>
    <w:rsid w:val="00D863B2"/>
    <w:rsid w:val="00D86790"/>
    <w:rsid w:val="00D87964"/>
    <w:rsid w:val="00D87A15"/>
    <w:rsid w:val="00D87A52"/>
    <w:rsid w:val="00D90B5E"/>
    <w:rsid w:val="00D90C26"/>
    <w:rsid w:val="00D924B6"/>
    <w:rsid w:val="00D924EB"/>
    <w:rsid w:val="00D92C5E"/>
    <w:rsid w:val="00D9386A"/>
    <w:rsid w:val="00D94717"/>
    <w:rsid w:val="00D94ED7"/>
    <w:rsid w:val="00D95765"/>
    <w:rsid w:val="00D962E6"/>
    <w:rsid w:val="00DA044E"/>
    <w:rsid w:val="00DA1568"/>
    <w:rsid w:val="00DA2961"/>
    <w:rsid w:val="00DA39A5"/>
    <w:rsid w:val="00DA3B77"/>
    <w:rsid w:val="00DA427F"/>
    <w:rsid w:val="00DA4966"/>
    <w:rsid w:val="00DA5629"/>
    <w:rsid w:val="00DA5ED0"/>
    <w:rsid w:val="00DA6844"/>
    <w:rsid w:val="00DA6BBF"/>
    <w:rsid w:val="00DA7251"/>
    <w:rsid w:val="00DA728B"/>
    <w:rsid w:val="00DB02D3"/>
    <w:rsid w:val="00DB0439"/>
    <w:rsid w:val="00DB0C80"/>
    <w:rsid w:val="00DB1674"/>
    <w:rsid w:val="00DB17DB"/>
    <w:rsid w:val="00DB1B32"/>
    <w:rsid w:val="00DB29AA"/>
    <w:rsid w:val="00DB2D4B"/>
    <w:rsid w:val="00DB30BC"/>
    <w:rsid w:val="00DB3785"/>
    <w:rsid w:val="00DB3952"/>
    <w:rsid w:val="00DB3DAA"/>
    <w:rsid w:val="00DB4FBC"/>
    <w:rsid w:val="00DB5C93"/>
    <w:rsid w:val="00DB5E4A"/>
    <w:rsid w:val="00DB5ED8"/>
    <w:rsid w:val="00DB6215"/>
    <w:rsid w:val="00DB6E5B"/>
    <w:rsid w:val="00DB74E7"/>
    <w:rsid w:val="00DB7A5E"/>
    <w:rsid w:val="00DB7D1F"/>
    <w:rsid w:val="00DC0240"/>
    <w:rsid w:val="00DC30A0"/>
    <w:rsid w:val="00DC3B0B"/>
    <w:rsid w:val="00DC3F2C"/>
    <w:rsid w:val="00DC3FD9"/>
    <w:rsid w:val="00DC45BB"/>
    <w:rsid w:val="00DC4808"/>
    <w:rsid w:val="00DC5269"/>
    <w:rsid w:val="00DC5EA1"/>
    <w:rsid w:val="00DC61EF"/>
    <w:rsid w:val="00DC6F05"/>
    <w:rsid w:val="00DC7A9F"/>
    <w:rsid w:val="00DC7D6B"/>
    <w:rsid w:val="00DD0E39"/>
    <w:rsid w:val="00DD10DD"/>
    <w:rsid w:val="00DD1FBC"/>
    <w:rsid w:val="00DD203D"/>
    <w:rsid w:val="00DD267F"/>
    <w:rsid w:val="00DD2986"/>
    <w:rsid w:val="00DD3058"/>
    <w:rsid w:val="00DD3657"/>
    <w:rsid w:val="00DD3952"/>
    <w:rsid w:val="00DD441C"/>
    <w:rsid w:val="00DD4568"/>
    <w:rsid w:val="00DD477A"/>
    <w:rsid w:val="00DD4BEB"/>
    <w:rsid w:val="00DD51F3"/>
    <w:rsid w:val="00DD6313"/>
    <w:rsid w:val="00DD6C63"/>
    <w:rsid w:val="00DD7F9D"/>
    <w:rsid w:val="00DE02FF"/>
    <w:rsid w:val="00DE034C"/>
    <w:rsid w:val="00DE1213"/>
    <w:rsid w:val="00DE2950"/>
    <w:rsid w:val="00DE34D7"/>
    <w:rsid w:val="00DE4707"/>
    <w:rsid w:val="00DE4854"/>
    <w:rsid w:val="00DE4976"/>
    <w:rsid w:val="00DE4C70"/>
    <w:rsid w:val="00DE5241"/>
    <w:rsid w:val="00DE5A5D"/>
    <w:rsid w:val="00DE5C54"/>
    <w:rsid w:val="00DE5FF4"/>
    <w:rsid w:val="00DE62A4"/>
    <w:rsid w:val="00DE6635"/>
    <w:rsid w:val="00DE6DD1"/>
    <w:rsid w:val="00DE703E"/>
    <w:rsid w:val="00DE787F"/>
    <w:rsid w:val="00DE7A69"/>
    <w:rsid w:val="00DF05C0"/>
    <w:rsid w:val="00DF0DBF"/>
    <w:rsid w:val="00DF1596"/>
    <w:rsid w:val="00DF1D4E"/>
    <w:rsid w:val="00DF26FE"/>
    <w:rsid w:val="00DF30F7"/>
    <w:rsid w:val="00DF36E3"/>
    <w:rsid w:val="00DF3BD3"/>
    <w:rsid w:val="00DF3BD5"/>
    <w:rsid w:val="00DF43D1"/>
    <w:rsid w:val="00DF441D"/>
    <w:rsid w:val="00DF46C2"/>
    <w:rsid w:val="00DF4857"/>
    <w:rsid w:val="00DF4E0B"/>
    <w:rsid w:val="00DF541B"/>
    <w:rsid w:val="00DF573E"/>
    <w:rsid w:val="00DF6BD8"/>
    <w:rsid w:val="00DF731E"/>
    <w:rsid w:val="00DF742B"/>
    <w:rsid w:val="00DF7EFA"/>
    <w:rsid w:val="00E0056A"/>
    <w:rsid w:val="00E007B8"/>
    <w:rsid w:val="00E008B4"/>
    <w:rsid w:val="00E00BC1"/>
    <w:rsid w:val="00E0198C"/>
    <w:rsid w:val="00E02E77"/>
    <w:rsid w:val="00E02F86"/>
    <w:rsid w:val="00E03553"/>
    <w:rsid w:val="00E04864"/>
    <w:rsid w:val="00E071C1"/>
    <w:rsid w:val="00E075F1"/>
    <w:rsid w:val="00E0762C"/>
    <w:rsid w:val="00E07A61"/>
    <w:rsid w:val="00E07FBF"/>
    <w:rsid w:val="00E11620"/>
    <w:rsid w:val="00E121B1"/>
    <w:rsid w:val="00E12ECE"/>
    <w:rsid w:val="00E144CC"/>
    <w:rsid w:val="00E14679"/>
    <w:rsid w:val="00E146D2"/>
    <w:rsid w:val="00E14D4A"/>
    <w:rsid w:val="00E151C8"/>
    <w:rsid w:val="00E1541B"/>
    <w:rsid w:val="00E1573B"/>
    <w:rsid w:val="00E1670E"/>
    <w:rsid w:val="00E16C14"/>
    <w:rsid w:val="00E1772C"/>
    <w:rsid w:val="00E17857"/>
    <w:rsid w:val="00E178D7"/>
    <w:rsid w:val="00E17D00"/>
    <w:rsid w:val="00E20D2E"/>
    <w:rsid w:val="00E2107A"/>
    <w:rsid w:val="00E21446"/>
    <w:rsid w:val="00E220F0"/>
    <w:rsid w:val="00E2243C"/>
    <w:rsid w:val="00E22E8F"/>
    <w:rsid w:val="00E22EFD"/>
    <w:rsid w:val="00E2332E"/>
    <w:rsid w:val="00E2384D"/>
    <w:rsid w:val="00E23E1F"/>
    <w:rsid w:val="00E25C3C"/>
    <w:rsid w:val="00E25F7F"/>
    <w:rsid w:val="00E263FE"/>
    <w:rsid w:val="00E266BA"/>
    <w:rsid w:val="00E27374"/>
    <w:rsid w:val="00E2746E"/>
    <w:rsid w:val="00E3045E"/>
    <w:rsid w:val="00E30EC0"/>
    <w:rsid w:val="00E31149"/>
    <w:rsid w:val="00E31682"/>
    <w:rsid w:val="00E31C0E"/>
    <w:rsid w:val="00E31D23"/>
    <w:rsid w:val="00E32589"/>
    <w:rsid w:val="00E334A9"/>
    <w:rsid w:val="00E3367E"/>
    <w:rsid w:val="00E33AFF"/>
    <w:rsid w:val="00E33C34"/>
    <w:rsid w:val="00E34F06"/>
    <w:rsid w:val="00E355A3"/>
    <w:rsid w:val="00E35769"/>
    <w:rsid w:val="00E36128"/>
    <w:rsid w:val="00E36ABE"/>
    <w:rsid w:val="00E37285"/>
    <w:rsid w:val="00E40659"/>
    <w:rsid w:val="00E41DC6"/>
    <w:rsid w:val="00E4286D"/>
    <w:rsid w:val="00E42909"/>
    <w:rsid w:val="00E42D4A"/>
    <w:rsid w:val="00E4407A"/>
    <w:rsid w:val="00E4418B"/>
    <w:rsid w:val="00E44315"/>
    <w:rsid w:val="00E44A5B"/>
    <w:rsid w:val="00E44A95"/>
    <w:rsid w:val="00E44E31"/>
    <w:rsid w:val="00E45536"/>
    <w:rsid w:val="00E4587E"/>
    <w:rsid w:val="00E45E9D"/>
    <w:rsid w:val="00E4629F"/>
    <w:rsid w:val="00E464CC"/>
    <w:rsid w:val="00E46821"/>
    <w:rsid w:val="00E46831"/>
    <w:rsid w:val="00E468D6"/>
    <w:rsid w:val="00E46AD2"/>
    <w:rsid w:val="00E47B4B"/>
    <w:rsid w:val="00E507C8"/>
    <w:rsid w:val="00E50A4E"/>
    <w:rsid w:val="00E51734"/>
    <w:rsid w:val="00E51E0A"/>
    <w:rsid w:val="00E51F29"/>
    <w:rsid w:val="00E52511"/>
    <w:rsid w:val="00E52BDC"/>
    <w:rsid w:val="00E53015"/>
    <w:rsid w:val="00E53ADF"/>
    <w:rsid w:val="00E5406D"/>
    <w:rsid w:val="00E546C0"/>
    <w:rsid w:val="00E54EB3"/>
    <w:rsid w:val="00E54EF3"/>
    <w:rsid w:val="00E551F5"/>
    <w:rsid w:val="00E55343"/>
    <w:rsid w:val="00E55392"/>
    <w:rsid w:val="00E5621D"/>
    <w:rsid w:val="00E56AC7"/>
    <w:rsid w:val="00E5700C"/>
    <w:rsid w:val="00E571F1"/>
    <w:rsid w:val="00E57303"/>
    <w:rsid w:val="00E57959"/>
    <w:rsid w:val="00E608D9"/>
    <w:rsid w:val="00E60EF2"/>
    <w:rsid w:val="00E6110F"/>
    <w:rsid w:val="00E62116"/>
    <w:rsid w:val="00E62C35"/>
    <w:rsid w:val="00E636EA"/>
    <w:rsid w:val="00E650CA"/>
    <w:rsid w:val="00E661F8"/>
    <w:rsid w:val="00E70463"/>
    <w:rsid w:val="00E70D77"/>
    <w:rsid w:val="00E70F29"/>
    <w:rsid w:val="00E7187F"/>
    <w:rsid w:val="00E71B3E"/>
    <w:rsid w:val="00E722FB"/>
    <w:rsid w:val="00E72F55"/>
    <w:rsid w:val="00E733D5"/>
    <w:rsid w:val="00E73B7E"/>
    <w:rsid w:val="00E73BB3"/>
    <w:rsid w:val="00E73EE8"/>
    <w:rsid w:val="00E74126"/>
    <w:rsid w:val="00E74E1A"/>
    <w:rsid w:val="00E75F84"/>
    <w:rsid w:val="00E75FD0"/>
    <w:rsid w:val="00E760CC"/>
    <w:rsid w:val="00E76838"/>
    <w:rsid w:val="00E772AE"/>
    <w:rsid w:val="00E772DB"/>
    <w:rsid w:val="00E774D8"/>
    <w:rsid w:val="00E77506"/>
    <w:rsid w:val="00E80089"/>
    <w:rsid w:val="00E805BD"/>
    <w:rsid w:val="00E806CA"/>
    <w:rsid w:val="00E80BDB"/>
    <w:rsid w:val="00E817E4"/>
    <w:rsid w:val="00E81C81"/>
    <w:rsid w:val="00E82232"/>
    <w:rsid w:val="00E82650"/>
    <w:rsid w:val="00E82D20"/>
    <w:rsid w:val="00E844B2"/>
    <w:rsid w:val="00E84679"/>
    <w:rsid w:val="00E84B54"/>
    <w:rsid w:val="00E84E3D"/>
    <w:rsid w:val="00E84F49"/>
    <w:rsid w:val="00E85F53"/>
    <w:rsid w:val="00E86AB2"/>
    <w:rsid w:val="00E86D2C"/>
    <w:rsid w:val="00E8754A"/>
    <w:rsid w:val="00E877DE"/>
    <w:rsid w:val="00E91F06"/>
    <w:rsid w:val="00E91FA4"/>
    <w:rsid w:val="00E92009"/>
    <w:rsid w:val="00E92410"/>
    <w:rsid w:val="00E92F7A"/>
    <w:rsid w:val="00E93038"/>
    <w:rsid w:val="00E933E6"/>
    <w:rsid w:val="00E9393A"/>
    <w:rsid w:val="00E93DC2"/>
    <w:rsid w:val="00E93F69"/>
    <w:rsid w:val="00E9524D"/>
    <w:rsid w:val="00E95985"/>
    <w:rsid w:val="00E965F3"/>
    <w:rsid w:val="00E972FA"/>
    <w:rsid w:val="00E976FC"/>
    <w:rsid w:val="00EA0676"/>
    <w:rsid w:val="00EA0681"/>
    <w:rsid w:val="00EA0830"/>
    <w:rsid w:val="00EA08CE"/>
    <w:rsid w:val="00EA173E"/>
    <w:rsid w:val="00EA1A02"/>
    <w:rsid w:val="00EA1BAD"/>
    <w:rsid w:val="00EA20BA"/>
    <w:rsid w:val="00EA224A"/>
    <w:rsid w:val="00EA23EB"/>
    <w:rsid w:val="00EA245B"/>
    <w:rsid w:val="00EA26F7"/>
    <w:rsid w:val="00EA2ABD"/>
    <w:rsid w:val="00EA2C1A"/>
    <w:rsid w:val="00EA3206"/>
    <w:rsid w:val="00EA3570"/>
    <w:rsid w:val="00EA3E04"/>
    <w:rsid w:val="00EA4659"/>
    <w:rsid w:val="00EA531A"/>
    <w:rsid w:val="00EA5AED"/>
    <w:rsid w:val="00EA5C56"/>
    <w:rsid w:val="00EA5D8B"/>
    <w:rsid w:val="00EA6F9A"/>
    <w:rsid w:val="00EA7DEC"/>
    <w:rsid w:val="00EB052E"/>
    <w:rsid w:val="00EB0768"/>
    <w:rsid w:val="00EB0832"/>
    <w:rsid w:val="00EB22FC"/>
    <w:rsid w:val="00EB31BA"/>
    <w:rsid w:val="00EB34A3"/>
    <w:rsid w:val="00EB353F"/>
    <w:rsid w:val="00EB38F0"/>
    <w:rsid w:val="00EB48D6"/>
    <w:rsid w:val="00EB493A"/>
    <w:rsid w:val="00EB5129"/>
    <w:rsid w:val="00EB560B"/>
    <w:rsid w:val="00EB56C1"/>
    <w:rsid w:val="00EB5BAB"/>
    <w:rsid w:val="00EB66D2"/>
    <w:rsid w:val="00EB6EC8"/>
    <w:rsid w:val="00EB72F6"/>
    <w:rsid w:val="00EB769C"/>
    <w:rsid w:val="00EB7E28"/>
    <w:rsid w:val="00EC098C"/>
    <w:rsid w:val="00EC0C4F"/>
    <w:rsid w:val="00EC1A65"/>
    <w:rsid w:val="00EC1F33"/>
    <w:rsid w:val="00EC26FD"/>
    <w:rsid w:val="00EC272E"/>
    <w:rsid w:val="00EC3224"/>
    <w:rsid w:val="00EC3CA9"/>
    <w:rsid w:val="00EC3F30"/>
    <w:rsid w:val="00EC437E"/>
    <w:rsid w:val="00EC46B1"/>
    <w:rsid w:val="00EC4A6F"/>
    <w:rsid w:val="00EC5467"/>
    <w:rsid w:val="00EC5C61"/>
    <w:rsid w:val="00EC644D"/>
    <w:rsid w:val="00EC6B12"/>
    <w:rsid w:val="00EC7740"/>
    <w:rsid w:val="00EC782E"/>
    <w:rsid w:val="00EC7CCE"/>
    <w:rsid w:val="00ED0B57"/>
    <w:rsid w:val="00ED1331"/>
    <w:rsid w:val="00ED15D7"/>
    <w:rsid w:val="00ED17EC"/>
    <w:rsid w:val="00ED2141"/>
    <w:rsid w:val="00ED24A5"/>
    <w:rsid w:val="00ED2B43"/>
    <w:rsid w:val="00ED2BBA"/>
    <w:rsid w:val="00ED37B0"/>
    <w:rsid w:val="00ED389F"/>
    <w:rsid w:val="00ED422C"/>
    <w:rsid w:val="00ED4A5D"/>
    <w:rsid w:val="00ED4B6E"/>
    <w:rsid w:val="00ED551D"/>
    <w:rsid w:val="00ED6171"/>
    <w:rsid w:val="00ED6269"/>
    <w:rsid w:val="00ED6CD4"/>
    <w:rsid w:val="00ED72CF"/>
    <w:rsid w:val="00ED7393"/>
    <w:rsid w:val="00ED74A2"/>
    <w:rsid w:val="00ED778A"/>
    <w:rsid w:val="00ED7A87"/>
    <w:rsid w:val="00ED7CF9"/>
    <w:rsid w:val="00ED7DD3"/>
    <w:rsid w:val="00ED7E95"/>
    <w:rsid w:val="00EE123C"/>
    <w:rsid w:val="00EE16CF"/>
    <w:rsid w:val="00EE17C5"/>
    <w:rsid w:val="00EE19A0"/>
    <w:rsid w:val="00EE1CBB"/>
    <w:rsid w:val="00EE24BB"/>
    <w:rsid w:val="00EE2893"/>
    <w:rsid w:val="00EE2958"/>
    <w:rsid w:val="00EE3406"/>
    <w:rsid w:val="00EE3A74"/>
    <w:rsid w:val="00EE4047"/>
    <w:rsid w:val="00EE4520"/>
    <w:rsid w:val="00EE4E0F"/>
    <w:rsid w:val="00EE5706"/>
    <w:rsid w:val="00EE58DF"/>
    <w:rsid w:val="00EE6083"/>
    <w:rsid w:val="00EE6582"/>
    <w:rsid w:val="00EE687E"/>
    <w:rsid w:val="00EE72C5"/>
    <w:rsid w:val="00EE7631"/>
    <w:rsid w:val="00EF0072"/>
    <w:rsid w:val="00EF0F71"/>
    <w:rsid w:val="00EF0FF3"/>
    <w:rsid w:val="00EF10AA"/>
    <w:rsid w:val="00EF122E"/>
    <w:rsid w:val="00EF130C"/>
    <w:rsid w:val="00EF1FED"/>
    <w:rsid w:val="00EF291A"/>
    <w:rsid w:val="00EF2BF3"/>
    <w:rsid w:val="00EF3759"/>
    <w:rsid w:val="00EF5E15"/>
    <w:rsid w:val="00EF6116"/>
    <w:rsid w:val="00EF6459"/>
    <w:rsid w:val="00EF6A32"/>
    <w:rsid w:val="00EF7AB9"/>
    <w:rsid w:val="00F0121A"/>
    <w:rsid w:val="00F01539"/>
    <w:rsid w:val="00F01B41"/>
    <w:rsid w:val="00F01BBD"/>
    <w:rsid w:val="00F0245F"/>
    <w:rsid w:val="00F02CBA"/>
    <w:rsid w:val="00F0322E"/>
    <w:rsid w:val="00F03B04"/>
    <w:rsid w:val="00F0466A"/>
    <w:rsid w:val="00F063BE"/>
    <w:rsid w:val="00F06BBF"/>
    <w:rsid w:val="00F07173"/>
    <w:rsid w:val="00F07333"/>
    <w:rsid w:val="00F073C7"/>
    <w:rsid w:val="00F07D35"/>
    <w:rsid w:val="00F07FDF"/>
    <w:rsid w:val="00F109CA"/>
    <w:rsid w:val="00F10BE9"/>
    <w:rsid w:val="00F10D93"/>
    <w:rsid w:val="00F1133C"/>
    <w:rsid w:val="00F117C8"/>
    <w:rsid w:val="00F11DD9"/>
    <w:rsid w:val="00F11F0A"/>
    <w:rsid w:val="00F12B39"/>
    <w:rsid w:val="00F132AC"/>
    <w:rsid w:val="00F13492"/>
    <w:rsid w:val="00F13A96"/>
    <w:rsid w:val="00F13EB8"/>
    <w:rsid w:val="00F14692"/>
    <w:rsid w:val="00F14BF8"/>
    <w:rsid w:val="00F14F70"/>
    <w:rsid w:val="00F151DD"/>
    <w:rsid w:val="00F1523D"/>
    <w:rsid w:val="00F1532D"/>
    <w:rsid w:val="00F15D8F"/>
    <w:rsid w:val="00F16023"/>
    <w:rsid w:val="00F17A7C"/>
    <w:rsid w:val="00F20D6D"/>
    <w:rsid w:val="00F21225"/>
    <w:rsid w:val="00F21B46"/>
    <w:rsid w:val="00F21C44"/>
    <w:rsid w:val="00F223EB"/>
    <w:rsid w:val="00F229A1"/>
    <w:rsid w:val="00F23209"/>
    <w:rsid w:val="00F2352D"/>
    <w:rsid w:val="00F23793"/>
    <w:rsid w:val="00F23A0C"/>
    <w:rsid w:val="00F24486"/>
    <w:rsid w:val="00F247CD"/>
    <w:rsid w:val="00F24EBF"/>
    <w:rsid w:val="00F26360"/>
    <w:rsid w:val="00F263B2"/>
    <w:rsid w:val="00F268A5"/>
    <w:rsid w:val="00F27D92"/>
    <w:rsid w:val="00F3101B"/>
    <w:rsid w:val="00F3201C"/>
    <w:rsid w:val="00F32924"/>
    <w:rsid w:val="00F32971"/>
    <w:rsid w:val="00F329A2"/>
    <w:rsid w:val="00F32A49"/>
    <w:rsid w:val="00F32DA3"/>
    <w:rsid w:val="00F32FD2"/>
    <w:rsid w:val="00F339D5"/>
    <w:rsid w:val="00F33E9C"/>
    <w:rsid w:val="00F34143"/>
    <w:rsid w:val="00F34342"/>
    <w:rsid w:val="00F34791"/>
    <w:rsid w:val="00F34C8B"/>
    <w:rsid w:val="00F34D9A"/>
    <w:rsid w:val="00F35406"/>
    <w:rsid w:val="00F35718"/>
    <w:rsid w:val="00F35838"/>
    <w:rsid w:val="00F36D05"/>
    <w:rsid w:val="00F373A5"/>
    <w:rsid w:val="00F400F6"/>
    <w:rsid w:val="00F401FC"/>
    <w:rsid w:val="00F40767"/>
    <w:rsid w:val="00F409C0"/>
    <w:rsid w:val="00F40BDE"/>
    <w:rsid w:val="00F420A3"/>
    <w:rsid w:val="00F4218E"/>
    <w:rsid w:val="00F42784"/>
    <w:rsid w:val="00F42C76"/>
    <w:rsid w:val="00F431E7"/>
    <w:rsid w:val="00F4326F"/>
    <w:rsid w:val="00F43357"/>
    <w:rsid w:val="00F43385"/>
    <w:rsid w:val="00F43822"/>
    <w:rsid w:val="00F43979"/>
    <w:rsid w:val="00F44C35"/>
    <w:rsid w:val="00F465AB"/>
    <w:rsid w:val="00F4666C"/>
    <w:rsid w:val="00F46720"/>
    <w:rsid w:val="00F468E6"/>
    <w:rsid w:val="00F46FC3"/>
    <w:rsid w:val="00F50666"/>
    <w:rsid w:val="00F50827"/>
    <w:rsid w:val="00F50C2D"/>
    <w:rsid w:val="00F50E57"/>
    <w:rsid w:val="00F522BB"/>
    <w:rsid w:val="00F5281A"/>
    <w:rsid w:val="00F53D06"/>
    <w:rsid w:val="00F53EF8"/>
    <w:rsid w:val="00F55324"/>
    <w:rsid w:val="00F557D1"/>
    <w:rsid w:val="00F55A86"/>
    <w:rsid w:val="00F55BA9"/>
    <w:rsid w:val="00F55E3D"/>
    <w:rsid w:val="00F565B4"/>
    <w:rsid w:val="00F5683E"/>
    <w:rsid w:val="00F568FE"/>
    <w:rsid w:val="00F56A01"/>
    <w:rsid w:val="00F56AC0"/>
    <w:rsid w:val="00F56B74"/>
    <w:rsid w:val="00F56E30"/>
    <w:rsid w:val="00F57209"/>
    <w:rsid w:val="00F5724C"/>
    <w:rsid w:val="00F57835"/>
    <w:rsid w:val="00F6070F"/>
    <w:rsid w:val="00F609A9"/>
    <w:rsid w:val="00F60CEF"/>
    <w:rsid w:val="00F60DF8"/>
    <w:rsid w:val="00F618BE"/>
    <w:rsid w:val="00F61A6B"/>
    <w:rsid w:val="00F61E68"/>
    <w:rsid w:val="00F6250B"/>
    <w:rsid w:val="00F6332A"/>
    <w:rsid w:val="00F63678"/>
    <w:rsid w:val="00F637F1"/>
    <w:rsid w:val="00F641F8"/>
    <w:rsid w:val="00F642B0"/>
    <w:rsid w:val="00F65DF5"/>
    <w:rsid w:val="00F66997"/>
    <w:rsid w:val="00F66C9E"/>
    <w:rsid w:val="00F66EF6"/>
    <w:rsid w:val="00F66F94"/>
    <w:rsid w:val="00F672B5"/>
    <w:rsid w:val="00F67791"/>
    <w:rsid w:val="00F70D76"/>
    <w:rsid w:val="00F7160A"/>
    <w:rsid w:val="00F7176A"/>
    <w:rsid w:val="00F719A7"/>
    <w:rsid w:val="00F719D8"/>
    <w:rsid w:val="00F721BC"/>
    <w:rsid w:val="00F724C9"/>
    <w:rsid w:val="00F72771"/>
    <w:rsid w:val="00F73A4E"/>
    <w:rsid w:val="00F73AA8"/>
    <w:rsid w:val="00F73EBC"/>
    <w:rsid w:val="00F73F1D"/>
    <w:rsid w:val="00F7416F"/>
    <w:rsid w:val="00F741FA"/>
    <w:rsid w:val="00F74440"/>
    <w:rsid w:val="00F75196"/>
    <w:rsid w:val="00F75590"/>
    <w:rsid w:val="00F75878"/>
    <w:rsid w:val="00F7601F"/>
    <w:rsid w:val="00F7615F"/>
    <w:rsid w:val="00F7617A"/>
    <w:rsid w:val="00F7643C"/>
    <w:rsid w:val="00F7675C"/>
    <w:rsid w:val="00F77F9F"/>
    <w:rsid w:val="00F8005A"/>
    <w:rsid w:val="00F800A8"/>
    <w:rsid w:val="00F8024F"/>
    <w:rsid w:val="00F8060C"/>
    <w:rsid w:val="00F80D09"/>
    <w:rsid w:val="00F813D0"/>
    <w:rsid w:val="00F8158E"/>
    <w:rsid w:val="00F81ECD"/>
    <w:rsid w:val="00F81F88"/>
    <w:rsid w:val="00F82488"/>
    <w:rsid w:val="00F8252D"/>
    <w:rsid w:val="00F838AC"/>
    <w:rsid w:val="00F83A71"/>
    <w:rsid w:val="00F84652"/>
    <w:rsid w:val="00F84BF0"/>
    <w:rsid w:val="00F84F2C"/>
    <w:rsid w:val="00F85A5A"/>
    <w:rsid w:val="00F85D52"/>
    <w:rsid w:val="00F85D6A"/>
    <w:rsid w:val="00F85F89"/>
    <w:rsid w:val="00F860A3"/>
    <w:rsid w:val="00F86135"/>
    <w:rsid w:val="00F87901"/>
    <w:rsid w:val="00F90050"/>
    <w:rsid w:val="00F902D4"/>
    <w:rsid w:val="00F914B2"/>
    <w:rsid w:val="00F91D8B"/>
    <w:rsid w:val="00F92050"/>
    <w:rsid w:val="00F92690"/>
    <w:rsid w:val="00F93677"/>
    <w:rsid w:val="00F93AC5"/>
    <w:rsid w:val="00F93ED3"/>
    <w:rsid w:val="00F94746"/>
    <w:rsid w:val="00F9628C"/>
    <w:rsid w:val="00F970C0"/>
    <w:rsid w:val="00F9732C"/>
    <w:rsid w:val="00F979DB"/>
    <w:rsid w:val="00FA11A0"/>
    <w:rsid w:val="00FA1A9B"/>
    <w:rsid w:val="00FA1EBA"/>
    <w:rsid w:val="00FA1F63"/>
    <w:rsid w:val="00FA1FAE"/>
    <w:rsid w:val="00FA260D"/>
    <w:rsid w:val="00FA360C"/>
    <w:rsid w:val="00FA362A"/>
    <w:rsid w:val="00FA5945"/>
    <w:rsid w:val="00FA5C5E"/>
    <w:rsid w:val="00FA5E55"/>
    <w:rsid w:val="00FA5FD7"/>
    <w:rsid w:val="00FA6513"/>
    <w:rsid w:val="00FA7394"/>
    <w:rsid w:val="00FA744A"/>
    <w:rsid w:val="00FB0A15"/>
    <w:rsid w:val="00FB0A8D"/>
    <w:rsid w:val="00FB0AAB"/>
    <w:rsid w:val="00FB173B"/>
    <w:rsid w:val="00FB1B93"/>
    <w:rsid w:val="00FB3A7E"/>
    <w:rsid w:val="00FB4A5D"/>
    <w:rsid w:val="00FB4DAD"/>
    <w:rsid w:val="00FB53E8"/>
    <w:rsid w:val="00FB5E7D"/>
    <w:rsid w:val="00FB773F"/>
    <w:rsid w:val="00FC007D"/>
    <w:rsid w:val="00FC0D67"/>
    <w:rsid w:val="00FC247A"/>
    <w:rsid w:val="00FC29F5"/>
    <w:rsid w:val="00FC321A"/>
    <w:rsid w:val="00FC34BD"/>
    <w:rsid w:val="00FC3B19"/>
    <w:rsid w:val="00FC3CF9"/>
    <w:rsid w:val="00FC40C8"/>
    <w:rsid w:val="00FC4772"/>
    <w:rsid w:val="00FC55D1"/>
    <w:rsid w:val="00FC61AF"/>
    <w:rsid w:val="00FC6857"/>
    <w:rsid w:val="00FC6A87"/>
    <w:rsid w:val="00FC70BE"/>
    <w:rsid w:val="00FD031F"/>
    <w:rsid w:val="00FD07C7"/>
    <w:rsid w:val="00FD0BF6"/>
    <w:rsid w:val="00FD0E36"/>
    <w:rsid w:val="00FD18D4"/>
    <w:rsid w:val="00FD32C4"/>
    <w:rsid w:val="00FD3453"/>
    <w:rsid w:val="00FD3526"/>
    <w:rsid w:val="00FD409F"/>
    <w:rsid w:val="00FD4415"/>
    <w:rsid w:val="00FD4617"/>
    <w:rsid w:val="00FD4817"/>
    <w:rsid w:val="00FD5C9E"/>
    <w:rsid w:val="00FD5D72"/>
    <w:rsid w:val="00FD62FB"/>
    <w:rsid w:val="00FD68AD"/>
    <w:rsid w:val="00FD768F"/>
    <w:rsid w:val="00FD7F13"/>
    <w:rsid w:val="00FE08CC"/>
    <w:rsid w:val="00FE0C24"/>
    <w:rsid w:val="00FE0CEA"/>
    <w:rsid w:val="00FE1ACD"/>
    <w:rsid w:val="00FE1AF3"/>
    <w:rsid w:val="00FE210A"/>
    <w:rsid w:val="00FE2349"/>
    <w:rsid w:val="00FE26FD"/>
    <w:rsid w:val="00FE28A2"/>
    <w:rsid w:val="00FE2D51"/>
    <w:rsid w:val="00FE31CF"/>
    <w:rsid w:val="00FE3687"/>
    <w:rsid w:val="00FE3B61"/>
    <w:rsid w:val="00FE3F6C"/>
    <w:rsid w:val="00FE4088"/>
    <w:rsid w:val="00FE4A7B"/>
    <w:rsid w:val="00FE4FE1"/>
    <w:rsid w:val="00FE4FF0"/>
    <w:rsid w:val="00FE5E2A"/>
    <w:rsid w:val="00FE5F7C"/>
    <w:rsid w:val="00FE61E9"/>
    <w:rsid w:val="00FE62D7"/>
    <w:rsid w:val="00FE6E35"/>
    <w:rsid w:val="00FE727C"/>
    <w:rsid w:val="00FE77CD"/>
    <w:rsid w:val="00FF0205"/>
    <w:rsid w:val="00FF08B6"/>
    <w:rsid w:val="00FF0C77"/>
    <w:rsid w:val="00FF1683"/>
    <w:rsid w:val="00FF1D1F"/>
    <w:rsid w:val="00FF2079"/>
    <w:rsid w:val="00FF20C1"/>
    <w:rsid w:val="00FF277B"/>
    <w:rsid w:val="00FF3246"/>
    <w:rsid w:val="00FF4780"/>
    <w:rsid w:val="00FF511C"/>
    <w:rsid w:val="00FF5CC0"/>
    <w:rsid w:val="00FF5D64"/>
    <w:rsid w:val="00FF6480"/>
    <w:rsid w:val="00FF71CA"/>
    <w:rsid w:val="00FF734E"/>
    <w:rsid w:val="FBE712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uiPriority="99" w:semiHidden="0" w:name="header"/>
    <w:lsdException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qFormat="1" w:unhideWhenUsed="0" w:uiPriority="0" w:semiHidden="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jc w:val="both"/>
    </w:pPr>
    <w:rPr>
      <w:rFonts w:ascii="Times New Roman" w:hAnsi="Times New Roman" w:eastAsiaTheme="minorEastAsia" w:cstheme="minorBidi"/>
      <w:sz w:val="22"/>
      <w:szCs w:val="22"/>
      <w:lang w:val="en-US" w:eastAsia="ja-JP" w:bidi="ar-SA"/>
    </w:rPr>
  </w:style>
  <w:style w:type="paragraph" w:styleId="2">
    <w:name w:val="heading 1"/>
    <w:next w:val="1"/>
    <w:link w:val="27"/>
    <w:qFormat/>
    <w:uiPriority w:val="0"/>
    <w:pPr>
      <w:keepNext/>
      <w:keepLines/>
      <w:numPr>
        <w:ilvl w:val="0"/>
        <w:numId w:val="1"/>
      </w:numPr>
      <w:pBdr>
        <w:top w:val="single" w:color="auto" w:sz="12" w:space="3"/>
      </w:pBdr>
      <w:overflowPunct w:val="0"/>
      <w:autoSpaceDE w:val="0"/>
      <w:autoSpaceDN w:val="0"/>
      <w:adjustRightInd w:val="0"/>
      <w:spacing w:before="240" w:after="180" w:line="240" w:lineRule="auto"/>
      <w:textAlignment w:val="baseline"/>
      <w:outlineLvl w:val="0"/>
    </w:pPr>
    <w:rPr>
      <w:rFonts w:ascii="Times New Roman" w:hAnsi="Times New Roman" w:eastAsia="SimSun" w:cs="Times New Roman"/>
      <w:sz w:val="36"/>
      <w:szCs w:val="36"/>
      <w:lang w:val="en-GB" w:eastAsia="zh-CN" w:bidi="ar-SA"/>
    </w:rPr>
  </w:style>
  <w:style w:type="paragraph" w:styleId="3">
    <w:name w:val="heading 2"/>
    <w:basedOn w:val="2"/>
    <w:next w:val="1"/>
    <w:link w:val="28"/>
    <w:qFormat/>
    <w:uiPriority w:val="0"/>
    <w:pPr>
      <w:numPr>
        <w:ilvl w:val="1"/>
      </w:numPr>
      <w:pBdr>
        <w:top w:val="none" w:color="auto" w:sz="0" w:space="0"/>
      </w:pBdr>
      <w:spacing w:before="180"/>
      <w:outlineLvl w:val="1"/>
    </w:pPr>
    <w:rPr>
      <w:sz w:val="32"/>
      <w:szCs w:val="32"/>
    </w:rPr>
  </w:style>
  <w:style w:type="paragraph" w:styleId="4">
    <w:name w:val="heading 3"/>
    <w:basedOn w:val="3"/>
    <w:next w:val="1"/>
    <w:link w:val="29"/>
    <w:qFormat/>
    <w:uiPriority w:val="0"/>
    <w:pPr>
      <w:numPr>
        <w:ilvl w:val="2"/>
      </w:numPr>
      <w:spacing w:before="120"/>
      <w:outlineLvl w:val="2"/>
    </w:pPr>
    <w:rPr>
      <w:sz w:val="28"/>
      <w:szCs w:val="28"/>
    </w:rPr>
  </w:style>
  <w:style w:type="paragraph" w:styleId="5">
    <w:name w:val="heading 4"/>
    <w:basedOn w:val="4"/>
    <w:next w:val="1"/>
    <w:link w:val="30"/>
    <w:qFormat/>
    <w:uiPriority w:val="0"/>
    <w:pPr>
      <w:numPr>
        <w:ilvl w:val="3"/>
      </w:numPr>
      <w:outlineLvl w:val="3"/>
    </w:pPr>
    <w:rPr>
      <w:sz w:val="24"/>
      <w:szCs w:val="24"/>
    </w:rPr>
  </w:style>
  <w:style w:type="paragraph" w:styleId="6">
    <w:name w:val="heading 5"/>
    <w:basedOn w:val="5"/>
    <w:next w:val="1"/>
    <w:link w:val="31"/>
    <w:qFormat/>
    <w:uiPriority w:val="0"/>
    <w:pPr>
      <w:numPr>
        <w:ilvl w:val="4"/>
      </w:numPr>
      <w:outlineLvl w:val="4"/>
    </w:pPr>
    <w:rPr>
      <w:sz w:val="22"/>
      <w:szCs w:val="22"/>
    </w:rPr>
  </w:style>
  <w:style w:type="paragraph" w:styleId="7">
    <w:name w:val="heading 6"/>
    <w:basedOn w:val="1"/>
    <w:next w:val="1"/>
    <w:link w:val="32"/>
    <w:qFormat/>
    <w:uiPriority w:val="0"/>
    <w:pPr>
      <w:keepNext/>
      <w:keepLines/>
      <w:numPr>
        <w:ilvl w:val="5"/>
        <w:numId w:val="1"/>
      </w:numPr>
      <w:outlineLvl w:val="5"/>
    </w:pPr>
    <w:rPr>
      <w:rFonts w:ascii="Arial" w:hAnsi="Arial" w:cs="Arial"/>
    </w:rPr>
  </w:style>
  <w:style w:type="paragraph" w:styleId="8">
    <w:name w:val="heading 7"/>
    <w:basedOn w:val="1"/>
    <w:next w:val="1"/>
    <w:link w:val="33"/>
    <w:qFormat/>
    <w:uiPriority w:val="0"/>
    <w:pPr>
      <w:keepNext/>
      <w:keepLines/>
      <w:numPr>
        <w:ilvl w:val="6"/>
        <w:numId w:val="1"/>
      </w:numPr>
      <w:outlineLvl w:val="6"/>
    </w:pPr>
    <w:rPr>
      <w:rFonts w:ascii="Arial" w:hAnsi="Arial" w:cs="Arial"/>
    </w:rPr>
  </w:style>
  <w:style w:type="paragraph" w:styleId="9">
    <w:name w:val="heading 8"/>
    <w:basedOn w:val="8"/>
    <w:next w:val="1"/>
    <w:link w:val="34"/>
    <w:qFormat/>
    <w:uiPriority w:val="0"/>
    <w:pPr>
      <w:numPr>
        <w:ilvl w:val="7"/>
      </w:numPr>
      <w:outlineLvl w:val="7"/>
    </w:pPr>
  </w:style>
  <w:style w:type="paragraph" w:styleId="10">
    <w:name w:val="heading 9"/>
    <w:basedOn w:val="9"/>
    <w:next w:val="1"/>
    <w:link w:val="35"/>
    <w:qFormat/>
    <w:uiPriority w:val="0"/>
    <w:pPr>
      <w:numPr>
        <w:ilvl w:val="8"/>
      </w:numPr>
      <w:outlineLvl w:val="8"/>
    </w:pPr>
  </w:style>
  <w:style w:type="character" w:default="1" w:styleId="11">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13">
    <w:name w:val="Balloon Text"/>
    <w:basedOn w:val="1"/>
    <w:link w:val="40"/>
    <w:semiHidden/>
    <w:unhideWhenUsed/>
    <w:uiPriority w:val="99"/>
    <w:pPr>
      <w:spacing w:after="0" w:line="240" w:lineRule="auto"/>
    </w:pPr>
    <w:rPr>
      <w:rFonts w:ascii="Segoe UI" w:hAnsi="Segoe UI" w:cs="Segoe UI"/>
      <w:sz w:val="18"/>
      <w:szCs w:val="18"/>
    </w:rPr>
  </w:style>
  <w:style w:type="paragraph" w:styleId="14">
    <w:name w:val="Body Text"/>
    <w:basedOn w:val="1"/>
    <w:link w:val="47"/>
    <w:semiHidden/>
    <w:unhideWhenUsed/>
    <w:uiPriority w:val="99"/>
    <w:pPr>
      <w:spacing w:after="0" w:line="240" w:lineRule="auto"/>
    </w:pPr>
    <w:rPr>
      <w:rFonts w:ascii="Calibri" w:hAnsi="Calibri" w:cs="Calibri"/>
      <w:lang w:eastAsia="zh-CN"/>
    </w:rPr>
  </w:style>
  <w:style w:type="paragraph" w:styleId="15">
    <w:name w:val="caption"/>
    <w:basedOn w:val="1"/>
    <w:next w:val="1"/>
    <w:link w:val="39"/>
    <w:qFormat/>
    <w:uiPriority w:val="0"/>
    <w:pPr>
      <w:spacing w:after="240" w:line="240" w:lineRule="auto"/>
      <w:jc w:val="center"/>
    </w:pPr>
    <w:rPr>
      <w:b/>
      <w:bCs/>
      <w:szCs w:val="24"/>
    </w:rPr>
  </w:style>
  <w:style w:type="character" w:styleId="16">
    <w:name w:val="annotation reference"/>
    <w:basedOn w:val="11"/>
    <w:semiHidden/>
    <w:unhideWhenUsed/>
    <w:qFormat/>
    <w:uiPriority w:val="0"/>
    <w:rPr>
      <w:sz w:val="16"/>
      <w:szCs w:val="16"/>
    </w:rPr>
  </w:style>
  <w:style w:type="paragraph" w:styleId="17">
    <w:name w:val="annotation text"/>
    <w:basedOn w:val="1"/>
    <w:link w:val="45"/>
    <w:unhideWhenUsed/>
    <w:qFormat/>
    <w:uiPriority w:val="99"/>
    <w:pPr>
      <w:spacing w:line="240" w:lineRule="auto"/>
    </w:pPr>
    <w:rPr>
      <w:sz w:val="20"/>
      <w:szCs w:val="20"/>
    </w:rPr>
  </w:style>
  <w:style w:type="paragraph" w:styleId="18">
    <w:name w:val="annotation subject"/>
    <w:basedOn w:val="17"/>
    <w:next w:val="17"/>
    <w:link w:val="46"/>
    <w:semiHidden/>
    <w:unhideWhenUsed/>
    <w:uiPriority w:val="99"/>
    <w:rPr>
      <w:b/>
      <w:bCs/>
    </w:rPr>
  </w:style>
  <w:style w:type="paragraph" w:styleId="19">
    <w:name w:val="footer"/>
    <w:basedOn w:val="1"/>
    <w:link w:val="51"/>
    <w:unhideWhenUsed/>
    <w:uiPriority w:val="99"/>
    <w:pPr>
      <w:tabs>
        <w:tab w:val="center" w:pos="4680"/>
        <w:tab w:val="right" w:pos="9360"/>
      </w:tabs>
      <w:spacing w:after="0" w:line="240" w:lineRule="auto"/>
    </w:pPr>
  </w:style>
  <w:style w:type="paragraph" w:styleId="20">
    <w:name w:val="header"/>
    <w:basedOn w:val="1"/>
    <w:link w:val="50"/>
    <w:unhideWhenUsed/>
    <w:uiPriority w:val="99"/>
    <w:pPr>
      <w:tabs>
        <w:tab w:val="center" w:pos="4680"/>
        <w:tab w:val="right" w:pos="9360"/>
      </w:tabs>
      <w:spacing w:after="0" w:line="240" w:lineRule="auto"/>
    </w:pPr>
  </w:style>
  <w:style w:type="character" w:styleId="21">
    <w:name w:val="Hyperlink"/>
    <w:qFormat/>
    <w:uiPriority w:val="99"/>
    <w:rPr>
      <w:color w:val="0000FF"/>
      <w:u w:val="single"/>
    </w:rPr>
  </w:style>
  <w:style w:type="paragraph" w:styleId="22">
    <w:name w:val="List"/>
    <w:basedOn w:val="1"/>
    <w:semiHidden/>
    <w:unhideWhenUsed/>
    <w:uiPriority w:val="99"/>
    <w:pPr>
      <w:ind w:left="360" w:hanging="360"/>
      <w:contextualSpacing/>
    </w:pPr>
  </w:style>
  <w:style w:type="paragraph" w:styleId="23">
    <w:name w:val="List Bullet"/>
    <w:basedOn w:val="22"/>
    <w:qFormat/>
    <w:uiPriority w:val="0"/>
    <w:pPr>
      <w:numPr>
        <w:ilvl w:val="0"/>
        <w:numId w:val="2"/>
      </w:numPr>
      <w:tabs>
        <w:tab w:val="left" w:pos="432"/>
      </w:tabs>
      <w:spacing w:after="0" w:line="240" w:lineRule="auto"/>
      <w:ind w:left="432" w:firstLine="0"/>
      <w:contextualSpacing w:val="0"/>
      <w:jc w:val="left"/>
    </w:pPr>
    <w:rPr>
      <w:rFonts w:asciiTheme="minorHAnsi" w:hAnsiTheme="minorHAnsi"/>
      <w:kern w:val="2"/>
      <w:lang w:eastAsia="en-US"/>
      <w14:ligatures w14:val="standardContextual"/>
    </w:rPr>
  </w:style>
  <w:style w:type="paragraph" w:styleId="24">
    <w:name w:val="Normal (Web)"/>
    <w:basedOn w:val="1"/>
    <w:unhideWhenUsed/>
    <w:uiPriority w:val="99"/>
    <w:pPr>
      <w:spacing w:before="100" w:beforeAutospacing="1" w:after="100" w:afterAutospacing="1" w:line="240" w:lineRule="auto"/>
    </w:pPr>
    <w:rPr>
      <w:rFonts w:eastAsia="Times New Roman" w:cs="Times New Roman"/>
      <w:sz w:val="24"/>
      <w:szCs w:val="24"/>
      <w:lang w:eastAsia="en-US"/>
    </w:rPr>
  </w:style>
  <w:style w:type="character" w:styleId="25">
    <w:name w:val="Strong"/>
    <w:qFormat/>
    <w:uiPriority w:val="22"/>
    <w:rPr>
      <w:b/>
      <w:bCs/>
    </w:rPr>
  </w:style>
  <w:style w:type="table" w:styleId="26">
    <w:name w:val="Table Grid"/>
    <w:basedOn w:val="12"/>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
    <w:name w:val="Heading 1 Char"/>
    <w:basedOn w:val="11"/>
    <w:link w:val="2"/>
    <w:uiPriority w:val="0"/>
    <w:rPr>
      <w:rFonts w:ascii="Times New Roman" w:hAnsi="Times New Roman" w:eastAsia="SimSun" w:cs="Times New Roman"/>
      <w:sz w:val="36"/>
      <w:szCs w:val="36"/>
      <w:lang w:val="en-GB" w:eastAsia="zh-CN"/>
    </w:rPr>
  </w:style>
  <w:style w:type="character" w:customStyle="1" w:styleId="28">
    <w:name w:val="Heading 2 Char"/>
    <w:basedOn w:val="11"/>
    <w:link w:val="3"/>
    <w:uiPriority w:val="0"/>
    <w:rPr>
      <w:rFonts w:ascii="Times New Roman" w:hAnsi="Times New Roman" w:eastAsia="SimSun" w:cs="Times New Roman"/>
      <w:sz w:val="32"/>
      <w:szCs w:val="32"/>
      <w:lang w:val="en-GB" w:eastAsia="zh-CN"/>
    </w:rPr>
  </w:style>
  <w:style w:type="character" w:customStyle="1" w:styleId="29">
    <w:name w:val="Heading 3 Char"/>
    <w:basedOn w:val="11"/>
    <w:link w:val="4"/>
    <w:uiPriority w:val="0"/>
    <w:rPr>
      <w:rFonts w:ascii="Times New Roman" w:hAnsi="Times New Roman" w:eastAsia="SimSun" w:cs="Times New Roman"/>
      <w:sz w:val="28"/>
      <w:szCs w:val="28"/>
      <w:lang w:val="en-GB" w:eastAsia="zh-CN"/>
    </w:rPr>
  </w:style>
  <w:style w:type="character" w:customStyle="1" w:styleId="30">
    <w:name w:val="Heading 4 Char"/>
    <w:basedOn w:val="11"/>
    <w:link w:val="5"/>
    <w:uiPriority w:val="0"/>
    <w:rPr>
      <w:rFonts w:ascii="Times New Roman" w:hAnsi="Times New Roman" w:eastAsia="SimSun" w:cs="Times New Roman"/>
      <w:sz w:val="24"/>
      <w:szCs w:val="24"/>
      <w:lang w:val="en-GB" w:eastAsia="zh-CN"/>
    </w:rPr>
  </w:style>
  <w:style w:type="character" w:customStyle="1" w:styleId="31">
    <w:name w:val="Heading 5 Char"/>
    <w:basedOn w:val="11"/>
    <w:link w:val="6"/>
    <w:uiPriority w:val="0"/>
    <w:rPr>
      <w:rFonts w:ascii="Times New Roman" w:hAnsi="Times New Roman" w:eastAsia="SimSun" w:cs="Times New Roman"/>
      <w:lang w:val="en-GB" w:eastAsia="zh-CN"/>
    </w:rPr>
  </w:style>
  <w:style w:type="character" w:customStyle="1" w:styleId="32">
    <w:name w:val="Heading 6 Char"/>
    <w:basedOn w:val="11"/>
    <w:link w:val="7"/>
    <w:uiPriority w:val="0"/>
    <w:rPr>
      <w:rFonts w:ascii="Arial" w:hAnsi="Arial" w:cs="Arial"/>
    </w:rPr>
  </w:style>
  <w:style w:type="character" w:customStyle="1" w:styleId="33">
    <w:name w:val="Heading 7 Char"/>
    <w:basedOn w:val="11"/>
    <w:link w:val="8"/>
    <w:uiPriority w:val="0"/>
    <w:rPr>
      <w:rFonts w:ascii="Arial" w:hAnsi="Arial" w:cs="Arial"/>
    </w:rPr>
  </w:style>
  <w:style w:type="character" w:customStyle="1" w:styleId="34">
    <w:name w:val="Heading 8 Char"/>
    <w:basedOn w:val="11"/>
    <w:link w:val="9"/>
    <w:uiPriority w:val="0"/>
    <w:rPr>
      <w:rFonts w:ascii="Arial" w:hAnsi="Arial" w:cs="Arial"/>
    </w:rPr>
  </w:style>
  <w:style w:type="character" w:customStyle="1" w:styleId="35">
    <w:name w:val="Heading 9 Char"/>
    <w:basedOn w:val="11"/>
    <w:link w:val="10"/>
    <w:uiPriority w:val="0"/>
    <w:rPr>
      <w:rFonts w:ascii="Arial" w:hAnsi="Arial" w:cs="Arial"/>
    </w:rPr>
  </w:style>
  <w:style w:type="paragraph" w:customStyle="1" w:styleId="36">
    <w:name w:val="CR Cover Page"/>
    <w:uiPriority w:val="0"/>
    <w:pPr>
      <w:spacing w:after="120" w:line="240" w:lineRule="auto"/>
    </w:pPr>
    <w:rPr>
      <w:rFonts w:ascii="Arial" w:hAnsi="Arial" w:eastAsia="MS Mincho" w:cs="Times New Roman"/>
      <w:sz w:val="20"/>
      <w:szCs w:val="20"/>
      <w:lang w:val="en-GB" w:eastAsia="en-US" w:bidi="ar-SA"/>
    </w:rPr>
  </w:style>
  <w:style w:type="paragraph" w:styleId="37">
    <w:name w:val="List Paragraph"/>
    <w:basedOn w:val="1"/>
    <w:link w:val="38"/>
    <w:qFormat/>
    <w:uiPriority w:val="99"/>
    <w:pPr>
      <w:spacing w:after="0" w:line="240" w:lineRule="auto"/>
      <w:ind w:left="720"/>
    </w:pPr>
    <w:rPr>
      <w:rFonts w:eastAsia="Calibri"/>
      <w:szCs w:val="24"/>
    </w:rPr>
  </w:style>
  <w:style w:type="character" w:customStyle="1" w:styleId="38">
    <w:name w:val="List Paragraph Char"/>
    <w:link w:val="37"/>
    <w:qFormat/>
    <w:uiPriority w:val="34"/>
    <w:rPr>
      <w:rFonts w:ascii="Times New Roman" w:hAnsi="Times New Roman" w:eastAsia="Calibri"/>
      <w:szCs w:val="24"/>
    </w:rPr>
  </w:style>
  <w:style w:type="character" w:customStyle="1" w:styleId="39">
    <w:name w:val="Caption Char"/>
    <w:link w:val="15"/>
    <w:uiPriority w:val="0"/>
    <w:rPr>
      <w:rFonts w:ascii="Times New Roman" w:hAnsi="Times New Roman"/>
      <w:b/>
      <w:bCs/>
      <w:szCs w:val="24"/>
    </w:rPr>
  </w:style>
  <w:style w:type="character" w:customStyle="1" w:styleId="40">
    <w:name w:val="Balloon Text Char"/>
    <w:basedOn w:val="11"/>
    <w:link w:val="13"/>
    <w:semiHidden/>
    <w:uiPriority w:val="99"/>
    <w:rPr>
      <w:rFonts w:ascii="Segoe UI" w:hAnsi="Segoe UI" w:cs="Segoe UI"/>
      <w:sz w:val="18"/>
      <w:szCs w:val="18"/>
    </w:rPr>
  </w:style>
  <w:style w:type="paragraph" w:customStyle="1" w:styleId="41">
    <w:name w:val="NO"/>
    <w:basedOn w:val="1"/>
    <w:link w:val="42"/>
    <w:uiPriority w:val="0"/>
    <w:pPr>
      <w:keepLines/>
      <w:spacing w:after="180" w:line="240" w:lineRule="auto"/>
      <w:ind w:left="1135" w:hanging="851"/>
    </w:pPr>
    <w:rPr>
      <w:rFonts w:eastAsia="Malgun Gothic" w:cs="Times New Roman"/>
      <w:sz w:val="20"/>
      <w:szCs w:val="20"/>
      <w:lang w:val="en-GB" w:eastAsia="en-US"/>
    </w:rPr>
  </w:style>
  <w:style w:type="character" w:customStyle="1" w:styleId="42">
    <w:name w:val="NO Char"/>
    <w:link w:val="41"/>
    <w:uiPriority w:val="0"/>
    <w:rPr>
      <w:rFonts w:ascii="Times New Roman" w:hAnsi="Times New Roman" w:eastAsia="Malgun Gothic" w:cs="Times New Roman"/>
      <w:sz w:val="20"/>
      <w:szCs w:val="20"/>
      <w:lang w:val="en-GB" w:eastAsia="en-US"/>
    </w:rPr>
  </w:style>
  <w:style w:type="paragraph" w:customStyle="1" w:styleId="43">
    <w:name w:val="Reference"/>
    <w:basedOn w:val="1"/>
    <w:link w:val="44"/>
    <w:uiPriority w:val="0"/>
    <w:pPr>
      <w:numPr>
        <w:ilvl w:val="0"/>
        <w:numId w:val="3"/>
      </w:numPr>
    </w:pPr>
    <w:rPr>
      <w:rFonts w:eastAsiaTheme="minorHAnsi"/>
      <w:lang w:eastAsia="en-US"/>
    </w:rPr>
  </w:style>
  <w:style w:type="character" w:customStyle="1" w:styleId="44">
    <w:name w:val="Reference Char"/>
    <w:link w:val="43"/>
    <w:locked/>
    <w:uiPriority w:val="0"/>
    <w:rPr>
      <w:rFonts w:ascii="Times New Roman" w:hAnsi="Times New Roman" w:eastAsiaTheme="minorHAnsi"/>
      <w:lang w:eastAsia="en-US"/>
    </w:rPr>
  </w:style>
  <w:style w:type="character" w:customStyle="1" w:styleId="45">
    <w:name w:val="Comment Text Char"/>
    <w:basedOn w:val="11"/>
    <w:link w:val="17"/>
    <w:qFormat/>
    <w:uiPriority w:val="99"/>
    <w:rPr>
      <w:sz w:val="20"/>
      <w:szCs w:val="20"/>
    </w:rPr>
  </w:style>
  <w:style w:type="character" w:customStyle="1" w:styleId="46">
    <w:name w:val="Comment Subject Char"/>
    <w:basedOn w:val="45"/>
    <w:link w:val="18"/>
    <w:semiHidden/>
    <w:uiPriority w:val="99"/>
    <w:rPr>
      <w:b/>
      <w:bCs/>
      <w:sz w:val="20"/>
      <w:szCs w:val="20"/>
    </w:rPr>
  </w:style>
  <w:style w:type="character" w:customStyle="1" w:styleId="47">
    <w:name w:val="Body Text Char"/>
    <w:basedOn w:val="11"/>
    <w:link w:val="14"/>
    <w:semiHidden/>
    <w:uiPriority w:val="99"/>
    <w:rPr>
      <w:rFonts w:ascii="Calibri" w:hAnsi="Calibri" w:cs="Calibri"/>
      <w:lang w:eastAsia="zh-CN"/>
    </w:rPr>
  </w:style>
  <w:style w:type="character" w:styleId="48">
    <w:name w:val="Placeholder Text"/>
    <w:basedOn w:val="11"/>
    <w:semiHidden/>
    <w:uiPriority w:val="99"/>
    <w:rPr>
      <w:color w:val="808080"/>
    </w:rPr>
  </w:style>
  <w:style w:type="paragraph" w:customStyle="1" w:styleId="49">
    <w:name w:val="Revision"/>
    <w:hidden/>
    <w:semiHidden/>
    <w:uiPriority w:val="99"/>
    <w:pPr>
      <w:spacing w:after="0" w:line="240" w:lineRule="auto"/>
    </w:pPr>
    <w:rPr>
      <w:rFonts w:asciiTheme="minorHAnsi" w:hAnsiTheme="minorHAnsi" w:eastAsiaTheme="minorEastAsia" w:cstheme="minorBidi"/>
      <w:sz w:val="22"/>
      <w:szCs w:val="22"/>
      <w:lang w:val="en-US" w:eastAsia="ja-JP" w:bidi="ar-SA"/>
    </w:rPr>
  </w:style>
  <w:style w:type="character" w:customStyle="1" w:styleId="50">
    <w:name w:val="Header Char"/>
    <w:basedOn w:val="11"/>
    <w:link w:val="20"/>
    <w:uiPriority w:val="99"/>
  </w:style>
  <w:style w:type="character" w:customStyle="1" w:styleId="51">
    <w:name w:val="Footer Char"/>
    <w:basedOn w:val="11"/>
    <w:link w:val="19"/>
    <w:uiPriority w:val="99"/>
  </w:style>
  <w:style w:type="paragraph" w:customStyle="1" w:styleId="52">
    <w:name w:val="PL"/>
    <w:link w:val="53"/>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eastAsia="Times New Roman" w:cs="Times New Roman"/>
      <w:sz w:val="16"/>
      <w:szCs w:val="20"/>
      <w:lang w:val="en-GB" w:eastAsia="en-GB" w:bidi="ar-SA"/>
    </w:rPr>
  </w:style>
  <w:style w:type="character" w:customStyle="1" w:styleId="53">
    <w:name w:val="PL Char"/>
    <w:link w:val="52"/>
    <w:qFormat/>
    <w:uiPriority w:val="0"/>
    <w:rPr>
      <w:rFonts w:ascii="Courier New" w:hAnsi="Courier New" w:eastAsia="Times New Roman" w:cs="Times New Roman"/>
      <w:sz w:val="16"/>
      <w:szCs w:val="20"/>
      <w:shd w:val="clear" w:color="auto" w:fill="E6E6E6"/>
      <w:lang w:val="en-GB" w:eastAsia="en-GB"/>
    </w:rPr>
  </w:style>
  <w:style w:type="paragraph" w:customStyle="1" w:styleId="54">
    <w:name w:val="TAL"/>
    <w:basedOn w:val="1"/>
    <w:link w:val="55"/>
    <w:qFormat/>
    <w:uiPriority w:val="0"/>
    <w:pPr>
      <w:keepNext/>
      <w:keepLines/>
      <w:overflowPunct w:val="0"/>
      <w:autoSpaceDE w:val="0"/>
      <w:autoSpaceDN w:val="0"/>
      <w:adjustRightInd w:val="0"/>
      <w:spacing w:after="0" w:line="240" w:lineRule="auto"/>
      <w:jc w:val="left"/>
      <w:textAlignment w:val="baseline"/>
    </w:pPr>
    <w:rPr>
      <w:rFonts w:ascii="Arial" w:hAnsi="Arial" w:eastAsia="Times New Roman" w:cs="Times New Roman"/>
      <w:sz w:val="18"/>
      <w:szCs w:val="20"/>
      <w:lang w:val="en-GB"/>
    </w:rPr>
  </w:style>
  <w:style w:type="character" w:customStyle="1" w:styleId="55">
    <w:name w:val="TAL Car"/>
    <w:link w:val="54"/>
    <w:qFormat/>
    <w:uiPriority w:val="0"/>
    <w:rPr>
      <w:rFonts w:ascii="Arial" w:hAnsi="Arial" w:eastAsia="Times New Roman" w:cs="Times New Roman"/>
      <w:sz w:val="18"/>
      <w:szCs w:val="20"/>
      <w:lang w:val="en-GB"/>
    </w:rPr>
  </w:style>
  <w:style w:type="table" w:customStyle="1" w:styleId="56">
    <w:name w:val="Table Grid15"/>
    <w:basedOn w:val="12"/>
    <w:uiPriority w:val="59"/>
    <w:pPr>
      <w:spacing w:after="0" w:line="240" w:lineRule="auto"/>
    </w:pPr>
    <w:rPr>
      <w:rFonts w:ascii="Calibri" w:hAnsi="Calibri" w:eastAsia="Calibri" w:cs="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
    <w:name w:val="3GPP Agreements"/>
    <w:basedOn w:val="1"/>
    <w:link w:val="58"/>
    <w:qFormat/>
    <w:uiPriority w:val="0"/>
    <w:pPr>
      <w:numPr>
        <w:ilvl w:val="0"/>
        <w:numId w:val="4"/>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58">
    <w:name w:val="3GPP Agreements Char"/>
    <w:link w:val="57"/>
    <w:qFormat/>
    <w:uiPriority w:val="0"/>
    <w:rPr>
      <w:rFonts w:ascii="Times New Roman" w:hAnsi="Times New Roman" w:eastAsia="SimSun" w:cs="Times New Roman"/>
      <w:sz w:val="20"/>
      <w:szCs w:val="20"/>
      <w:lang w:eastAsia="zh-CN"/>
    </w:rPr>
  </w:style>
  <w:style w:type="paragraph" w:customStyle="1" w:styleId="59">
    <w:name w:val="3GPP Text"/>
    <w:basedOn w:val="1"/>
    <w:link w:val="60"/>
    <w:qFormat/>
    <w:uiPriority w:val="0"/>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60">
    <w:name w:val="3GPP Text Char"/>
    <w:link w:val="59"/>
    <w:qFormat/>
    <w:uiPriority w:val="0"/>
    <w:rPr>
      <w:rFonts w:ascii="Times New Roman" w:hAnsi="Times New Roman" w:eastAsia="DengXian" w:cs="Times New Roman"/>
      <w:sz w:val="20"/>
      <w:szCs w:val="20"/>
      <w:lang w:eastAsia="en-US"/>
    </w:rPr>
  </w:style>
  <w:style w:type="character" w:customStyle="1" w:styleId="61">
    <w:name w:val="TAL Char"/>
    <w:qFormat/>
    <w:uiPriority w:val="0"/>
    <w:rPr>
      <w:rFonts w:ascii="Arial" w:hAnsi="Arial" w:eastAsia="Times New Roman"/>
      <w:sz w:val="18"/>
      <w:lang w:val="en-GB"/>
    </w:rPr>
  </w:style>
  <w:style w:type="paragraph" w:customStyle="1" w:styleId="62">
    <w:name w:val="TAH"/>
    <w:basedOn w:val="1"/>
    <w:link w:val="64"/>
    <w:qFormat/>
    <w:uiPriority w:val="0"/>
    <w:pPr>
      <w:keepNext/>
      <w:keepLines/>
      <w:spacing w:after="0" w:line="240" w:lineRule="auto"/>
      <w:jc w:val="center"/>
    </w:pPr>
    <w:rPr>
      <w:rFonts w:ascii="Arial" w:hAnsi="Arial" w:eastAsia="Times New Roman" w:cs="Times New Roman"/>
      <w:b/>
      <w:sz w:val="18"/>
      <w:szCs w:val="20"/>
      <w:lang w:val="en-GB" w:eastAsia="en-US"/>
    </w:rPr>
  </w:style>
  <w:style w:type="paragraph" w:customStyle="1" w:styleId="63">
    <w:name w:val="B1"/>
    <w:basedOn w:val="1"/>
    <w:link w:val="71"/>
    <w:qFormat/>
    <w:uiPriority w:val="0"/>
    <w:pPr>
      <w:spacing w:after="180" w:line="240" w:lineRule="auto"/>
      <w:ind w:left="568" w:hanging="284"/>
      <w:jc w:val="left"/>
    </w:pPr>
    <w:rPr>
      <w:rFonts w:eastAsia="Times New Roman" w:cs="Times New Roman"/>
      <w:sz w:val="20"/>
      <w:szCs w:val="20"/>
      <w:lang w:val="en-GB" w:eastAsia="en-US"/>
    </w:rPr>
  </w:style>
  <w:style w:type="character" w:customStyle="1" w:styleId="64">
    <w:name w:val="TAH Car"/>
    <w:link w:val="62"/>
    <w:qFormat/>
    <w:uiPriority w:val="0"/>
    <w:rPr>
      <w:rFonts w:ascii="Arial" w:hAnsi="Arial" w:eastAsia="Times New Roman" w:cs="Times New Roman"/>
      <w:b/>
      <w:sz w:val="18"/>
      <w:szCs w:val="20"/>
      <w:lang w:val="en-GB" w:eastAsia="en-US"/>
    </w:rPr>
  </w:style>
  <w:style w:type="paragraph" w:customStyle="1" w:styleId="65">
    <w:name w:val="bullet1"/>
    <w:basedOn w:val="1"/>
    <w:qFormat/>
    <w:uiPriority w:val="0"/>
    <w:pPr>
      <w:numPr>
        <w:ilvl w:val="0"/>
        <w:numId w:val="5"/>
      </w:numPr>
      <w:overflowPunct w:val="0"/>
      <w:spacing w:after="120" w:line="240" w:lineRule="auto"/>
    </w:pPr>
    <w:rPr>
      <w:rFonts w:eastAsia="SimSun" w:cs="Times New Roman"/>
      <w:sz w:val="20"/>
      <w:szCs w:val="24"/>
      <w:lang w:eastAsia="zh-CN"/>
    </w:rPr>
  </w:style>
  <w:style w:type="character" w:customStyle="1" w:styleId="66">
    <w:name w:val="mc-span"/>
    <w:uiPriority w:val="0"/>
  </w:style>
  <w:style w:type="table" w:customStyle="1" w:styleId="67">
    <w:name w:val="Table Grid4"/>
    <w:basedOn w:val="12"/>
    <w:qFormat/>
    <w:uiPriority w:val="39"/>
    <w:pPr>
      <w:spacing w:after="0" w:line="240" w:lineRule="auto"/>
    </w:pPr>
    <w:rPr>
      <w:rFonts w:ascii="Calibri" w:hAnsi="Calibri" w:eastAsia="Yu Mincho"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8">
    <w:name w:val="Agreement"/>
    <w:basedOn w:val="1"/>
    <w:next w:val="1"/>
    <w:qFormat/>
    <w:uiPriority w:val="99"/>
    <w:pPr>
      <w:numPr>
        <w:ilvl w:val="0"/>
        <w:numId w:val="6"/>
      </w:numPr>
      <w:spacing w:before="60" w:after="0" w:line="240" w:lineRule="auto"/>
      <w:jc w:val="left"/>
    </w:pPr>
    <w:rPr>
      <w:rFonts w:ascii="Arial" w:hAnsi="Arial" w:eastAsia="MS Mincho" w:cs="Times New Roman"/>
      <w:b/>
      <w:sz w:val="20"/>
      <w:szCs w:val="24"/>
      <w:lang w:val="en-GB" w:eastAsia="en-GB"/>
    </w:rPr>
  </w:style>
  <w:style w:type="paragraph" w:customStyle="1" w:styleId="69">
    <w:name w:val="B2"/>
    <w:basedOn w:val="1"/>
    <w:link w:val="72"/>
    <w:qFormat/>
    <w:uiPriority w:val="0"/>
    <w:pPr>
      <w:spacing w:after="180" w:line="240" w:lineRule="auto"/>
      <w:ind w:left="851" w:hanging="284"/>
      <w:jc w:val="left"/>
    </w:pPr>
    <w:rPr>
      <w:rFonts w:eastAsia="MS Mincho" w:cs="Times New Roman"/>
      <w:sz w:val="20"/>
      <w:szCs w:val="20"/>
      <w:lang w:val="en-GB" w:eastAsia="en-US"/>
    </w:rPr>
  </w:style>
  <w:style w:type="paragraph" w:customStyle="1" w:styleId="70">
    <w:name w:val="B3"/>
    <w:basedOn w:val="1"/>
    <w:uiPriority w:val="0"/>
    <w:pPr>
      <w:spacing w:after="180" w:line="240" w:lineRule="auto"/>
      <w:ind w:left="1135" w:hanging="284"/>
      <w:jc w:val="left"/>
    </w:pPr>
    <w:rPr>
      <w:rFonts w:eastAsia="MS Mincho" w:cs="Times New Roman"/>
      <w:sz w:val="20"/>
      <w:szCs w:val="20"/>
      <w:lang w:val="en-GB" w:eastAsia="en-US"/>
    </w:rPr>
  </w:style>
  <w:style w:type="character" w:customStyle="1" w:styleId="71">
    <w:name w:val="B1 (文字)"/>
    <w:link w:val="63"/>
    <w:qFormat/>
    <w:uiPriority w:val="0"/>
    <w:rPr>
      <w:rFonts w:ascii="Times New Roman" w:hAnsi="Times New Roman" w:eastAsia="Times New Roman" w:cs="Times New Roman"/>
      <w:sz w:val="20"/>
      <w:szCs w:val="20"/>
      <w:lang w:val="en-GB" w:eastAsia="en-US"/>
    </w:rPr>
  </w:style>
  <w:style w:type="character" w:customStyle="1" w:styleId="72">
    <w:name w:val="B2 Char"/>
    <w:link w:val="69"/>
    <w:qFormat/>
    <w:uiPriority w:val="0"/>
    <w:rPr>
      <w:rFonts w:ascii="Times New Roman" w:hAnsi="Times New Roman" w:eastAsia="MS Mincho" w:cs="Times New Roman"/>
      <w:sz w:val="20"/>
      <w:szCs w:val="20"/>
      <w:lang w:val="en-GB" w:eastAsia="en-US"/>
    </w:rPr>
  </w:style>
  <w:style w:type="paragraph" w:customStyle="1" w:styleId="73">
    <w:name w:val="elementtoproof"/>
    <w:basedOn w:val="1"/>
    <w:uiPriority w:val="0"/>
    <w:pPr>
      <w:spacing w:after="0" w:line="240" w:lineRule="auto"/>
      <w:jc w:val="left"/>
    </w:pPr>
    <w:rPr>
      <w:rFonts w:ascii="Calibri" w:hAnsi="Calibri" w:cs="Calibri" w:eastAsiaTheme="minorHAnsi"/>
      <w:lang w:eastAsia="en-US"/>
    </w:rPr>
  </w:style>
  <w:style w:type="character" w:customStyle="1" w:styleId="74">
    <w:name w:val="Mention"/>
    <w:basedOn w:val="11"/>
    <w:unhideWhenUsed/>
    <w:uiPriority w:val="99"/>
    <w:rPr>
      <w:color w:val="2B579A"/>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image" Target="media/image3.emf"/><Relationship Id="rId10" Type="http://schemas.openxmlformats.org/officeDocument/2006/relationships/image" Target="media/image2.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7507</Words>
  <Characters>42794</Characters>
  <Lines>356</Lines>
  <Paragraphs>100</Paragraphs>
  <TotalTime>860</TotalTime>
  <ScaleCrop>false</ScaleCrop>
  <LinksUpToDate>false</LinksUpToDate>
  <CharactersWithSpaces>50201</CharactersWithSpaces>
  <Application>WPS Office_5.7.3.8096_F1E327BC-269C-435d-A152-05C5408002CA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2024-03-26T09:05:00Z</dcterms:created>
  <dc:creator>Yugeswar Deenoo</dc:creator>
  <cp:lastModifiedBy>Moonil Lee</cp:lastModifiedBy>
  <dcterms:modified xsi:type="dcterms:W3CDTF">2024-08-09T16:35:08Z</dcterms:modified>
  <cp:revision>319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2024-05-08T18:40:32Z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315fcff7-2fa1-400a-bf57-765bd09dd41e</vt:lpwstr>
  </property>
  <property fmtid="{D5CDD505-2E9C-101B-9397-08002B2CF9AE}" pid="10" name="MSIP_Label_bcf26ed8-713a-4e6c-8a04-66607341a11c_ContentBits">
    <vt:lpwstr>0</vt:lpwstr>
  </property>
  <property fmtid="{D5CDD505-2E9C-101B-9397-08002B2CF9AE}" pid="11" name="KSOProductBuildVer">
    <vt:lpwstr>1033-5.7.3.8096</vt:lpwstr>
  </property>
</Properties>
</file>