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w:t>
      </w:r>
      <w:r>
        <w:rPr>
          <w:rFonts w:hint="eastAsia" w:eastAsia="宋体"/>
          <w:b/>
          <w:sz w:val="22"/>
          <w:szCs w:val="22"/>
          <w:lang w:eastAsia="zh-CN"/>
        </w:rPr>
        <w:t>7</w:t>
      </w:r>
      <w:r>
        <w:rPr>
          <w:rFonts w:eastAsia="宋体"/>
          <w:b/>
          <w:sz w:val="22"/>
          <w:szCs w:val="22"/>
          <w:lang w:eastAsia="zh-CN"/>
        </w:rPr>
        <w:tab/>
      </w:r>
      <w:r>
        <w:rPr>
          <w:rFonts w:eastAsia="宋体"/>
          <w:b/>
          <w:sz w:val="22"/>
          <w:szCs w:val="22"/>
          <w:lang w:eastAsia="zh-CN"/>
        </w:rPr>
        <w:tab/>
      </w:r>
      <w:bookmarkStart w:id="0" w:name="_GoBack"/>
      <w:r>
        <w:rPr>
          <w:rFonts w:eastAsia="宋体"/>
          <w:b/>
          <w:sz w:val="22"/>
          <w:szCs w:val="22"/>
          <w:highlight w:val="none"/>
          <w:lang w:eastAsia="zh-CN"/>
        </w:rPr>
        <w:t>R1-24</w:t>
      </w:r>
      <w:r>
        <w:rPr>
          <w:rFonts w:hint="eastAsia" w:eastAsia="宋体"/>
          <w:b/>
          <w:sz w:val="22"/>
          <w:szCs w:val="22"/>
          <w:highlight w:val="none"/>
          <w:lang w:val="en-US" w:eastAsia="zh-CN"/>
        </w:rPr>
        <w:t>04851</w:t>
      </w:r>
      <w:bookmarkEnd w:id="0"/>
    </w:p>
    <w:p>
      <w:pPr>
        <w:tabs>
          <w:tab w:val="center" w:pos="4536"/>
          <w:tab w:val="right" w:pos="9072"/>
        </w:tabs>
        <w:rPr>
          <w:rFonts w:eastAsia="宋体"/>
          <w:b/>
          <w:sz w:val="22"/>
          <w:szCs w:val="22"/>
          <w:lang w:eastAsia="zh-CN"/>
        </w:rPr>
      </w:pPr>
      <w:r>
        <w:rPr>
          <w:rFonts w:eastAsia="宋体"/>
          <w:b/>
          <w:sz w:val="22"/>
          <w:szCs w:val="22"/>
          <w:lang w:eastAsia="ja-JP"/>
        </w:rPr>
        <w:t>Fukuoka City, Fukuoka, Japan, May 20</w:t>
      </w:r>
      <w:r>
        <w:rPr>
          <w:rFonts w:hint="eastAsia" w:eastAsia="宋体"/>
          <w:b/>
          <w:sz w:val="22"/>
          <w:szCs w:val="22"/>
          <w:lang w:eastAsia="ko-KR"/>
        </w:rPr>
        <w:t>th</w:t>
      </w:r>
      <w:r>
        <w:rPr>
          <w:rFonts w:eastAsia="宋体"/>
          <w:b/>
          <w:sz w:val="22"/>
          <w:szCs w:val="22"/>
          <w:lang w:eastAsia="ja-JP"/>
        </w:rPr>
        <w:t xml:space="preserve"> </w:t>
      </w:r>
      <w:r>
        <w:rPr>
          <w:rFonts w:eastAsia="宋体"/>
          <w:b/>
          <w:sz w:val="22"/>
          <w:szCs w:val="22"/>
          <w:lang w:eastAsia="zh-CN"/>
        </w:rPr>
        <w:t>– 24</w:t>
      </w:r>
      <w:r>
        <w:rPr>
          <w:rFonts w:hint="eastAsia" w:eastAsia="宋体"/>
          <w:b/>
          <w:sz w:val="22"/>
          <w:szCs w:val="22"/>
          <w:lang w:eastAsia="ko-KR"/>
        </w:rPr>
        <w:t>t</w:t>
      </w:r>
      <w:r>
        <w:rPr>
          <w:rFonts w:eastAsia="宋体"/>
          <w:b/>
          <w:sz w:val="22"/>
          <w:szCs w:val="22"/>
          <w:lang w:eastAsia="ko-KR"/>
        </w:rPr>
        <w:t>h</w:t>
      </w:r>
      <w:r>
        <w:rPr>
          <w:rFonts w:eastAsia="宋体"/>
          <w:b/>
          <w:sz w:val="22"/>
          <w:szCs w:val="22"/>
          <w:lang w:eastAsia="ja-JP"/>
        </w:rPr>
        <w:t>, 2024</w:t>
      </w:r>
      <w:r>
        <w:rPr>
          <w:rFonts w:eastAsia="宋体"/>
          <w:b/>
          <w:sz w:val="22"/>
          <w:szCs w:val="22"/>
          <w:lang w:eastAsia="zh-CN"/>
        </w:rPr>
        <w:t xml:space="preserve"> </w:t>
      </w:r>
    </w:p>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LS from RAN2 on SSB time offset</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5</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eastAsia" w:eastAsia="等线" w:cs="Times New Roman"/>
          <w:szCs w:val="20"/>
          <w:lang w:val="en-US" w:eastAsia="zh-CN"/>
        </w:rPr>
      </w:pPr>
      <w:r>
        <w:rPr>
          <w:rFonts w:hint="default" w:ascii="Times New Roman" w:hAnsi="Times New Roman" w:eastAsia="等线" w:cs="Times New Roman"/>
          <w:szCs w:val="20"/>
          <w:lang w:eastAsia="zh-CN"/>
        </w:rPr>
        <w:t>In RAN</w:t>
      </w:r>
      <w:r>
        <w:rPr>
          <w:rFonts w:hint="eastAsia" w:eastAsia="等线" w:cs="Times New Roman"/>
          <w:szCs w:val="20"/>
          <w:lang w:val="en-US" w:eastAsia="zh-CN"/>
        </w:rPr>
        <w:t>2</w:t>
      </w:r>
      <w:r>
        <w:rPr>
          <w:rFonts w:hint="default" w:ascii="Times New Roman" w:hAnsi="Times New Roman" w:eastAsia="等线" w:cs="Times New Roman"/>
          <w:szCs w:val="20"/>
          <w:lang w:eastAsia="zh-CN"/>
        </w:rPr>
        <w:t xml:space="preserve"> #1</w:t>
      </w:r>
      <w:r>
        <w:rPr>
          <w:rFonts w:hint="eastAsia" w:eastAsia="等线" w:cs="Times New Roman"/>
          <w:szCs w:val="20"/>
          <w:lang w:val="en-US" w:eastAsia="zh-CN"/>
        </w:rPr>
        <w:t>25bis meeting</w:t>
      </w:r>
      <w:r>
        <w:rPr>
          <w:rFonts w:hint="default" w:ascii="Times New Roman" w:hAnsi="Times New Roman" w:eastAsia="等线" w:cs="Times New Roman"/>
          <w:szCs w:val="20"/>
          <w:lang w:eastAsia="zh-CN"/>
        </w:rPr>
        <w:t xml:space="preserve">, </w:t>
      </w:r>
      <w:r>
        <w:rPr>
          <w:rFonts w:hint="eastAsia" w:eastAsia="等线" w:cs="Times New Roman"/>
          <w:szCs w:val="20"/>
          <w:lang w:val="en-US" w:eastAsia="zh-CN"/>
        </w:rPr>
        <w:t xml:space="preserve">RAN2 has sent an LS [1] to RAN1 asking the RAN1 opinion about the RAN2 agreement on setting the gNB as the reference point for calculating the SSB time offset between the source satellite and target satellite in the satellite switching context.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pStyle w:val="2"/>
              <w:numPr>
                <w:ilvl w:val="0"/>
                <w:numId w:val="0"/>
              </w:numPr>
              <w:tabs>
                <w:tab w:val="clear" w:pos="567"/>
              </w:tabs>
              <w:ind w:leftChars="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Overall description</w:t>
            </w:r>
          </w:p>
          <w:p>
            <w:pPr>
              <w:spacing w:before="120" w:after="120" w:line="276" w:lineRule="auto"/>
              <w:jc w:val="both"/>
              <w:rPr>
                <w:rFonts w:hint="default" w:ascii="Times New Roman" w:hAnsi="Times New Roman" w:cs="Times New Roman"/>
                <w:color w:val="000000"/>
                <w:lang w:eastAsia="ko-KR"/>
              </w:rPr>
            </w:pPr>
            <w:r>
              <w:rPr>
                <w:rFonts w:hint="default" w:ascii="Times New Roman" w:hAnsi="Times New Roman" w:cs="Times New Roman"/>
                <w:color w:val="000000"/>
                <w:lang w:eastAsia="ko-KR"/>
              </w:rPr>
              <w:t>For satellite switch with resync procedure, the configuration of ssb-TimeOffset is introduced in SIB19 to</w:t>
            </w:r>
            <w:r>
              <w:rPr>
                <w:rFonts w:hint="default" w:ascii="Times New Roman" w:hAnsi="Times New Roman" w:cs="Times New Roman"/>
                <w:lang w:eastAsia="ja-JP"/>
              </w:rPr>
              <w:t xml:space="preserve"> </w:t>
            </w:r>
            <w:r>
              <w:rPr>
                <w:rFonts w:hint="default" w:ascii="Times New Roman" w:hAnsi="Times New Roman" w:cs="Times New Roman"/>
                <w:color w:val="000000"/>
                <w:lang w:eastAsia="ko-KR"/>
              </w:rPr>
              <w:t>indicate the time offset between the SSB from source and target satellite</w:t>
            </w:r>
            <w:r>
              <w:rPr>
                <w:rFonts w:hint="default" w:ascii="Times New Roman" w:hAnsi="Times New Roman" w:cs="Times New Roman"/>
              </w:rPr>
              <w:t xml:space="preserve"> </w:t>
            </w:r>
            <w:r>
              <w:rPr>
                <w:rFonts w:hint="default" w:ascii="Times New Roman" w:hAnsi="Times New Roman" w:cs="Times New Roman"/>
                <w:color w:val="000000"/>
                <w:lang w:eastAsia="ko-KR"/>
              </w:rPr>
              <w:t>at the uplink time synchronization reference point.</w:t>
            </w:r>
          </w:p>
          <w:p>
            <w:pPr>
              <w:spacing w:before="120" w:after="120" w:line="276" w:lineRule="auto"/>
              <w:jc w:val="both"/>
              <w:rPr>
                <w:rFonts w:hint="default" w:ascii="Times New Roman" w:hAnsi="Times New Roman" w:cs="Times New Roman"/>
                <w:color w:val="000000"/>
                <w:lang w:eastAsia="ko-KR"/>
              </w:rPr>
            </w:pPr>
            <w:r>
              <w:rPr>
                <w:rFonts w:hint="default" w:ascii="Times New Roman" w:hAnsi="Times New Roman" w:cs="Times New Roman"/>
                <w:color w:val="000000"/>
                <w:lang w:eastAsia="ko-KR"/>
              </w:rPr>
              <w:t>In RAN2#125bis meeting, RAN2 is considering adopting the gNB as the reference point of ssb-TimeOffset. RAN2 would like to check with RAN4 and RAN1 whether this would be acceptable.</w:t>
            </w:r>
          </w:p>
          <w:p>
            <w:pPr>
              <w:pStyle w:val="2"/>
              <w:numPr>
                <w:ilvl w:val="0"/>
                <w:numId w:val="0"/>
              </w:numPr>
              <w:tabs>
                <w:tab w:val="clear" w:pos="567"/>
              </w:tabs>
              <w:ind w:leftChars="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Actions</w:t>
            </w:r>
          </w:p>
          <w:p>
            <w:pPr>
              <w:spacing w:after="120"/>
              <w:ind w:left="1985" w:hanging="1985"/>
              <w:rPr>
                <w:rFonts w:hint="default" w:ascii="Times New Roman" w:hAnsi="Times New Roman" w:cs="Times New Roman"/>
                <w:b/>
              </w:rPr>
            </w:pPr>
            <w:r>
              <w:rPr>
                <w:rFonts w:hint="default" w:ascii="Times New Roman" w:hAnsi="Times New Roman" w:cs="Times New Roman"/>
                <w:b/>
              </w:rPr>
              <w:t>To RAN4, RAN1:</w:t>
            </w:r>
          </w:p>
          <w:p>
            <w:pPr>
              <w:spacing w:after="120"/>
              <w:ind w:left="993" w:hanging="993"/>
              <w:jc w:val="both"/>
              <w:rPr>
                <w:rFonts w:hint="default" w:ascii="Times New Roman" w:hAnsi="Times New Roman" w:eastAsia="宋体" w:cs="Times New Roman"/>
                <w:i/>
                <w:iCs/>
                <w:szCs w:val="20"/>
                <w:lang w:val="en-GB" w:eastAsia="zh-CN"/>
              </w:rPr>
            </w:pPr>
            <w:r>
              <w:rPr>
                <w:rFonts w:hint="default" w:ascii="Times New Roman" w:hAnsi="Times New Roman" w:cs="Times New Roman"/>
                <w:b/>
              </w:rPr>
              <w:t xml:space="preserve">ACTION: </w:t>
            </w:r>
            <w:r>
              <w:rPr>
                <w:rFonts w:hint="default" w:ascii="Times New Roman" w:hAnsi="Times New Roman" w:cs="Times New Roman"/>
                <w:b/>
                <w:color w:val="0070C0"/>
              </w:rPr>
              <w:tab/>
            </w:r>
            <w:r>
              <w:rPr>
                <w:rFonts w:hint="default" w:ascii="Times New Roman" w:hAnsi="Times New Roman" w:cs="Times New Roman"/>
                <w:lang w:val="en-US"/>
              </w:rPr>
              <w:t>RAN2 respectfully asks RAN4 and RAN1 to take the above into consideration and come back if any issues are determined.</w:t>
            </w:r>
          </w:p>
        </w:tc>
      </w:tr>
    </w:tbl>
    <w:p>
      <w:pPr>
        <w:pStyle w:val="4"/>
        <w:rPr>
          <w:rFonts w:hint="default" w:ascii="Times New Roman" w:hAnsi="Times New Roman" w:eastAsia="宋体" w:cs="Times New Roman"/>
          <w:bCs/>
          <w:szCs w:val="20"/>
          <w:lang w:val="en-GB" w:eastAsia="en-GB"/>
        </w:rPr>
      </w:pP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eastAsia" w:eastAsia="宋体" w:cs="Times New Roman"/>
          <w:szCs w:val="28"/>
          <w:lang w:val="en-US" w:eastAsia="zh-CN"/>
        </w:rPr>
      </w:pPr>
      <w:r>
        <w:rPr>
          <w:rFonts w:hint="eastAsia" w:eastAsia="宋体" w:cs="Times New Roman"/>
          <w:szCs w:val="28"/>
          <w:lang w:val="en-US" w:eastAsia="zh-CN"/>
        </w:rPr>
        <w:t xml:space="preserve">The ssb-TimeOffset is used by the UE to derive the SSB window in which the UE can perform re-synchronization. If the reference point is set to gNB, the UE can adapt the SSB window according to the RTT time between the gNB and UE based on the Ephemeris data of the source and target satellites, common TA and K_mac. This is also in line with the offset SSB-MTC4 assumption introduced in Rel-17 NTN for deriving the SMTC window for neighbor cell RRM. Therefore, from RAN1 point of view, it is reasonable to set the reference point at gNB.  </w:t>
      </w:r>
    </w:p>
    <w:p>
      <w:pPr>
        <w:pStyle w:val="4"/>
        <w:rPr>
          <w:rFonts w:hint="eastAsia" w:eastAsia="宋体" w:cs="Times New Roman"/>
          <w:b/>
          <w:bCs/>
          <w:i/>
          <w:iCs/>
          <w:szCs w:val="28"/>
          <w:lang w:val="en-US" w:eastAsia="zh-CN"/>
        </w:rPr>
      </w:pPr>
    </w:p>
    <w:p>
      <w:pPr>
        <w:pStyle w:val="4"/>
        <w:rPr>
          <w:rFonts w:hint="default" w:ascii="Times New Roman" w:hAnsi="Times New Roman" w:eastAsia="等线" w:cs="Times New Roman"/>
          <w:b/>
          <w:bCs/>
          <w:i/>
          <w:iCs/>
          <w:szCs w:val="20"/>
          <w:lang w:eastAsia="zh-CN"/>
        </w:rPr>
      </w:pPr>
      <w:r>
        <w:rPr>
          <w:rFonts w:hint="eastAsia" w:eastAsia="宋体" w:cs="Times New Roman"/>
          <w:b/>
          <w:bCs/>
          <w:i/>
          <w:iCs/>
          <w:szCs w:val="28"/>
          <w:lang w:val="en-US" w:eastAsia="zh-CN"/>
        </w:rPr>
        <w:t>Proposal: RAN1 confirms RAN2</w:t>
      </w:r>
      <w:r>
        <w:rPr>
          <w:rFonts w:hint="default" w:eastAsia="宋体" w:cs="Times New Roman"/>
          <w:b/>
          <w:bCs/>
          <w:i/>
          <w:iCs/>
          <w:szCs w:val="28"/>
          <w:lang w:val="en-US" w:eastAsia="zh-CN"/>
        </w:rPr>
        <w:t>’</w:t>
      </w:r>
      <w:r>
        <w:rPr>
          <w:rFonts w:hint="eastAsia" w:eastAsia="宋体" w:cs="Times New Roman"/>
          <w:b/>
          <w:bCs/>
          <w:i/>
          <w:iCs/>
          <w:szCs w:val="28"/>
          <w:lang w:val="en-US" w:eastAsia="zh-CN"/>
        </w:rPr>
        <w:t xml:space="preserve">s agreement by setting the reference point at gNB. </w:t>
      </w:r>
      <w:r>
        <w:rPr>
          <w:rFonts w:hint="default" w:ascii="Times New Roman" w:hAnsi="Times New Roman" w:eastAsia="宋体" w:cs="Times New Roman"/>
          <w:b/>
          <w:bCs/>
          <w:i/>
          <w:iCs/>
          <w:szCs w:val="28"/>
          <w:lang w:val="en-US" w:eastAsia="zh-CN"/>
        </w:rPr>
        <w:t xml:space="preserve"> </w:t>
      </w:r>
    </w:p>
    <w:p>
      <w:pPr>
        <w:pStyle w:val="2"/>
        <w:rPr>
          <w:rFonts w:hint="default" w:ascii="Times New Roman" w:hAnsi="Times New Roman" w:cs="Times New Roman"/>
        </w:rPr>
      </w:pPr>
      <w:r>
        <w:rPr>
          <w:rFonts w:hint="default" w:ascii="Times New Roman" w:hAnsi="Times New Roman" w:cs="Times New Roman"/>
        </w:rPr>
        <w:t>Conclusion</w:t>
      </w:r>
    </w:p>
    <w:p>
      <w:pPr>
        <w:pStyle w:val="4"/>
        <w:rPr>
          <w:rFonts w:hint="eastAsia" w:eastAsia="等线" w:cs="Times New Roman"/>
          <w:szCs w:val="20"/>
          <w:lang w:val="en-US" w:eastAsia="zh-CN"/>
        </w:rPr>
      </w:pPr>
      <w:r>
        <w:rPr>
          <w:rFonts w:hint="eastAsia" w:eastAsia="等线" w:cs="Times New Roman"/>
          <w:szCs w:val="20"/>
          <w:lang w:val="en-US" w:eastAsia="zh-CN"/>
        </w:rPr>
        <w:t>After analyzing the reasoning of the RAN2 agreement, we suggest the following proposal.</w:t>
      </w:r>
    </w:p>
    <w:p>
      <w:pPr>
        <w:pStyle w:val="4"/>
        <w:rPr>
          <w:rFonts w:hint="default" w:ascii="Times New Roman" w:hAnsi="Times New Roman" w:eastAsia="等线" w:cs="Times New Roman"/>
          <w:b/>
          <w:bCs/>
          <w:i/>
          <w:iCs/>
          <w:szCs w:val="20"/>
          <w:lang w:eastAsia="zh-CN"/>
        </w:rPr>
      </w:pPr>
      <w:r>
        <w:rPr>
          <w:rFonts w:hint="eastAsia" w:eastAsia="宋体" w:cs="Times New Roman"/>
          <w:b/>
          <w:bCs/>
          <w:i/>
          <w:iCs/>
          <w:szCs w:val="28"/>
          <w:lang w:val="en-US" w:eastAsia="zh-CN"/>
        </w:rPr>
        <w:t>Proposal: RAN1 confirms RAN2</w:t>
      </w:r>
      <w:r>
        <w:rPr>
          <w:rFonts w:hint="default" w:eastAsia="宋体" w:cs="Times New Roman"/>
          <w:b/>
          <w:bCs/>
          <w:i/>
          <w:iCs/>
          <w:szCs w:val="28"/>
          <w:lang w:val="en-US" w:eastAsia="zh-CN"/>
        </w:rPr>
        <w:t>’</w:t>
      </w:r>
      <w:r>
        <w:rPr>
          <w:rFonts w:hint="eastAsia" w:eastAsia="宋体" w:cs="Times New Roman"/>
          <w:b/>
          <w:bCs/>
          <w:i/>
          <w:iCs/>
          <w:szCs w:val="28"/>
          <w:lang w:val="en-US" w:eastAsia="zh-CN"/>
        </w:rPr>
        <w:t xml:space="preserve">s agreement by setting the reference point at gNB. </w:t>
      </w:r>
      <w:r>
        <w:rPr>
          <w:rFonts w:hint="default" w:ascii="Times New Roman" w:hAnsi="Times New Roman" w:eastAsia="宋体" w:cs="Times New Roman"/>
          <w:b/>
          <w:bCs/>
          <w:i/>
          <w:iCs/>
          <w:szCs w:val="28"/>
          <w:lang w:val="en-US" w:eastAsia="zh-CN"/>
        </w:rPr>
        <w:t xml:space="preserve"> </w:t>
      </w: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7"/>
        </w:numPr>
        <w:spacing w:after="120"/>
        <w:rPr>
          <w:rFonts w:hint="default" w:ascii="Times New Roman" w:hAnsi="Times New Roman" w:eastAsia="宋体" w:cs="Times New Roman"/>
          <w:szCs w:val="28"/>
          <w:lang w:val="en-US" w:eastAsia="zh-CN" w:bidi="ar-SA"/>
        </w:rPr>
      </w:pPr>
      <w:r>
        <w:rPr>
          <w:rFonts w:hint="eastAsia" w:ascii="Times New Roman" w:hAnsi="Times New Roman" w:eastAsia="宋体" w:cs="Times New Roman"/>
          <w:szCs w:val="28"/>
          <w:lang w:val="en-US" w:eastAsia="zh-CN" w:bidi="ar-SA"/>
        </w:rPr>
        <w:t>R2-2403771</w:t>
      </w:r>
      <w:r>
        <w:rPr>
          <w:rFonts w:hint="default" w:ascii="Times New Roman" w:hAnsi="Times New Roman" w:eastAsia="宋体" w:cs="Times New Roman"/>
          <w:szCs w:val="28"/>
          <w:lang w:val="en-US" w:eastAsia="zh-CN" w:bidi="ar-SA"/>
        </w:rPr>
        <w:t xml:space="preserve">, </w:t>
      </w:r>
      <w:r>
        <w:rPr>
          <w:rFonts w:hint="eastAsia" w:ascii="Times New Roman" w:hAnsi="Times New Roman" w:eastAsia="宋体" w:cs="Times New Roman"/>
          <w:szCs w:val="28"/>
          <w:lang w:val="en-US" w:eastAsia="zh-CN" w:bidi="ar-SA"/>
        </w:rPr>
        <w:t>LS on reference point for SSB-TimeOffset</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Gulim">
    <w:altName w:val="Malgun Gothic"/>
    <w:panose1 w:val="020B0600000101010101"/>
    <w:charset w:val="81"/>
    <w:family w:val="swiss"/>
    <w:pitch w:val="default"/>
    <w:sig w:usb0="00000000" w:usb1="00000000" w:usb2="00000030" w:usb3="00000000" w:csb0="0008009F" w:csb1="00000000"/>
  </w:font>
  <w:font w:name="t">
    <w:altName w:val="Segoe Print"/>
    <w:panose1 w:val="00000000000000000000"/>
    <w:charset w:val="00"/>
    <w:family w:val="auto"/>
    <w:pitch w:val="default"/>
    <w:sig w:usb0="00000000" w:usb1="00000000" w:usb2="00000000"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Ericsson Hilda">
    <w:altName w:val="Segoe Print"/>
    <w:panose1 w:val="00000000000000000000"/>
    <w:charset w:val="00"/>
    <w:family w:val="auto"/>
    <w:pitch w:val="default"/>
    <w:sig w:usb0="00000000" w:usb1="00000000" w:usb2="00000000" w:usb3="00000000" w:csb0="0000009F" w:csb1="00000000"/>
  </w:font>
  <w:font w:name="Century">
    <w:panose1 w:val="02040604050505020304"/>
    <w:charset w:val="00"/>
    <w:family w:val="roman"/>
    <w:pitch w:val="default"/>
    <w:sig w:usb0="00000287" w:usb1="00000000" w:usb2="00000000" w:usb3="00000000" w:csb0="2000009F" w:csb1="DFD70000"/>
  </w:font>
  <w:font w:name="PMingLiU">
    <w:altName w:val="Microsoft JhengHei UI"/>
    <w:panose1 w:val="02010601000101010101"/>
    <w:charset w:val="88"/>
    <w:family w:val="roman"/>
    <w:pitch w:val="default"/>
    <w:sig w:usb0="00000000" w:usb1="00000000" w:usb2="00000016" w:usb3="00000000" w:csb0="00100001" w:csb1="00000000"/>
  </w:font>
  <w:font w:name="Mincho">
    <w:altName w:val="Yu Gothic UI"/>
    <w:panose1 w:val="02020609040305080305"/>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Nirmala UI">
    <w:panose1 w:val="020B0502040204020203"/>
    <w:charset w:val="00"/>
    <w:family w:val="swiss"/>
    <w:pitch w:val="default"/>
    <w:sig w:usb0="80FF8023" w:usb1="0200004A" w:usb2="00000200" w:usb3="0004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n">
    <w:altName w:val="Cambria"/>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Aptos">
    <w:altName w:val="Courier New"/>
    <w:panose1 w:val="00000000000000000000"/>
    <w:charset w:val="00"/>
    <w:family w:val="swiss"/>
    <w:pitch w:val="default"/>
    <w:sig w:usb0="00000000" w:usb1="00000000" w:usb2="00000000" w:usb3="00000000" w:csb0="0000019F" w:csb1="00000000"/>
  </w:font>
  <w:font w:name="Microsoft YaHei UI">
    <w:panose1 w:val="020B0503020204020204"/>
    <w:charset w:val="86"/>
    <w:family w:val="swiss"/>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Arial Unicode MS">
    <w:altName w:val="微软雅黑"/>
    <w:panose1 w:val="020B0604020202020204"/>
    <w:charset w:val="86"/>
    <w:family w:val="swiss"/>
    <w:pitch w:val="default"/>
    <w:sig w:usb0="00000000" w:usb1="00000000" w:usb2="0000003F" w:usb3="00000001" w:csb0="603F01FF" w:csb1="7FFFFFFF"/>
  </w:font>
  <w:font w:name="바탕">
    <w:altName w:val="Malgun Gothic"/>
    <w:panose1 w:val="02030600000101010101"/>
    <w:charset w:val="81"/>
    <w:family w:val="roman"/>
    <w:pitch w:val="default"/>
    <w:sig w:usb0="00000000" w:usb1="00000000" w:usb2="00000030" w:usb3="00000000" w:csb0="0008009F" w:csb1="00000000"/>
  </w:font>
  <w:font w:name="굴림">
    <w:altName w:val="Malgun Gothic"/>
    <w:panose1 w:val="020B0600000101010101"/>
    <w:charset w:val="81"/>
    <w:family w:val="modern"/>
    <w:pitch w:val="default"/>
    <w:sig w:usb0="00000000" w:usb1="00000000" w:usb2="00000030" w:usb3="00000000" w:csb0="0008009F" w:csb1="00000000"/>
  </w:font>
  <w:font w:name="MS Mincho">
    <w:altName w:val="Segoe Print"/>
    <w:panose1 w:val="00000000000000000000"/>
    <w:charset w:val="00"/>
    <w:family w:val="auto"/>
    <w:pitch w:val="default"/>
    <w:sig w:usb0="00000000" w:usb1="00000000" w:usb2="00000000" w:usb3="00000000" w:csb0="00000000" w:csb1="00000000"/>
  </w:font>
  <w:font w:name="Microsoft JhengHei">
    <w:panose1 w:val="020B0604030504040204"/>
    <w:charset w:val="88"/>
    <w:family w:val="auto"/>
    <w:pitch w:val="default"/>
    <w:sig w:usb0="000002A7" w:usb1="28CF4400" w:usb2="00000016" w:usb3="00000000" w:csb0="00100009" w:csb1="00000000"/>
  </w:font>
  <w:font w:name="Book Antiqua">
    <w:panose1 w:val="02040602050305030304"/>
    <w:charset w:val="00"/>
    <w:family w:val="roman"/>
    <w:pitch w:val="default"/>
    <w:sig w:usb0="00000287" w:usb1="00000000" w:usb2="00000000" w:usb3="00000000" w:csb0="2000009F" w:csb1="DFD70000"/>
  </w:font>
  <w:font w:name="BatangChe">
    <w:altName w:val="Malgun Gothic"/>
    <w:panose1 w:val="00000000000000000000"/>
    <w:charset w:val="81"/>
    <w:family w:val="modern"/>
    <w:pitch w:val="default"/>
    <w:sig w:usb0="00000000" w:usb1="00000000" w:usb2="00000030" w:usb3="00000000" w:csb0="0008009F" w:csb1="00000000"/>
  </w:font>
  <w:font w:name="Times New Roman , serif">
    <w:altName w:val="Times New Roman"/>
    <w:panose1 w:val="00000000000000000000"/>
    <w:charset w:val="00"/>
    <w:family w:val="roman"/>
    <w:pitch w:val="default"/>
    <w:sig w:usb0="00000000" w:usb1="00000000" w:usb2="00000000" w:usb3="00000000" w:csb0="00000000" w:csb1="00000000"/>
  </w:font>
  <w:font w:name="Nokia Pure Text Light">
    <w:altName w:val="Leelawadee UI"/>
    <w:panose1 w:val="00000000000000000000"/>
    <w:charset w:val="00"/>
    <w:family w:val="swiss"/>
    <w:pitch w:val="default"/>
    <w:sig w:usb0="00000000" w:usb1="00000000" w:usb2="00010000" w:usb3="00000000" w:csb0="0000019F" w:csb1="00000000"/>
  </w:font>
  <w:font w:name="Leelawadee UI">
    <w:panose1 w:val="020B0502040204020203"/>
    <w:charset w:val="00"/>
    <w:family w:val="auto"/>
    <w:pitch w:val="default"/>
    <w:sig w:usb0="83000003" w:usb1="00000000" w:usb2="00010000" w:usb3="00000001" w:csb0="00010101" w:csb1="00000000"/>
  </w:font>
  <w:font w:name="Wingdings">
    <w:panose1 w:val="05000000000000000000"/>
    <w:charset w:val="4D"/>
    <w:family w:val="decorative"/>
    <w:pitch w:val="default"/>
    <w:sig w:usb0="00000000" w:usb1="00000000" w:usb2="00000000" w:usb3="00000000" w:csb0="80000000" w:csb1="00000000"/>
  </w:font>
  <w:font w:name="Symbol">
    <w:panose1 w:val="05050102010706020507"/>
    <w:charset w:val="4D"/>
    <w:family w:val="decorative"/>
    <w:pitch w:val="default"/>
    <w:sig w:usb0="00000000" w:usb1="00000000" w:usb2="00000000" w:usb3="00000000" w:csb0="80000000" w:csb1="00000000"/>
  </w:font>
  <w:font w:name="Monotype Sorts">
    <w:altName w:val="Microsoft Himalaya"/>
    <w:panose1 w:val="01010601010101010101"/>
    <w:charset w:val="02"/>
    <w:family w:val="auto"/>
    <w:pitch w:val="default"/>
    <w:sig w:usb0="00000000" w:usb1="00000000" w:usb2="00000000" w:usb3="00000000" w:csb0="80000000" w:csb1="00000000"/>
  </w:font>
  <w:font w:name="Webdings">
    <w:panose1 w:val="05030102010509060703"/>
    <w:charset w:val="4D"/>
    <w:family w:val="decorative"/>
    <w:pitch w:val="default"/>
    <w:sig w:usb0="00000000" w:usb1="00000000" w:usb2="00000000" w:usb3="00000000" w:csb0="80000000" w:csb1="00000000"/>
  </w:font>
  <w:font w:name="Microsoft Himalaya">
    <w:panose1 w:val="01010100010101010101"/>
    <w:charset w:val="00"/>
    <w:family w:val="auto"/>
    <w:pitch w:val="default"/>
    <w:sig w:usb0="80000003" w:usb1="00010000" w:usb2="0000004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00A447D"/>
    <w:rsid w:val="134277FC"/>
    <w:rsid w:val="14486D32"/>
    <w:rsid w:val="18AF707B"/>
    <w:rsid w:val="1E85739C"/>
    <w:rsid w:val="207850EF"/>
    <w:rsid w:val="2C8622C4"/>
    <w:rsid w:val="2DBF09AB"/>
    <w:rsid w:val="2E8259FF"/>
    <w:rsid w:val="2F9F402B"/>
    <w:rsid w:val="345937CE"/>
    <w:rsid w:val="3595172F"/>
    <w:rsid w:val="380F45CC"/>
    <w:rsid w:val="3A981197"/>
    <w:rsid w:val="3C1515AA"/>
    <w:rsid w:val="3FD7004F"/>
    <w:rsid w:val="3FE47C02"/>
    <w:rsid w:val="471B610B"/>
    <w:rsid w:val="4AD86832"/>
    <w:rsid w:val="4ADD0CE6"/>
    <w:rsid w:val="4BC86638"/>
    <w:rsid w:val="4E5527F6"/>
    <w:rsid w:val="55423750"/>
    <w:rsid w:val="55A253EC"/>
    <w:rsid w:val="57135F6F"/>
    <w:rsid w:val="5BFA42C1"/>
    <w:rsid w:val="5DF60ACB"/>
    <w:rsid w:val="60025EA2"/>
    <w:rsid w:val="63F23415"/>
    <w:rsid w:val="66403909"/>
    <w:rsid w:val="68EC0320"/>
    <w:rsid w:val="6DBE4BE1"/>
    <w:rsid w:val="6E3851B0"/>
    <w:rsid w:val="6E8700BC"/>
    <w:rsid w:val="70752F43"/>
    <w:rsid w:val="73B351D8"/>
    <w:rsid w:val="757C14D3"/>
    <w:rsid w:val="75E825D6"/>
    <w:rsid w:val="79A95ED4"/>
    <w:rsid w:val="7B030CC0"/>
    <w:rsid w:val="7CF27A2C"/>
    <w:rsid w:val="7EBB3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2024-05-10T09:14:21Z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