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pageBreakBefore w:val="0"/>
        <w:widowControl/>
        <w:tabs>
          <w:tab w:val="left" w:pos="1980"/>
        </w:tabs>
        <w:kinsoku/>
        <w:wordWrap/>
        <w:topLinePunct w:val="0"/>
        <w:bidi w:val="0"/>
        <w:snapToGrid w:val="0"/>
        <w:spacing w:after="0" w:line="240" w:lineRule="auto"/>
        <w:jc w:val="both"/>
        <w:rPr>
          <w:rFonts w:hint="default" w:ascii="Times New Roman" w:hAnsi="Times New Roman" w:eastAsia="宋体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3GPP TSG RAN WG1 #116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bis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  <w:t xml:space="preserve">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>R1-</w:t>
      </w:r>
      <w:r>
        <w:rPr>
          <w:rFonts w:hint="eastAsia" w:ascii="Times New Roman" w:hAnsi="Times New Roman" w:eastAsiaTheme="minorHAnsi" w:cstheme="minorBidi"/>
          <w:b/>
          <w:bCs/>
          <w:sz w:val="24"/>
          <w:szCs w:val="28"/>
          <w:lang w:val="en-US"/>
        </w:rPr>
        <w:t>240</w:t>
      </w:r>
      <w:r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  <w:t>3374</w:t>
      </w:r>
    </w:p>
    <w:p>
      <w:pPr>
        <w:pStyle w:val="8"/>
        <w:pageBreakBefore w:val="0"/>
        <w:widowControl/>
        <w:tabs>
          <w:tab w:val="left" w:pos="1980"/>
        </w:tabs>
        <w:kinsoku/>
        <w:wordWrap/>
        <w:topLinePunct w:val="0"/>
        <w:bidi w:val="0"/>
        <w:snapToGrid w:val="0"/>
        <w:spacing w:after="0" w:line="240" w:lineRule="auto"/>
        <w:jc w:val="both"/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</w:pPr>
      <w:bookmarkStart w:id="0" w:name="OLE_LINK9"/>
      <w:bookmarkStart w:id="1" w:name="OLE_LINK3"/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>Changsha, China, 15th April – 19th April,</w:t>
      </w:r>
      <w:bookmarkEnd w:id="0"/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 xml:space="preserve"> 2024</w:t>
      </w:r>
      <w:bookmarkEnd w:id="1"/>
    </w:p>
    <w:p>
      <w:pPr>
        <w:pageBreakBefore w:val="0"/>
        <w:widowControl/>
        <w:tabs>
          <w:tab w:val="center" w:pos="4536"/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jc w:val="left"/>
        <w:textAlignment w:val="auto"/>
        <w:rPr>
          <w:rFonts w:ascii="Arial" w:hAnsi="Arial" w:eastAsia="MS Mincho" w:cs="Arial"/>
          <w:b/>
          <w:bCs/>
          <w:sz w:val="24"/>
          <w:szCs w:val="22"/>
          <w:lang w:eastAsia="ja-JP"/>
        </w:rPr>
      </w:pP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rPr>
          <w:rFonts w:hint="eastAsia" w:eastAsia="宋体" w:cs="Arial"/>
          <w:szCs w:val="24"/>
          <w:lang w:val="en-US" w:eastAsia="zh-CN"/>
        </w:rPr>
      </w:pPr>
      <w:r>
        <w:rPr>
          <w:rFonts w:cs="Arial"/>
          <w:szCs w:val="24"/>
          <w:lang w:val="en-US"/>
        </w:rPr>
        <w:t>Agenda Item:</w:t>
      </w:r>
      <w:r>
        <w:rPr>
          <w:rFonts w:cs="Arial"/>
          <w:szCs w:val="24"/>
          <w:lang w:val="en-US"/>
        </w:rPr>
        <w:tab/>
      </w:r>
      <w:r>
        <w:rPr>
          <w:rFonts w:cs="Arial"/>
          <w:szCs w:val="24"/>
          <w:lang w:val="en-US"/>
        </w:rPr>
        <w:t>9.4.</w:t>
      </w:r>
      <w:r>
        <w:rPr>
          <w:rFonts w:hint="eastAsia" w:eastAsia="宋体" w:cs="Arial"/>
          <w:szCs w:val="24"/>
          <w:lang w:val="en-US" w:eastAsia="zh-CN"/>
        </w:rPr>
        <w:t>2</w:t>
      </w:r>
      <w:r>
        <w:rPr>
          <w:rFonts w:cs="Arial"/>
          <w:szCs w:val="24"/>
          <w:lang w:val="en-US"/>
        </w:rPr>
        <w:t>.</w:t>
      </w:r>
      <w:r>
        <w:rPr>
          <w:rFonts w:hint="eastAsia" w:eastAsia="宋体" w:cs="Arial"/>
          <w:szCs w:val="24"/>
          <w:lang w:val="en-US" w:eastAsia="zh-CN"/>
        </w:rPr>
        <w:t>3</w:t>
      </w: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Source: </w:t>
      </w:r>
      <w:r>
        <w:rPr>
          <w:rFonts w:cs="Arial"/>
          <w:szCs w:val="24"/>
          <w:lang w:val="en-US"/>
        </w:rPr>
        <w:tab/>
      </w:r>
      <w:r>
        <w:rPr>
          <w:rFonts w:hint="eastAsia" w:eastAsia="宋体" w:cs="Arial"/>
          <w:szCs w:val="24"/>
          <w:lang w:val="en-US" w:eastAsia="zh-CN"/>
        </w:rPr>
        <w:t>China Unicom</w:t>
      </w: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jc w:val="left"/>
        <w:rPr>
          <w:rFonts w:hint="default" w:eastAsia="宋体" w:cs="Arial"/>
          <w:color w:val="000000"/>
          <w:szCs w:val="24"/>
          <w:lang w:val="en-US" w:eastAsia="zh-CN"/>
        </w:rPr>
      </w:pPr>
      <w:r>
        <w:rPr>
          <w:rFonts w:cs="Arial"/>
          <w:szCs w:val="24"/>
        </w:rPr>
        <w:t xml:space="preserve">Title: </w:t>
      </w:r>
      <w:r>
        <w:rPr>
          <w:rFonts w:cs="Arial"/>
          <w:szCs w:val="24"/>
        </w:rPr>
        <w:tab/>
      </w:r>
      <w:r>
        <w:rPr>
          <w:rFonts w:hint="eastAsia" w:eastAsia="宋体" w:cs="Arial"/>
          <w:szCs w:val="24"/>
          <w:lang w:val="en-US" w:eastAsia="zh-CN"/>
        </w:rPr>
        <w:t>Discussion on</w:t>
      </w:r>
      <w:r>
        <w:rPr>
          <w:rFonts w:hint="eastAsia" w:cs="Arial"/>
          <w:szCs w:val="24"/>
        </w:rPr>
        <w:t xml:space="preserve"> </w:t>
      </w:r>
      <w:bookmarkStart w:id="2" w:name="OLE_LINK4"/>
      <w:r>
        <w:rPr>
          <w:rFonts w:hint="eastAsia" w:eastAsia="宋体" w:cs="Arial"/>
          <w:szCs w:val="24"/>
          <w:lang w:val="en-US" w:eastAsia="zh-CN"/>
        </w:rPr>
        <w:t>d</w:t>
      </w:r>
      <w:r>
        <w:rPr>
          <w:rFonts w:hint="eastAsia" w:cs="Arial"/>
          <w:szCs w:val="24"/>
        </w:rPr>
        <w:t>ownlink and uplink channel aspects</w:t>
      </w:r>
      <w:bookmarkEnd w:id="2"/>
      <w:r>
        <w:rPr>
          <w:rFonts w:hint="eastAsia" w:eastAsia="宋体" w:cs="Arial"/>
          <w:szCs w:val="24"/>
          <w:lang w:val="en-US" w:eastAsia="zh-CN"/>
        </w:rPr>
        <w:t xml:space="preserve"> for A-IoT</w:t>
      </w: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Document for: </w:t>
      </w:r>
      <w:r>
        <w:rPr>
          <w:rFonts w:cs="Arial"/>
          <w:szCs w:val="24"/>
        </w:rPr>
        <w:tab/>
      </w:r>
      <w:r>
        <w:rPr>
          <w:rFonts w:hint="eastAsia" w:cs="Arial"/>
          <w:szCs w:val="24"/>
        </w:rPr>
        <w:t>Discussion and Decision</w:t>
      </w:r>
    </w:p>
    <w:p>
      <w:pPr>
        <w:pStyle w:val="2"/>
        <w:pageBreakBefore w:val="0"/>
        <w:widowControl/>
        <w:kinsoku/>
        <w:wordWrap/>
        <w:topLinePunct w:val="0"/>
        <w:bidi w:val="0"/>
        <w:snapToGrid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1. Introduction</w:t>
      </w:r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jc w:val="both"/>
        <w:rPr>
          <w:rFonts w:hint="eastAsia" w:eastAsia="宋体" w:cs="Times New Roman"/>
          <w:sz w:val="22"/>
          <w:szCs w:val="22"/>
          <w:lang w:val="en-US" w:eastAsia="zh-CN"/>
        </w:rPr>
      </w:pPr>
      <w:bookmarkStart w:id="3" w:name="OLE_LINK1"/>
      <w:r>
        <w:rPr>
          <w:sz w:val="22"/>
          <w:szCs w:val="22"/>
        </w:rPr>
        <w:t>3GPP RAN has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>approved a new SI</w:t>
      </w:r>
      <w:r>
        <w:rPr>
          <w:rFonts w:hint="eastAsia" w:eastAsia="宋体"/>
          <w:sz w:val="22"/>
          <w:szCs w:val="22"/>
          <w:lang w:val="en-US" w:eastAsia="zh-CN"/>
        </w:rPr>
        <w:t>D</w:t>
      </w:r>
      <w:r>
        <w:rPr>
          <w:sz w:val="22"/>
          <w:szCs w:val="22"/>
        </w:rPr>
        <w:t xml:space="preserve"> to study </w:t>
      </w:r>
      <w:r>
        <w:rPr>
          <w:rFonts w:eastAsia="MS Mincho"/>
          <w:sz w:val="22"/>
          <w:szCs w:val="22"/>
          <w:lang w:eastAsia="en-US"/>
        </w:rPr>
        <w:t>Ambient IoT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Yu Mincho"/>
          <w:bCs/>
          <w:iCs/>
          <w:lang w:eastAsia="ja-JP"/>
        </w:rPr>
        <w:t>(Internet of Things)</w:t>
      </w:r>
      <w:r>
        <w:rPr>
          <w:rFonts w:hint="eastAsia" w:eastAsia="宋体"/>
          <w:bCs/>
          <w:iCs/>
          <w:lang w:val="en-US" w:eastAsia="zh-CN"/>
        </w:rPr>
        <w:t xml:space="preserve"> in NR</w:t>
      </w:r>
      <w:r>
        <w:rPr>
          <w:rFonts w:eastAsia="Yu Mincho"/>
          <w:bCs/>
          <w:iCs/>
          <w:lang w:eastAsia="ja-JP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[1]. The</w:t>
      </w:r>
      <w:r>
        <w:rPr>
          <w:rFonts w:eastAsia="MS Mincho"/>
          <w:sz w:val="22"/>
          <w:szCs w:val="22"/>
          <w:lang w:eastAsia="en-US"/>
        </w:rPr>
        <w:t xml:space="preserve"> </w:t>
      </w:r>
      <w:r>
        <w:rPr>
          <w:rFonts w:eastAsia="宋体"/>
          <w:lang w:val="en-US" w:eastAsia="ja-JP"/>
        </w:rPr>
        <w:t>overall objective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>shall be</w:t>
      </w:r>
      <w:r>
        <w:rPr>
          <w:rFonts w:hint="eastAsia" w:eastAsia="宋体"/>
          <w:lang w:val="en-US" w:eastAsia="zh-CN"/>
        </w:rPr>
        <w:t xml:space="preserve"> to</w:t>
      </w:r>
      <w:r>
        <w:rPr>
          <w:sz w:val="22"/>
          <w:szCs w:val="22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work out a</w:t>
      </w:r>
      <w:r>
        <w:rPr>
          <w:sz w:val="22"/>
          <w:szCs w:val="22"/>
        </w:rPr>
        <w:t xml:space="preserve"> harmonized air interface design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>with minimized differences for Ambient IoT to enable the</w:t>
      </w:r>
      <w:r>
        <w:rPr>
          <w:rFonts w:hint="eastAsia" w:eastAsia="宋体"/>
          <w:lang w:val="en-US" w:eastAsia="zh-CN"/>
        </w:rPr>
        <w:t xml:space="preserve"> two types of</w:t>
      </w:r>
      <w:r>
        <w:rPr>
          <w:rFonts w:eastAsia="宋体"/>
          <w:lang w:val="en-US" w:eastAsia="ja-JP"/>
        </w:rPr>
        <w:t xml:space="preserve"> devices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with peak power consumption of about 1 </w:t>
      </w:r>
      <w:r>
        <w:rPr>
          <w:rFonts w:ascii="Symbol" w:hAnsi="Symbol" w:cs="Times New Roman"/>
          <w:sz w:val="22"/>
          <w:szCs w:val="22"/>
          <w:lang w:val="en-GB"/>
        </w:rPr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 and below a few hundred </w:t>
      </w:r>
      <w:r>
        <w:rPr>
          <w:rFonts w:ascii="Symbol" w:hAnsi="Symbol" w:cs="Times New Roman"/>
          <w:sz w:val="22"/>
          <w:szCs w:val="22"/>
          <w:lang w:val="en-GB"/>
        </w:rPr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>W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.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</w:t>
      </w:r>
      <w:bookmarkStart w:id="4" w:name="OLE_LINK7"/>
      <w:r>
        <w:rPr>
          <w:rFonts w:hint="eastAsia" w:eastAsia="宋体" w:cs="Times New Roman"/>
          <w:sz w:val="22"/>
          <w:szCs w:val="22"/>
          <w:lang w:val="en-US" w:eastAsia="zh-CN"/>
        </w:rPr>
        <w:t xml:space="preserve">While some initial agreements have been reached regarding the downlink and uplink channel/signal aspects in RAN1#116, there are still many details that require further discussion [2]. </w:t>
      </w:r>
      <w:bookmarkEnd w:id="4"/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jc w:val="both"/>
        <w:rPr>
          <w:rFonts w:hint="eastAsia" w:eastAsia="宋体" w:cs="Arial"/>
          <w:sz w:val="22"/>
          <w:szCs w:val="22"/>
          <w:lang w:val="en-US" w:eastAsia="zh-CN"/>
        </w:rPr>
      </w:pPr>
      <w:r>
        <w:rPr>
          <w:rFonts w:eastAsia="MS Mincho"/>
          <w:bCs/>
          <w:sz w:val="22"/>
          <w:szCs w:val="22"/>
          <w:lang w:eastAsia="en-US"/>
        </w:rPr>
        <w:t xml:space="preserve">In this contribution, we </w:t>
      </w:r>
      <w:r>
        <w:rPr>
          <w:rFonts w:eastAsia="Yu Mincho"/>
          <w:bCs/>
          <w:iCs/>
          <w:sz w:val="22"/>
          <w:szCs w:val="22"/>
          <w:lang w:eastAsia="ja-JP"/>
        </w:rPr>
        <w:t>present our views about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downlink channel design about the periodic broadcast </w:t>
      </w:r>
      <w:r>
        <w:rPr>
          <w:rFonts w:eastAsia="宋体"/>
          <w:lang w:val="en-US" w:eastAsia="ja-JP"/>
        </w:rPr>
        <w:t>for Ambient IoT</w:t>
      </w:r>
      <w:r>
        <w:rPr>
          <w:rFonts w:hint="eastAsia" w:eastAsia="宋体" w:cs="Arial"/>
          <w:sz w:val="22"/>
          <w:szCs w:val="22"/>
          <w:lang w:val="en-US" w:eastAsia="zh-CN"/>
        </w:rPr>
        <w:t>.</w:t>
      </w:r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jc w:val="both"/>
        <w:rPr>
          <w:rFonts w:hint="default" w:eastAsia="宋体" w:cs="Arial"/>
          <w:sz w:val="22"/>
          <w:szCs w:val="22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2"/>
        </w:numPr>
        <w:kinsoku/>
        <w:wordWrap/>
        <w:topLinePunct w:val="0"/>
        <w:bidi w:val="0"/>
        <w:snapToGrid w:val="0"/>
        <w:spacing w:line="240" w:lineRule="auto"/>
        <w:rPr>
          <w:rFonts w:eastAsia="MS Mincho"/>
          <w:lang w:eastAsia="en-US"/>
        </w:rPr>
      </w:pPr>
      <w:r>
        <w:rPr>
          <w:rFonts w:hint="eastAsia" w:eastAsia="宋体"/>
          <w:sz w:val="32"/>
          <w:szCs w:val="32"/>
          <w:lang w:val="en-US" w:eastAsia="zh-CN"/>
        </w:rPr>
        <w:t>Di</w:t>
      </w:r>
      <w:bookmarkStart w:id="11" w:name="_GoBack"/>
      <w:bookmarkEnd w:id="11"/>
      <w:r>
        <w:rPr>
          <w:rFonts w:hint="eastAsia" w:eastAsia="宋体"/>
          <w:sz w:val="32"/>
          <w:szCs w:val="32"/>
          <w:lang w:val="en-US" w:eastAsia="zh-CN"/>
        </w:rPr>
        <w:t xml:space="preserve">scussion </w:t>
      </w:r>
    </w:p>
    <w:bookmarkEnd w:id="3"/>
    <w:p>
      <w:pPr>
        <w:rPr>
          <w:rFonts w:hint="eastAsia" w:eastAsia="宋体"/>
          <w:lang w:val="en-US" w:eastAsia="zh-CN"/>
        </w:rPr>
      </w:pPr>
      <w:bookmarkStart w:id="5" w:name="OLE_LINK2"/>
      <w:r>
        <w:rPr>
          <w:rFonts w:hint="eastAsia"/>
          <w:lang w:val="en-US" w:eastAsia="zh-CN"/>
        </w:rPr>
        <w:t>As discussed in RAN1#116, the</w:t>
      </w:r>
      <w:r>
        <w:rPr>
          <w:szCs w:val="20"/>
        </w:rPr>
        <w:t xml:space="preserve"> </w:t>
      </w:r>
      <w:r>
        <w:rPr>
          <w:color w:val="000000"/>
          <w:szCs w:val="20"/>
        </w:rPr>
        <w:t xml:space="preserve">dedicated physical </w:t>
      </w:r>
      <w:r>
        <w:rPr>
          <w:szCs w:val="20"/>
        </w:rPr>
        <w:t>broadcast channel for R2D</w:t>
      </w:r>
      <w:r>
        <w:rPr>
          <w:rFonts w:hint="eastAsia" w:eastAsia="宋体"/>
          <w:szCs w:val="20"/>
          <w:lang w:val="en-US" w:eastAsia="zh-CN"/>
        </w:rPr>
        <w:t xml:space="preserve"> </w:t>
      </w:r>
      <w:r>
        <w:rPr>
          <w:szCs w:val="20"/>
        </w:rPr>
        <w:t>is not considered for study.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snapToGrid w:val="0"/>
              <w:rPr>
                <w:rFonts w:eastAsia="等线"/>
                <w:bCs/>
                <w:i/>
                <w:lang w:val="en-US" w:eastAsia="zh-CN"/>
              </w:rPr>
            </w:pPr>
            <w:bookmarkStart w:id="6" w:name="OLE_LINK10"/>
            <w:r>
              <w:rPr>
                <w:rFonts w:hint="eastAsia" w:eastAsia="等线"/>
                <w:bCs/>
                <w:i/>
                <w:lang w:val="en-US" w:eastAsia="zh-CN"/>
              </w:rPr>
              <w:t>RAN</w:t>
            </w:r>
            <w:r>
              <w:rPr>
                <w:rFonts w:eastAsia="等线"/>
                <w:bCs/>
                <w:i/>
                <w:lang w:val="en-US" w:eastAsia="zh-CN"/>
              </w:rPr>
              <w:t xml:space="preserve">1#116 agreement 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begin"/>
            </w:r>
            <w:r>
              <w:rPr>
                <w:rFonts w:eastAsia="等线"/>
                <w:bCs/>
                <w:i/>
                <w:lang w:val="en-US" w:eastAsia="zh-CN"/>
              </w:rPr>
              <w:instrText xml:space="preserve"> REF _Ref161840323 \r \h </w:instrTex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separate"/>
            </w:r>
            <w:r>
              <w:rPr>
                <w:rFonts w:eastAsia="等线"/>
                <w:bCs/>
                <w:i/>
                <w:lang w:val="en-US" w:eastAsia="zh-CN"/>
              </w:rPr>
              <w:t>[</w:t>
            </w:r>
            <w:r>
              <w:rPr>
                <w:rFonts w:hint="eastAsia" w:eastAsia="等线"/>
                <w:bCs/>
                <w:i/>
                <w:lang w:val="en-US" w:eastAsia="zh-CN"/>
              </w:rPr>
              <w:t>2</w:t>
            </w:r>
            <w:r>
              <w:rPr>
                <w:rFonts w:eastAsia="等线"/>
                <w:bCs/>
                <w:i/>
                <w:lang w:val="en-US" w:eastAsia="zh-CN"/>
              </w:rPr>
              <w:t>]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end"/>
            </w:r>
          </w:p>
          <w:p>
            <w:pPr>
              <w:rPr>
                <w:bCs/>
                <w:lang w:val="en-US"/>
              </w:rPr>
            </w:pPr>
            <w:r>
              <w:rPr>
                <w:szCs w:val="20"/>
              </w:rPr>
              <w:t>For ambient IoT devices, a</w:t>
            </w:r>
            <w:bookmarkStart w:id="7" w:name="OLE_LINK8"/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dedicated physical </w:t>
            </w:r>
            <w:r>
              <w:rPr>
                <w:szCs w:val="20"/>
              </w:rPr>
              <w:t>broadcast channel for R2D</w:t>
            </w:r>
            <w:bookmarkEnd w:id="7"/>
            <w:r>
              <w:rPr>
                <w:szCs w:val="20"/>
              </w:rPr>
              <w:t xml:space="preserve">, </w:t>
            </w:r>
            <w:bookmarkStart w:id="8" w:name="OLE_LINK5"/>
            <w:r>
              <w:rPr>
                <w:szCs w:val="20"/>
              </w:rPr>
              <w:t xml:space="preserve">e.g. </w:t>
            </w:r>
            <w:bookmarkEnd w:id="8"/>
            <w:r>
              <w:rPr>
                <w:szCs w:val="20"/>
              </w:rPr>
              <w:t>PBCH-like, is not considered for study.</w:t>
            </w:r>
          </w:p>
        </w:tc>
      </w:tr>
      <w:bookmarkEnd w:id="6"/>
    </w:tbl>
    <w:p>
      <w:pPr>
        <w:rPr>
          <w:rFonts w:hint="default" w:eastAsia="宋体"/>
          <w:lang w:val="en-US" w:eastAsia="zh-CN"/>
        </w:rPr>
      </w:pPr>
      <w:r>
        <w:t>In NR, the motivation of PBCH is to periodically provide system information to the UEs.</w:t>
      </w:r>
      <w:r>
        <w:rPr>
          <w:rFonts w:hint="eastAsia" w:eastAsia="宋体"/>
          <w:lang w:val="en-US" w:eastAsia="zh-CN"/>
        </w:rPr>
        <w:t xml:space="preserve"> In Ambient IoT, system information is not fundamental unless there is a specific procedure such as a measurement report. O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wing to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MS Mincho"/>
          <w:lang w:eastAsia="en-US"/>
        </w:rPr>
        <w:t>ultra-low complexity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S Mincho"/>
          <w:lang w:eastAsia="en-US"/>
        </w:rPr>
        <w:t xml:space="preserve"> ultra-low power consumption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ambient IoT devices, the reports sent through the uplink channel contain </w:t>
      </w:r>
      <w:r>
        <w:rPr>
          <w:rFonts w:hint="eastAsia" w:eastAsia="宋体"/>
          <w:lang w:val="en-US" w:eastAsia="zh-CN"/>
        </w:rPr>
        <w:t>only essential details such as decoding reference, data and some index information. Therefore, frequent periodic broadcast channel is not considered.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However, for present SID, the 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ambient IoT devices are unable to proactively provide any information. During practical use, devices will naturally generate service related data, </w:t>
      </w:r>
      <w:r>
        <w:rPr>
          <w:szCs w:val="20"/>
        </w:rPr>
        <w:t xml:space="preserve">e.g. 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 alerts about their status. These reports require a specific trigger from the downlink channel to be activated. The chance for devices to report should be reversed available.</w:t>
      </w:r>
    </w:p>
    <w:p>
      <w:pPr>
        <w:rPr>
          <w:rFonts w:hint="eastAsia"/>
          <w:b/>
          <w:i/>
          <w:iCs/>
          <w:sz w:val="22"/>
          <w:szCs w:val="22"/>
          <w:lang w:val="en-US" w:eastAsia="zh-CN"/>
        </w:rPr>
      </w:pPr>
      <w:r>
        <w:rPr>
          <w:b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1</w:t>
      </w:r>
      <w:r>
        <w:rPr>
          <w:b/>
          <w:i/>
          <w:iCs/>
          <w:sz w:val="22"/>
          <w:szCs w:val="22"/>
          <w:lang w:eastAsia="zh-CN"/>
        </w:rPr>
        <w:t xml:space="preserve">: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Some macro-periodic </w:t>
      </w:r>
      <w:r>
        <w:rPr>
          <w:b/>
          <w:bCs/>
          <w:i/>
          <w:iCs/>
          <w:lang w:eastAsia="zh-CN"/>
        </w:rPr>
        <w:t>broadcast</w:t>
      </w:r>
      <w:r>
        <w:rPr>
          <w:rFonts w:hint="eastAsia"/>
          <w:b/>
          <w:bCs/>
          <w:i/>
          <w:iCs/>
          <w:lang w:val="en-US" w:eastAsia="zh-CN"/>
        </w:rPr>
        <w:t>-like</w:t>
      </w:r>
      <w:r>
        <w:rPr>
          <w:b/>
          <w:bCs/>
          <w:i/>
          <w:iCs/>
          <w:lang w:eastAsia="zh-CN"/>
        </w:rPr>
        <w:t xml:space="preserve"> information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iCs/>
          <w:sz w:val="22"/>
          <w:szCs w:val="22"/>
          <w:lang w:eastAsia="zh-CN"/>
        </w:rPr>
        <w:t>can be considered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in downlink </w:t>
      </w:r>
      <w:r>
        <w:rPr>
          <w:b/>
          <w:i/>
          <w:iCs/>
          <w:sz w:val="22"/>
          <w:szCs w:val="22"/>
          <w:lang w:eastAsia="zh-CN"/>
        </w:rPr>
        <w:t>channel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to trigger the devices reports for service related data.</w:t>
      </w:r>
    </w:p>
    <w:p>
      <w:pPr>
        <w:rPr>
          <w:rFonts w:hint="eastAsia"/>
          <w:b/>
          <w:i/>
          <w:iCs/>
          <w:sz w:val="22"/>
          <w:szCs w:val="22"/>
          <w:lang w:val="en-US" w:eastAsia="en-US"/>
        </w:rPr>
      </w:pPr>
    </w:p>
    <w:bookmarkEnd w:id="5"/>
    <w:p>
      <w:pPr>
        <w:pStyle w:val="2"/>
        <w:pageBreakBefore w:val="0"/>
        <w:widowControl/>
        <w:numPr>
          <w:ilvl w:val="0"/>
          <w:numId w:val="2"/>
        </w:numPr>
        <w:kinsoku/>
        <w:wordWrap/>
        <w:topLinePunct w:val="0"/>
        <w:bidi w:val="0"/>
        <w:snapToGrid w:val="0"/>
        <w:spacing w:line="240" w:lineRule="auto"/>
        <w:rPr>
          <w:rFonts w:eastAsia="MS Mincho"/>
          <w:lang w:eastAsia="en-US"/>
        </w:rPr>
      </w:pPr>
      <w:r>
        <w:rPr>
          <w:rFonts w:hint="eastAsia" w:eastAsia="宋体"/>
          <w:sz w:val="32"/>
          <w:szCs w:val="32"/>
          <w:lang w:val="en-US" w:eastAsia="zh-CN"/>
        </w:rPr>
        <w:t>Conclusion</w:t>
      </w:r>
    </w:p>
    <w:p>
      <w:pPr>
        <w:rPr>
          <w:b/>
          <w:i/>
          <w:iCs/>
          <w:sz w:val="20"/>
          <w:szCs w:val="20"/>
          <w:lang w:eastAsia="zh-CN"/>
        </w:rPr>
      </w:pPr>
      <w:bookmarkStart w:id="9" w:name="OLE_LINK6"/>
      <w:r>
        <w:rPr>
          <w:rFonts w:ascii="Times New Roman" w:hAnsi="Times New Roman" w:cs="Times New Roman"/>
        </w:rPr>
        <w:t xml:space="preserve">According to the discussion, following proposal </w:t>
      </w:r>
      <w:r>
        <w:rPr>
          <w:rFonts w:hint="eastAsia" w:eastAsia="宋体" w:cs="Times New Roman"/>
          <w:lang w:val="en-US" w:eastAsia="zh-CN"/>
        </w:rPr>
        <w:t>is</w:t>
      </w:r>
      <w:r>
        <w:rPr>
          <w:rFonts w:ascii="Times New Roman" w:hAnsi="Times New Roman" w:cs="Times New Roman"/>
        </w:rPr>
        <w:t xml:space="preserve"> provided:</w:t>
      </w:r>
    </w:p>
    <w:bookmarkEnd w:id="9"/>
    <w:p>
      <w:pPr>
        <w:rPr>
          <w:b/>
          <w:i/>
          <w:iCs/>
          <w:sz w:val="22"/>
          <w:szCs w:val="22"/>
          <w:lang w:eastAsia="en-US"/>
        </w:rPr>
      </w:pPr>
      <w:r>
        <w:rPr>
          <w:b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1</w:t>
      </w:r>
      <w:r>
        <w:rPr>
          <w:b/>
          <w:i/>
          <w:iCs/>
          <w:sz w:val="22"/>
          <w:szCs w:val="22"/>
          <w:lang w:eastAsia="zh-CN"/>
        </w:rPr>
        <w:t xml:space="preserve">: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Some macro-periodic </w:t>
      </w:r>
      <w:r>
        <w:rPr>
          <w:b/>
          <w:bCs/>
          <w:i/>
          <w:iCs/>
          <w:lang w:eastAsia="zh-CN"/>
        </w:rPr>
        <w:t>broadcast</w:t>
      </w:r>
      <w:r>
        <w:rPr>
          <w:rFonts w:hint="eastAsia"/>
          <w:b/>
          <w:bCs/>
          <w:i/>
          <w:iCs/>
          <w:lang w:val="en-US" w:eastAsia="zh-CN"/>
        </w:rPr>
        <w:t>-like</w:t>
      </w:r>
      <w:r>
        <w:rPr>
          <w:b/>
          <w:bCs/>
          <w:i/>
          <w:iCs/>
          <w:lang w:eastAsia="zh-CN"/>
        </w:rPr>
        <w:t xml:space="preserve"> information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iCs/>
          <w:sz w:val="22"/>
          <w:szCs w:val="22"/>
          <w:lang w:eastAsia="zh-CN"/>
        </w:rPr>
        <w:t>can be considered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in downlink </w:t>
      </w:r>
      <w:r>
        <w:rPr>
          <w:b/>
          <w:i/>
          <w:iCs/>
          <w:sz w:val="22"/>
          <w:szCs w:val="22"/>
          <w:lang w:eastAsia="zh-CN"/>
        </w:rPr>
        <w:t>channel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to trigger the devices reports for service related data.</w:t>
      </w:r>
    </w:p>
    <w:p>
      <w:pPr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 w:val="0"/>
        <w:spacing w:line="240" w:lineRule="auto"/>
        <w:ind w:leftChars="0"/>
        <w:rPr>
          <w:b/>
          <w:i/>
          <w:iCs/>
          <w:sz w:val="22"/>
          <w:szCs w:val="22"/>
          <w:lang w:eastAsia="en-US"/>
        </w:r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 w:val="0"/>
        <w:spacing w:line="24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0" w:name="_Ref158023825"/>
      <w:r>
        <w:rPr>
          <w:lang w:eastAsia="zh-CN"/>
        </w:rPr>
        <w:t xml:space="preserve">RP-234058, New SID: Study on solutions for Ambient IoT (Internet of Things) in NR, </w:t>
      </w:r>
      <w:bookmarkEnd w:id="10"/>
      <w:r>
        <w:rPr>
          <w:lang w:eastAsia="zh-CN"/>
        </w:rPr>
        <w:t>RAN#102</w:t>
      </w:r>
    </w:p>
    <w:p>
      <w:pPr>
        <w:pStyle w:val="1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R1-2401857</w:t>
      </w:r>
      <w:r>
        <w:rPr>
          <w:rFonts w:hint="eastAsia" w:eastAsia="宋体" w:cs="Times New Roman"/>
          <w:sz w:val="20"/>
          <w:szCs w:val="20"/>
          <w:lang w:val="en-US" w:eastAsia="zh-CN"/>
        </w:rPr>
        <w:t>, Final feature lead summary on downlink and uplink channel/signal aspects, RAN#116</w:t>
      </w:r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rPr>
          <w:rFonts w:hint="eastAsia"/>
          <w:lang w:val="en-US" w:eastAsia="zh-CN"/>
        </w:rPr>
      </w:pPr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rPr>
          <w:lang w:eastAsia="en-US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 w:val="0"/>
        <w:spacing w:line="240" w:lineRule="auto"/>
        <w:ind w:leftChars="0"/>
        <w:rPr>
          <w:rFonts w:hint="default" w:eastAsia="MS Mincho"/>
          <w:bCs/>
          <w:lang w:val="en-US" w:eastAsia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120D9C"/>
    <w:multiLevelType w:val="singleLevel"/>
    <w:tmpl w:val="F0120D9C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0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17A73"/>
    <w:rsid w:val="04CB49FF"/>
    <w:rsid w:val="04D106DC"/>
    <w:rsid w:val="04DA1C0C"/>
    <w:rsid w:val="05BA450A"/>
    <w:rsid w:val="067960A5"/>
    <w:rsid w:val="07BE4433"/>
    <w:rsid w:val="08310482"/>
    <w:rsid w:val="08C85402"/>
    <w:rsid w:val="09D04939"/>
    <w:rsid w:val="09FF65CE"/>
    <w:rsid w:val="0BC9245B"/>
    <w:rsid w:val="0CD268A5"/>
    <w:rsid w:val="0D6B1DE4"/>
    <w:rsid w:val="0DDE3A6F"/>
    <w:rsid w:val="0EC8395B"/>
    <w:rsid w:val="10542981"/>
    <w:rsid w:val="114E1977"/>
    <w:rsid w:val="13367070"/>
    <w:rsid w:val="14B21CA1"/>
    <w:rsid w:val="15C47FA9"/>
    <w:rsid w:val="16DE196E"/>
    <w:rsid w:val="17276B5D"/>
    <w:rsid w:val="173D41F6"/>
    <w:rsid w:val="17490B5B"/>
    <w:rsid w:val="17E205EB"/>
    <w:rsid w:val="181E1C30"/>
    <w:rsid w:val="19AB7E36"/>
    <w:rsid w:val="1AA02707"/>
    <w:rsid w:val="1AD753E3"/>
    <w:rsid w:val="1E8C732F"/>
    <w:rsid w:val="1F1C374C"/>
    <w:rsid w:val="1F241ED6"/>
    <w:rsid w:val="1F454086"/>
    <w:rsid w:val="1FA772E0"/>
    <w:rsid w:val="22031C90"/>
    <w:rsid w:val="235977A0"/>
    <w:rsid w:val="241052D9"/>
    <w:rsid w:val="25E40FDF"/>
    <w:rsid w:val="25FA746F"/>
    <w:rsid w:val="26334612"/>
    <w:rsid w:val="2AC2674E"/>
    <w:rsid w:val="2E705C0F"/>
    <w:rsid w:val="2F274BC8"/>
    <w:rsid w:val="2FE70229"/>
    <w:rsid w:val="304B7ED9"/>
    <w:rsid w:val="31EE5C92"/>
    <w:rsid w:val="32277FE1"/>
    <w:rsid w:val="325A52D0"/>
    <w:rsid w:val="337540F8"/>
    <w:rsid w:val="338473BA"/>
    <w:rsid w:val="34222736"/>
    <w:rsid w:val="347B24BD"/>
    <w:rsid w:val="35C30605"/>
    <w:rsid w:val="35CC1E10"/>
    <w:rsid w:val="36B17D79"/>
    <w:rsid w:val="380E6778"/>
    <w:rsid w:val="387C7566"/>
    <w:rsid w:val="3AF521ED"/>
    <w:rsid w:val="3B5719A8"/>
    <w:rsid w:val="3BCE7CAB"/>
    <w:rsid w:val="3BE5774A"/>
    <w:rsid w:val="3BE84726"/>
    <w:rsid w:val="3C6A0C3D"/>
    <w:rsid w:val="3D1D3B52"/>
    <w:rsid w:val="3DBE0C16"/>
    <w:rsid w:val="3E2F4963"/>
    <w:rsid w:val="3FF344B8"/>
    <w:rsid w:val="40227D08"/>
    <w:rsid w:val="40B430E1"/>
    <w:rsid w:val="422F15EB"/>
    <w:rsid w:val="4295608A"/>
    <w:rsid w:val="429C756D"/>
    <w:rsid w:val="42EC70DF"/>
    <w:rsid w:val="4340615A"/>
    <w:rsid w:val="462802D7"/>
    <w:rsid w:val="46DC4186"/>
    <w:rsid w:val="47FB6D1B"/>
    <w:rsid w:val="48A913A7"/>
    <w:rsid w:val="48CD6EEB"/>
    <w:rsid w:val="4AC57951"/>
    <w:rsid w:val="4B1A256B"/>
    <w:rsid w:val="4F0601D3"/>
    <w:rsid w:val="4FC053F7"/>
    <w:rsid w:val="51A16E18"/>
    <w:rsid w:val="523B477C"/>
    <w:rsid w:val="535C3FEA"/>
    <w:rsid w:val="540D3BF7"/>
    <w:rsid w:val="556021CB"/>
    <w:rsid w:val="556872DB"/>
    <w:rsid w:val="57EF6B3B"/>
    <w:rsid w:val="5A006B3C"/>
    <w:rsid w:val="5A072A5C"/>
    <w:rsid w:val="5A5E7740"/>
    <w:rsid w:val="5D2F62E7"/>
    <w:rsid w:val="5E9D4056"/>
    <w:rsid w:val="5FED634A"/>
    <w:rsid w:val="609454B4"/>
    <w:rsid w:val="62FC1B91"/>
    <w:rsid w:val="64C90F1D"/>
    <w:rsid w:val="666263B1"/>
    <w:rsid w:val="673E395F"/>
    <w:rsid w:val="688C34FD"/>
    <w:rsid w:val="6A5963EB"/>
    <w:rsid w:val="6A8232D9"/>
    <w:rsid w:val="6AA6100D"/>
    <w:rsid w:val="6B3809BC"/>
    <w:rsid w:val="6B8319E3"/>
    <w:rsid w:val="6BBD5092"/>
    <w:rsid w:val="6D6A0FD2"/>
    <w:rsid w:val="707B59AC"/>
    <w:rsid w:val="71B36BDE"/>
    <w:rsid w:val="71B872E7"/>
    <w:rsid w:val="73A637E4"/>
    <w:rsid w:val="73D33D35"/>
    <w:rsid w:val="74AB5B95"/>
    <w:rsid w:val="779E21BC"/>
    <w:rsid w:val="792834DE"/>
    <w:rsid w:val="7994605C"/>
    <w:rsid w:val="7A9812B0"/>
    <w:rsid w:val="7C5E7786"/>
    <w:rsid w:val="7CA31C05"/>
    <w:rsid w:val="7CE77A93"/>
    <w:rsid w:val="7D964325"/>
    <w:rsid w:val="7E355ABE"/>
    <w:rsid w:val="7ED14910"/>
    <w:rsid w:val="7EEA3417"/>
    <w:rsid w:val="7F241656"/>
    <w:rsid w:val="7F72744D"/>
    <w:rsid w:val="7F9575DA"/>
    <w:rsid w:val="7FB7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">
    <w:name w:val="CR Cover Page"/>
    <w:qFormat/>
    <w:uiPriority w:val="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 w:eastAsia="en-US" w:bidi="ar-SA"/>
    </w:rPr>
  </w:style>
  <w:style w:type="paragraph" w:styleId="9">
    <w:name w:val="List Paragraph"/>
    <w:basedOn w:val="1"/>
    <w:qFormat/>
    <w:uiPriority w:val="34"/>
    <w:pPr>
      <w:spacing w:after="0" w:line="240" w:lineRule="auto"/>
      <w:ind w:left="720"/>
    </w:pPr>
    <w:rPr>
      <w:rFonts w:ascii="Calibri" w:hAnsi="Calibri" w:eastAsia="Calibri"/>
      <w:sz w:val="24"/>
      <w:szCs w:val="24"/>
    </w:rPr>
  </w:style>
  <w:style w:type="paragraph" w:customStyle="1" w:styleId="10">
    <w:name w:val="References"/>
    <w:basedOn w:val="1"/>
    <w:qFormat/>
    <w:uiPriority w:val="0"/>
    <w:pPr>
      <w:numPr>
        <w:ilvl w:val="0"/>
        <w:numId w:val="1"/>
      </w:numPr>
      <w:tabs>
        <w:tab w:val="left" w:pos="432"/>
        <w:tab w:val="clear" w:pos="360"/>
      </w:tabs>
      <w:adjustRightInd/>
      <w:spacing w:after="60"/>
      <w:ind w:left="432" w:hanging="432"/>
    </w:pPr>
    <w:rPr>
      <w:sz w:val="20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2023-12-21T05:59:00Z</dcterms:created>
  <dc:creator>unicom</dc:creator>
  <cp:lastModifiedBy>unicom</cp:lastModifiedBy>
  <dcterms:modified xsi:type="dcterms:W3CDTF">2024-04-05T23:05:59Z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F613D9E85C2847AEB1AD0EC464B41C45</vt:lpwstr>
  </property>
</Properties>
</file>