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F5504" w14:textId="77777777"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w:t>
      </w:r>
      <w:r>
        <w:rPr>
          <w:lang w:val="en-US"/>
        </w:rPr>
        <w:t>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w:t>
      </w:r>
      <w:r>
        <w:rPr>
          <w:lang w:val="en-US"/>
        </w:rPr>
        <w:t>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 xml:space="preserve">Additional email discussions will be set up once the </w:t>
            </w:r>
            <w:r>
              <w:rPr>
                <w:rFonts w:ascii="Times" w:hAnsi="Times"/>
                <w:szCs w:val="24"/>
                <w:highlight w:val="cyan"/>
                <w:lang w:eastAsia="zh-CN"/>
              </w:rPr>
              <w:t>maintenance issues for RAN1#110bis-e are determined</w:t>
            </w:r>
          </w:p>
        </w:tc>
      </w:tr>
    </w:tbl>
    <w:p w14:paraId="60D9BA0A" w14:textId="77777777"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w:t>
      </w:r>
      <w:r>
        <w:rPr>
          <w:rFonts w:ascii="Times New Roman" w:eastAsia="Times New Roman" w:hAnsi="Times New Roman" w:cs="Times New Roman"/>
          <w:i/>
          <w:iCs/>
          <w:sz w:val="20"/>
          <w:szCs w:val="20"/>
          <w:lang w:val="en-US"/>
        </w:rPr>
        <w:t>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w:t>
      </w:r>
      <w:r>
        <w:rPr>
          <w:rFonts w:ascii="Times New Roman" w:eastAsia="Times New Roman" w:hAnsi="Times New Roman" w:cs="Times New Roman"/>
          <w:i/>
          <w:iCs/>
          <w:sz w:val="20"/>
          <w:szCs w:val="20"/>
          <w:lang w:val="en-US"/>
        </w:rPr>
        <w:t>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w:t>
      </w:r>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w:t>
      </w:r>
      <w:r>
        <w:rPr>
          <w:rFonts w:ascii="Times New Roman" w:eastAsia="Times New Roman" w:hAnsi="Times New Roman" w:cs="Times New Roman"/>
          <w:sz w:val="20"/>
          <w:szCs w:val="20"/>
          <w:lang w:val="en-US"/>
        </w:rPr>
        <w:t xml:space="preserve">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w:t>
      </w:r>
      <w:r>
        <w:rPr>
          <w:rFonts w:eastAsia="Times New Roman"/>
          <w:lang w:val="en-US"/>
        </w:rPr>
        <w:t>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To avoid excessive email loa</w:t>
      </w:r>
      <w:r>
        <w:rPr>
          <w:rFonts w:eastAsia="Times New Roman"/>
          <w:lang w:val="en-US"/>
        </w:rPr>
        <w:t xml:space="preserve">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77777777" w:rsidR="00E60D24" w:rsidRDefault="00AD32C9">
      <w:pPr>
        <w:rPr>
          <w:lang w:val="en-US"/>
        </w:rPr>
      </w:pPr>
      <w:r>
        <w:rPr>
          <w:rFonts w:ascii="Times" w:hAnsi="Times"/>
          <w:b/>
          <w:szCs w:val="24"/>
          <w:lang w:val="en-US"/>
        </w:rPr>
        <w:t>FL3 Question 0</w:t>
      </w:r>
      <w:r>
        <w:rPr>
          <w:rFonts w:ascii="Times" w:hAnsi="Times"/>
          <w:b/>
          <w:szCs w:val="24"/>
          <w:lang w:val="en-US"/>
        </w:rPr>
        <w:t>-1a: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w:t>
            </w:r>
            <w:r>
              <w:rPr>
                <w:rFonts w:eastAsia="Yu Mincho"/>
                <w:color w:val="C00000"/>
                <w:u w:val="single"/>
                <w:lang w:val="en-US" w:eastAsia="ja-JP"/>
              </w:rPr>
              <w:t xml:space="preserve"> obtain SIB1 have the same quasi-colocation properties, if they have the same index.</w:t>
            </w:r>
          </w:p>
        </w:tc>
      </w:tr>
    </w:tbl>
    <w:p w14:paraId="0F9DE2CB" w14:textId="77777777" w:rsidR="00E60D24" w:rsidRDefault="00AD32C9">
      <w:pPr>
        <w:rPr>
          <w:lang w:val="en-US"/>
        </w:rPr>
      </w:pPr>
      <w:r>
        <w:rPr>
          <w:lang w:val="en-US"/>
        </w:rPr>
        <w:br/>
      </w:r>
      <w:r>
        <w:rPr>
          <w:lang w:val="en-US"/>
        </w:rP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w:t>
            </w:r>
            <w:r>
              <w:rPr>
                <w:rFonts w:cs="Arial"/>
                <w:szCs w:val="18"/>
                <w:lang w:eastAsia="sv-SE"/>
              </w:rPr>
              <w:t>gured, the RedCap UE operating in this BWP uses this SSB for the purposes for which it would otherwise have used the cell-defining SSB of the serving cell (e.g. obtaining sync, measurements, RLM). Furthermore, other parts of the BWP configuration that refe</w:t>
            </w:r>
            <w:r>
              <w:rPr>
                <w:rFonts w:cs="Arial"/>
                <w:szCs w:val="18"/>
                <w:lang w:eastAsia="sv-SE"/>
              </w:rPr>
              <w:t xml:space="preserv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The NCD-SSB has the same values for the properties (e.g.,</w:t>
            </w:r>
            <w:r>
              <w:rPr>
                <w:rFonts w:cs="Arial"/>
                <w:szCs w:val="18"/>
              </w:rPr>
              <w:t xml:space="preserve">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 xml:space="preserve">To avoid double specification (in 38.213 and 38.331), it was </w:t>
      </w:r>
      <w:r>
        <w:rPr>
          <w:rFonts w:eastAsia="Yu Mincho"/>
          <w:lang w:val="en-US" w:eastAsia="ja-JP"/>
        </w:rPr>
        <w:t xml:space="preserve">suggested in the online session that the mentioned longer sentence should not be agreed as part of the 38.213 CR and to potentially come back at later RAN1 and RAN2 meetings with CRs toward both 38.213 and 38.331 to move the QCL related specification text </w:t>
      </w:r>
      <w:r>
        <w:rPr>
          <w:rFonts w:eastAsia="Yu Mincho"/>
          <w:lang w:val="en-US" w:eastAsia="ja-JP"/>
        </w:rPr>
        <w:t>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w:t>
            </w:r>
            <w:r>
              <w:rPr>
                <w:rFonts w:eastAsia="Yu Mincho"/>
                <w:strike/>
                <w:color w:val="C00000"/>
                <w:lang w:val="en-US" w:eastAsia="ja-JP"/>
              </w:rPr>
              <w:t>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w:t>
      </w:r>
      <w:r>
        <w:rPr>
          <w:rFonts w:eastAsia="Yu Mincho"/>
          <w:lang w:val="en-US" w:eastAsia="ja-JP"/>
        </w:rPr>
        <w: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w:t>
      </w:r>
      <w:r>
        <w:rPr>
          <w:b/>
          <w:bCs/>
          <w:lang w:val="en-US"/>
        </w:rPr>
        <w:t xml:space="preserve">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 xml:space="preserve">We think that 213 and 331 would be complementary rather than </w:t>
            </w:r>
            <w:r>
              <w:rPr>
                <w:rFonts w:eastAsiaTheme="minorEastAsia"/>
                <w:lang w:val="en-US" w:eastAsia="zh-CN"/>
              </w:rPr>
              <w:t>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We prefer to include the QCL-related aspect in TS 38.213. Per our understanding, the text in TS 38.331 for NCD-SSB does not define explicitly that if NCD-SSB and CD-SSB have the same index, their quasi-colocation properties ar</w:t>
            </w:r>
            <w:r>
              <w:rPr>
                <w:rFonts w:eastAsiaTheme="minorEastAsia"/>
                <w:lang w:val="en-US" w:eastAsia="zh-CN"/>
              </w:rPr>
              <w:t xml:space="preserve">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 xml:space="preserve">“If </w:t>
            </w:r>
            <w:r>
              <w:rPr>
                <w:rFonts w:eastAsiaTheme="minorEastAsia"/>
                <w:i/>
                <w:sz w:val="20"/>
                <w:highlight w:val="yellow"/>
                <w:lang w:val="en-US" w:eastAsia="zh-CN"/>
              </w:rPr>
              <w:t>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w:t>
            </w:r>
            <w:r>
              <w:rPr>
                <w:rFonts w:cs="Arial"/>
                <w:i/>
                <w:sz w:val="20"/>
                <w:szCs w:val="18"/>
                <w:highlight w:val="yellow"/>
                <w:lang w:val="en-US" w:eastAsia="sv-SE"/>
              </w:rPr>
              <w:t xml:space="preserve">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w:t>
            </w:r>
            <w:r>
              <w:rPr>
                <w:rFonts w:eastAsiaTheme="minorEastAsia" w:hint="eastAsia"/>
                <w:sz w:val="20"/>
                <w:lang w:val="en-US" w:eastAsia="zh-CN"/>
              </w:rPr>
              <w:t xml:space="preserve">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w:t>
            </w:r>
            <w:r>
              <w:rPr>
                <w:rFonts w:cs="Arial"/>
                <w:i/>
                <w:iCs/>
                <w:sz w:val="20"/>
                <w:szCs w:val="18"/>
                <w:highlight w:val="yellow"/>
                <w:lang w:val="en-US"/>
              </w:rPr>
              <w:t>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 xml:space="preserve">Agree with observations made by CATT and </w:t>
            </w:r>
            <w:r>
              <w:rPr>
                <w:rFonts w:eastAsiaTheme="minorEastAsia"/>
                <w:lang w:val="en-US" w:eastAsia="zh-CN"/>
              </w:rPr>
              <w:t>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 xml:space="preserve">We think the </w:t>
            </w:r>
            <w:r>
              <w:rPr>
                <w:rFonts w:eastAsiaTheme="minorEastAsia"/>
                <w:lang w:val="en-US" w:eastAsia="zh-CN"/>
              </w:rPr>
              <w:t>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If the active</w:t>
                  </w:r>
                  <w:r>
                    <w:rPr>
                      <w:rFonts w:eastAsia="Yu Mincho"/>
                      <w:lang w:val="en-US" w:eastAsia="ja-JP"/>
                    </w:rPr>
                    <w:t xml:space="preser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 xml:space="preserve">Based on received </w:t>
            </w:r>
            <w:r>
              <w:rPr>
                <w:rFonts w:eastAsia="Malgun Gothic"/>
                <w:lang w:val="en-US" w:eastAsia="ko-KR"/>
              </w:rPr>
              <w:t>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w:t>
                  </w:r>
                  <w:r>
                    <w:rPr>
                      <w:rFonts w:eastAsia="Yu Mincho"/>
                      <w:color w:val="C00000"/>
                      <w:u w:val="single"/>
                      <w:lang w:val="en-US" w:eastAsia="ja-JP"/>
                    </w:rPr>
                    <w:t xml:space="preserve">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 xml:space="preserve">Quasi </w:t>
            </w:r>
            <w:r>
              <w:t>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 xml:space="preserve">Regarding the suggestion from CATT, in TS 38.213 mixed use of “quasi-” and “quasi ” are found here and there. We can go with “quasi-” and ask the editor to make corrections on the </w:t>
            </w:r>
            <w:r>
              <w:rPr>
                <w:rFonts w:eastAsia="Malgun Gothic"/>
                <w:lang w:val="en-US" w:eastAsia="ko-KR"/>
              </w:rPr>
              <w:t>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18861A04" w14:textId="54642393" w:rsidR="00EA4302" w:rsidRPr="00EA4302" w:rsidRDefault="00EA4302">
            <w:pPr>
              <w:tabs>
                <w:tab w:val="left" w:pos="551"/>
              </w:tabs>
              <w:rPr>
                <w:rFonts w:eastAsia="新細明體" w:hint="eastAsia"/>
                <w:lang w:val="en-US" w:eastAsia="zh-TW"/>
              </w:rPr>
            </w:pPr>
            <w:r>
              <w:rPr>
                <w:rFonts w:eastAsia="新細明體" w:hint="eastAsia"/>
                <w:lang w:val="en-US" w:eastAsia="zh-TW"/>
              </w:rPr>
              <w:t>Y</w:t>
            </w:r>
          </w:p>
        </w:tc>
        <w:tc>
          <w:tcPr>
            <w:tcW w:w="6780" w:type="dxa"/>
          </w:tcPr>
          <w:p w14:paraId="6BA0CF43" w14:textId="77777777" w:rsidR="00EA4302" w:rsidRDefault="00EA4302">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w:t>
      </w:r>
      <w:r>
        <w:rPr>
          <w:sz w:val="20"/>
          <w:szCs w:val="22"/>
          <w:lang w:val="en-US"/>
        </w:rPr>
        <w:t>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w:t>
      </w:r>
      <w:r>
        <w:rPr>
          <w:lang w:val="en-US"/>
        </w:rPr>
        <w:t>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 xml:space="preserve">indicated </w:t>
            </w:r>
            <w:r>
              <w:rPr>
                <w:lang w:val="en-US"/>
              </w:rPr>
              <w:t>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w:t>
            </w:r>
            <w:r>
              <w:rPr>
                <w:i/>
                <w:lang w:val="en-US"/>
              </w:rPr>
              <w:t>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the UE assumptions on the SS/PBCH blocks for reception of a</w:t>
            </w:r>
            <w:r>
              <w:rPr>
                <w:color w:val="C00000"/>
                <w:u w:val="single"/>
                <w:lang w:val="en-US"/>
              </w:rPr>
              <w:t xml:space="preserve">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w:t>
            </w:r>
            <w:r>
              <w:rPr>
                <w:i/>
                <w:lang w:val="en-US"/>
              </w:rPr>
              <w:t>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w:t>
            </w:r>
            <w:r>
              <w:rPr>
                <w:lang w:val="en-US" w:eastAsia="zh-CN"/>
              </w:rPr>
              <w:t>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w:t>
            </w:r>
            <w:r>
              <w:rPr>
                <w:rFonts w:eastAsiaTheme="minorEastAsia"/>
                <w:lang w:val="en-US" w:eastAsia="zh-CN"/>
              </w:rPr>
              <w:lastRenderedPageBreak/>
              <w:t>meeting, and rate-matching for PDSCH around SSB that was clarified in the last meeting, there seems no additional collision need to be handled for DL and SSB in RAN1 specification. B</w:t>
            </w:r>
            <w:r>
              <w:rPr>
                <w:rFonts w:eastAsiaTheme="minorEastAsia"/>
                <w:lang w:val="en-US" w:eastAsia="zh-CN"/>
              </w:rPr>
              <w:t xml:space="preserve">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xml:space="preserve">, dropping granularity), we slightly </w:t>
            </w:r>
            <w:r>
              <w:rPr>
                <w:rFonts w:eastAsiaTheme="minorEastAsia" w:hint="eastAsia"/>
                <w:lang w:val="en-US" w:eastAsia="zh-CN"/>
              </w:rPr>
              <w:t>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w:t>
            </w:r>
            <w:r>
              <w:rPr>
                <w:rFonts w:eastAsiaTheme="minorEastAsia"/>
                <w:lang w:val="en-US" w:eastAsia="zh-CN"/>
              </w:rPr>
              <w:t xml:space="preserve">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 xml:space="preserve">We can discuss the </w:t>
            </w:r>
            <w:r>
              <w:rPr>
                <w:rFonts w:eastAsia="Yu Mincho"/>
                <w:lang w:val="en-US" w:eastAsia="ja-JP"/>
              </w:rPr>
              <w:t>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w:t>
            </w:r>
            <w:r>
              <w:rPr>
                <w:rFonts w:eastAsiaTheme="minorEastAsia"/>
                <w:lang w:val="en-US" w:eastAsia="zh-CN"/>
              </w:rPr>
              <w:t>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w:t>
            </w:r>
            <w:r>
              <w:rPr>
                <w:rFonts w:eastAsia="Yu Mincho"/>
                <w:lang w:val="en-US" w:eastAsia="ja-JP"/>
              </w:rPr>
              <w:t>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 xml:space="preserve">Most received responses indicate that Issue #2 should have medium priority in this RAN1 meeting, with </w:t>
            </w:r>
            <w:r>
              <w:rPr>
                <w:rFonts w:eastAsia="Malgun Gothic"/>
                <w:lang w:val="en-US" w:eastAsia="ko-KR"/>
              </w:rPr>
              <w:t>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 xml:space="preserve">indicated presence of SS/PBCH blocks within an </w:t>
                  </w:r>
                  <w:r>
                    <w:rPr>
                      <w:lang w:val="en-US"/>
                    </w:rPr>
                    <w:t>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w:t>
                  </w:r>
                  <w:r>
                    <w:rPr>
                      <w:i/>
                      <w:lang w:val="en-US"/>
                    </w:rPr>
                    <w:t>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 xml:space="preserve">indicated presence of SS/PBCH </w:t>
                  </w:r>
                  <w:r>
                    <w:rPr>
                      <w:lang w:val="en-US"/>
                    </w:rPr>
                    <w:t>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w:t>
                  </w:r>
                  <w:r>
                    <w:rPr>
                      <w:i/>
                      <w:lang w:val="en-US"/>
                    </w:rPr>
                    <w:t>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 xml:space="preserve">The subsequent </w:t>
            </w:r>
            <w:r>
              <w:rPr>
                <w:rFonts w:eastAsia="Malgun Gothic"/>
                <w:lang w:val="en-US" w:eastAsia="ko-KR"/>
              </w:rPr>
              <w:t>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w:t>
            </w:r>
            <w:r>
              <w:rPr>
                <w:rFonts w:eastAsia="Malgun Gothic"/>
                <w:lang w:val="en-US" w:eastAsia="ko-KR"/>
              </w:rPr>
              <w:t>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42" w:type="dxa"/>
          </w:tcPr>
          <w:p w14:paraId="1D5C8824" w14:textId="4987069D" w:rsidR="00723E09" w:rsidRPr="00723E09" w:rsidRDefault="00723E09">
            <w:pPr>
              <w:tabs>
                <w:tab w:val="left" w:pos="551"/>
              </w:tabs>
              <w:rPr>
                <w:rFonts w:eastAsia="新細明體" w:hint="eastAsia"/>
                <w:lang w:val="en-US" w:eastAsia="zh-TW"/>
              </w:rPr>
            </w:pPr>
            <w:r>
              <w:rPr>
                <w:rFonts w:eastAsia="新細明體" w:hint="eastAsia"/>
                <w:lang w:val="en-US" w:eastAsia="zh-TW"/>
              </w:rPr>
              <w:t>Y</w:t>
            </w:r>
          </w:p>
        </w:tc>
        <w:tc>
          <w:tcPr>
            <w:tcW w:w="6608" w:type="dxa"/>
          </w:tcPr>
          <w:p w14:paraId="01DF832E" w14:textId="23E0BFD0" w:rsidR="00723E09" w:rsidRPr="00723E09" w:rsidRDefault="00723E09">
            <w:pPr>
              <w:rPr>
                <w:rFonts w:eastAsia="新細明體" w:hint="eastAsia"/>
                <w:lang w:val="en-US" w:eastAsia="zh-TW"/>
              </w:rPr>
            </w:pPr>
            <w:r>
              <w:rPr>
                <w:rFonts w:eastAsia="新細明體"/>
                <w:lang w:val="en-US" w:eastAsia="zh-TW"/>
              </w:rPr>
              <w:t>Fine with Intel’s update</w:t>
            </w: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proposes a si</w:t>
      </w:r>
      <w:r>
        <w:rPr>
          <w:sz w:val="20"/>
          <w:szCs w:val="22"/>
          <w:lang w:val="en-US"/>
        </w:rPr>
        <w:t xml:space="preserve">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xml:space="preserve">: Companies are invited </w:t>
      </w:r>
      <w:r>
        <w:rPr>
          <w:b/>
          <w:bCs/>
          <w:lang w:val="en-US"/>
        </w:rPr>
        <w:t>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lastRenderedPageBreak/>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w:t>
            </w:r>
            <w:r>
              <w:rPr>
                <w:rFonts w:eastAsia="Malgun Gothic"/>
                <w:lang w:val="en-US" w:eastAsia="ko-KR"/>
              </w:rPr>
              <w:t>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 xml:space="preserve">Agree the following TP for 38.214 clause </w:t>
            </w:r>
            <w:r>
              <w:rPr>
                <w:b/>
                <w:bCs/>
                <w:sz w:val="20"/>
                <w:szCs w:val="22"/>
                <w:lang w:val="en-US"/>
              </w:rPr>
              <w:t>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PUSCH transmission applying the same symbol allocation in each slot. </w:t>
                  </w:r>
                  <w:r>
                    <w:rPr>
                      <w:color w:val="000000"/>
                    </w:rPr>
                    <w:t>A Type 2 PUSC</w:t>
                  </w:r>
                  <w:r>
                    <w:rPr>
                      <w:color w:val="000000"/>
                    </w:rPr>
                    <w:t>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 xml:space="preserve">itor referring to other parts of the </w:t>
            </w:r>
            <w:r>
              <w:rPr>
                <w:rFonts w:eastAsia="Malgun Gothic"/>
                <w:lang w:val="en-US" w:eastAsia="ko-KR"/>
              </w:rPr>
              <w:t>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w:t>
      </w:r>
      <w:r>
        <w:rPr>
          <w:lang w:val="en-US"/>
        </w:rPr>
        <w:t xml:space="preserv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 xml:space="preserve">For the corrections in [13], the first </w:t>
            </w:r>
            <w:r>
              <w:rPr>
                <w:rFonts w:eastAsiaTheme="minorEastAsia"/>
                <w:lang w:val="en-US" w:eastAsia="zh-CN"/>
              </w:rPr>
              <w:t>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Generally OK wi</w:t>
            </w:r>
            <w:r>
              <w:rPr>
                <w:rFonts w:eastAsiaTheme="minorEastAsia" w:hint="eastAsia"/>
                <w:lang w:val="en-US" w:eastAsia="zh-CN"/>
              </w:rPr>
              <w:t xml:space="preserve">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lastRenderedPageBreak/>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Agree the dra</w:t>
            </w:r>
            <w:r>
              <w:rPr>
                <w:b/>
                <w:bCs/>
                <w:szCs w:val="22"/>
                <w:lang w:val="en-US"/>
              </w:rPr>
              <w:t xml:space="preserve">ft CR in </w:t>
            </w:r>
            <w:hyperlink r:id="rId49"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w:t>
            </w:r>
            <w:r>
              <w:rPr>
                <w:rFonts w:eastAsia="Malgun Gothic"/>
                <w:lang w:val="en-US" w:eastAsia="ko-KR"/>
              </w:rPr>
              <w:t>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lastRenderedPageBreak/>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 xml:space="preserve">FL1 </w:t>
      </w:r>
      <w:r>
        <w:rPr>
          <w:b/>
          <w:highlight w:val="yellow"/>
          <w:lang w:val="en-US"/>
        </w:rPr>
        <w:t>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w:t>
            </w:r>
            <w:r>
              <w:rPr>
                <w:rFonts w:eastAsiaTheme="minorEastAsia" w:hint="eastAsia"/>
                <w:lang w:val="en-US" w:eastAsia="zh-CN"/>
              </w:rPr>
              <w: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 xml:space="preserve">We are fine with the correction (or </w:t>
            </w:r>
            <w:r>
              <w:rPr>
                <w:rFonts w:eastAsiaTheme="minorEastAsia"/>
                <w:lang w:val="en-US" w:eastAsia="zh-CN"/>
              </w:rPr>
              <w:t>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 xml:space="preserve">We are fine </w:t>
            </w:r>
            <w:r>
              <w:rPr>
                <w:rFonts w:eastAsiaTheme="minorEastAsia"/>
                <w:lang w:val="en-US" w:eastAsia="zh-CN"/>
              </w:rPr>
              <w:t>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 xml:space="preserve">Most received responses </w:t>
            </w:r>
            <w:r>
              <w:rPr>
                <w:rFonts w:eastAsia="Malgun Gothic"/>
                <w:lang w:val="en-US" w:eastAsia="ko-KR"/>
              </w:rPr>
              <w:t>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w:t>
            </w:r>
            <w:r>
              <w:rPr>
                <w:b/>
                <w:bCs/>
                <w:lang w:val="en-US"/>
              </w:rPr>
              <w:t>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w:t>
                  </w:r>
                  <w:r>
                    <w:rPr>
                      <w:rFonts w:eastAsia="MS Mincho"/>
                    </w:rPr>
                    <w:t xml:space="preserve">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w:t>
                  </w:r>
                  <w:r>
                    <w:rPr>
                      <w:rFonts w:eastAsia="MS Mincho"/>
                    </w:rPr>
                    <w:t xml:space="preserve">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3112565F" w14:textId="6C8A06E2" w:rsidR="005855F8" w:rsidRPr="005855F8" w:rsidRDefault="005855F8">
            <w:pPr>
              <w:tabs>
                <w:tab w:val="left" w:pos="551"/>
              </w:tabs>
              <w:rPr>
                <w:rFonts w:eastAsia="新細明體" w:hint="eastAsia"/>
                <w:lang w:val="en-US" w:eastAsia="zh-TW"/>
              </w:rPr>
            </w:pPr>
            <w:r>
              <w:rPr>
                <w:rFonts w:eastAsia="新細明體" w:hint="eastAsia"/>
                <w:lang w:val="en-US" w:eastAsia="zh-TW"/>
              </w:rPr>
              <w:t>Y</w:t>
            </w:r>
          </w:p>
        </w:tc>
        <w:tc>
          <w:tcPr>
            <w:tcW w:w="6780" w:type="dxa"/>
          </w:tcPr>
          <w:p w14:paraId="27885421" w14:textId="77777777" w:rsidR="005855F8" w:rsidRDefault="005855F8">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w:t>
      </w:r>
      <w:r>
        <w:rPr>
          <w:b/>
          <w:bCs/>
          <w:lang w:val="en-US"/>
        </w:rPr>
        <w: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lastRenderedPageBreak/>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 xml:space="preserve">We cannot tell whether it is an optimization or an essential </w:t>
            </w:r>
            <w:r>
              <w:rPr>
                <w:rFonts w:eastAsiaTheme="minorEastAsia"/>
                <w:lang w:val="en-US" w:eastAsia="zh-CN"/>
              </w:rPr>
              <w:t>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When a R</w:t>
            </w:r>
            <w:r>
              <w:rPr>
                <w:rFonts w:eastAsia="DengXian"/>
                <w:b/>
                <w:bCs/>
                <w:i/>
                <w:iCs/>
                <w:color w:val="FF0000"/>
              </w:rPr>
              <w:t xml:space="preserve">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w:t>
            </w:r>
            <w:r>
              <w:rPr>
                <w:rFonts w:eastAsiaTheme="minorEastAsia"/>
                <w:lang w:val="en-US" w:eastAsia="zh-CN"/>
              </w:rPr>
              <w:t xml:space="preserve">the spec refers to a time-line w.r.t.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w:t>
            </w:r>
            <w:r>
              <w:rPr>
                <w:rFonts w:eastAsiaTheme="minorEastAsia"/>
                <w:lang w:val="en-US" w:eastAsia="zh-CN"/>
              </w:rPr>
              <w:t>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 xml:space="preserve">Most received responses </w:t>
            </w:r>
            <w:r>
              <w:rPr>
                <w:rFonts w:eastAsia="Malgun Gothic"/>
                <w:lang w:val="en-US" w:eastAsia="ko-KR"/>
              </w:rPr>
              <w:t>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 xml:space="preserve">Based on received </w:t>
            </w:r>
            <w:r>
              <w:rPr>
                <w:rFonts w:eastAsia="Malgun Gothic"/>
                <w:lang w:val="en-US" w:eastAsia="ko-KR"/>
              </w:rPr>
              <w:t>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 xml:space="preserve">When a RedCap UE performs Type-1 or Type 2 random access procedure on an active DL BWP with SSB, the UE shall be ready to retransmit a PRACH </w:t>
                  </w:r>
                  <w:r>
                    <w:rPr>
                      <w:color w:val="C00000"/>
                      <w:u w:val="single"/>
                      <w:lang w:eastAsia="zh-CN"/>
                    </w:rPr>
                    <w:t>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w:t>
            </w:r>
            <w:r>
              <w:rPr>
                <w:rFonts w:eastAsia="MS Mincho"/>
                <w:bCs/>
                <w:iCs/>
                <w:lang w:eastAsia="ja-JP"/>
              </w:rPr>
              <w:lastRenderedPageBreak/>
              <w:t>RedCap UE and for the legacy UE support</w:t>
            </w:r>
            <w:r>
              <w:rPr>
                <w:rFonts w:eastAsia="MS Mincho"/>
                <w:bCs/>
                <w:iCs/>
                <w:lang w:eastAsia="ja-JP"/>
              </w:rPr>
              <w: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lastRenderedPageBreak/>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 xml:space="preserve">Was </w:t>
            </w:r>
            <w:r>
              <w:rPr>
                <w:rFonts w:eastAsiaTheme="minorEastAsia"/>
                <w:lang w:val="en-US" w:eastAsia="zh-CN"/>
              </w:rPr>
              <w:t>there a typo?</w:t>
            </w:r>
          </w:p>
          <w:p w14:paraId="483895A6" w14:textId="77777777" w:rsidR="00E60D24" w:rsidRDefault="00AD32C9">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7777777" w:rsidR="00E60D24" w:rsidRDefault="00E60D24">
            <w:pPr>
              <w:rPr>
                <w:rFonts w:eastAsiaTheme="minorEastAsia"/>
                <w:lang w:eastAsia="zh-CN"/>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w:t>
            </w:r>
            <w:r>
              <w:rPr>
                <w:rFonts w:eastAsiaTheme="minorEastAsia"/>
                <w:lang w:val="en-US" w:eastAsia="zh-CN"/>
              </w:rPr>
              <w:t>e not convinced to couple the discussion for RedCap UE procedure with a feature that applies to non-RedCap UE. Besides, please note in discussing the R16 CR (R1-2205297) for msg1/msgA retransmission timeline of non-RedCap UE, it is your suggestion to discu</w:t>
            </w:r>
            <w:r>
              <w:rPr>
                <w:rFonts w:eastAsiaTheme="minorEastAsia"/>
                <w:lang w:val="en-US" w:eastAsia="zh-CN"/>
              </w:rPr>
              <w:t>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5CC40344" w14:textId="77777777" w:rsidR="00E60D24" w:rsidRDefault="00AD32C9">
            <w:pPr>
              <w:rPr>
                <w:rFonts w:eastAsiaTheme="minorEastAsia"/>
                <w:lang w:val="en-US" w:eastAsia="zh-CN"/>
              </w:rPr>
            </w:pPr>
            <w:r>
              <w:rPr>
                <w:rFonts w:eastAsiaTheme="minorEastAsia"/>
                <w:lang w:val="en-US" w:eastAsia="zh-CN"/>
              </w:rPr>
              <w:t>@ Nordic, thanks for your question. We think there is no typo in FL3 Proposal 8-1b. When the active DL BWP of RedCap U</w:t>
            </w:r>
            <w:r>
              <w:rPr>
                <w:rFonts w:eastAsiaTheme="minorEastAsia"/>
                <w:lang w:val="en-US" w:eastAsia="zh-CN"/>
              </w:rPr>
              <w:t xml:space="preserve">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Our intention is to clarify RedCap UE’s behavior for RA and minimize the specification impacts. For the case that RedCap UE is performin</w:t>
            </w:r>
            <w:r>
              <w:rPr>
                <w:rFonts w:eastAsiaTheme="minorEastAsia"/>
                <w:lang w:val="en-US" w:eastAsia="zh-CN"/>
              </w:rPr>
              <w:t xml:space="preserve">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w:t>
            </w:r>
            <w:r>
              <w:rPr>
                <w:rFonts w:eastAsiaTheme="minorEastAsia" w:hint="eastAsia"/>
                <w:lang w:val="en-US" w:eastAsia="zh-CN"/>
              </w:rPr>
              <w:t xml:space="preserve">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w:t>
            </w:r>
            <w:r>
              <w:rPr>
                <w:rFonts w:eastAsiaTheme="minorEastAsia" w:hint="eastAsia"/>
                <w:lang w:val="en-US" w:eastAsia="zh-CN"/>
              </w:rPr>
              <w:t xml:space="preserve">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w:t>
            </w:r>
            <w:r>
              <w:rPr>
                <w:rFonts w:eastAsiaTheme="minorEastAsia" w:hint="eastAsia"/>
                <w:lang w:val="en-US" w:eastAsia="zh-CN"/>
              </w:rPr>
              <w:lastRenderedPageBreak/>
              <w:t xml:space="preserve">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 xml:space="preserve">As responded during the preparation phase discussion, we do not see a need for this TP. It </w:t>
            </w:r>
            <w:r>
              <w:rPr>
                <w:rFonts w:eastAsiaTheme="minorEastAsia"/>
                <w:lang w:val="en-US" w:eastAsia="zh-CN"/>
              </w:rPr>
              <w:t>would be good to understand what it addresses and what is currently amiss without the TP. In our understanding, in the absence of the TP, a RedCap UE would anyway be expected to follow Clauses 8.2 and 8.2A, regardless of whether SSB is included in DL BWP o</w:t>
            </w:r>
            <w:r>
              <w:rPr>
                <w:rFonts w:eastAsiaTheme="minorEastAsia"/>
                <w:lang w:val="en-US" w:eastAsia="zh-CN"/>
              </w:rPr>
              <w:t>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Yes, the suggestion from us is the RedCap related issues should be brought up and can be in Rel-17 RedCap session, since Rel-16 CR is not right place to discuss Rel-17 issue. But whether the RedCap “issue” is essential and need to be discussed should asses</w:t>
            </w:r>
            <w:r>
              <w:rPr>
                <w:rFonts w:eastAsiaTheme="minorEastAsia"/>
                <w:lang w:val="en-US" w:eastAsia="zh-CN"/>
              </w:rPr>
              <w:t xml:space="preserve">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t>
            </w:r>
            <w:r>
              <w:rPr>
                <w:rFonts w:eastAsiaTheme="minorEastAsia"/>
                <w:lang w:val="en-US" w:eastAsia="zh-CN"/>
              </w:rPr>
              <w:t xml:space="preserve">we think it is not need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w:t>
            </w:r>
            <w:r>
              <w:rPr>
                <w:rFonts w:eastAsiaTheme="minorEastAsia" w:hint="eastAsia"/>
                <w:lang w:val="en-US" w:eastAsia="zh-CN"/>
              </w:rPr>
              <w:t>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RedCap UE considering that we </w:t>
            </w:r>
            <w:r>
              <w:rPr>
                <w:rFonts w:eastAsiaTheme="minorEastAsia"/>
                <w:lang w:val="en-US" w:eastAsia="zh-CN"/>
              </w:rPr>
              <w:t>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n the other hand, the only difference of SSB-based RA between RedCap UEs and non-RedCap UEs lies in the fact that the RedCap UEs can be configured with SSB-based RA for initial DL BWP without SSB. Then the part to be clarified may b</w:t>
            </w:r>
            <w:r>
              <w:rPr>
                <w:rFonts w:eastAsia="Yu Mincho"/>
                <w:lang w:val="en-US" w:eastAsia="ja-JP"/>
              </w:rPr>
              <w:t xml:space="preserve">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w:t>
            </w:r>
            <w:r>
              <w:rPr>
                <w:rFonts w:eastAsia="Yu Mincho"/>
                <w:lang w:val="en-US" w:eastAsia="ja-JP"/>
              </w:rPr>
              <w:t xml:space="preserve">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If this is for a DL BWP with SSB, we think Redcap is just same as non-Redcap. Without the TP there is no issue. On the other hand, we cared more about that case that if there is no SSB in DL BWP, what shall UE do? We suggest to have some common understandi</w:t>
            </w:r>
            <w:r>
              <w:rPr>
                <w:rFonts w:eastAsiaTheme="minorEastAsia"/>
                <w:lang w:val="en-US" w:eastAsia="zh-CN"/>
              </w:rPr>
              <w:t xml:space="preserve">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We think the clarifica</w:t>
            </w:r>
            <w:r>
              <w:rPr>
                <w:rFonts w:eastAsia="Yu Mincho"/>
                <w:lang w:val="en-US" w:eastAsia="ja-JP"/>
              </w:rPr>
              <w:t>tion of timeline requirement for RedCap UE especially for the SSB-less BWP operation would be helpful since it was not concluded yet. If the majority of companies think it should be up to UE implementation for the case where the DL BWP does not include SSB</w:t>
            </w:r>
            <w:r>
              <w:rPr>
                <w:rFonts w:eastAsia="Yu Mincho"/>
                <w:lang w:val="en-US" w:eastAsia="ja-JP"/>
              </w:rPr>
              <w:t>,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 xml:space="preserve">Same view as Sharp. We should clarify in TP or conclusion the RedCap UE </w:t>
            </w:r>
            <w:r>
              <w:rPr>
                <w:rFonts w:eastAsia="Yu Mincho"/>
                <w:lang w:val="en-US" w:eastAsia="ja-JP"/>
              </w:rPr>
              <w:lastRenderedPageBreak/>
              <w:t xml:space="preserve">msg1/A retransmission timeline </w:t>
            </w:r>
            <w:r>
              <w:rPr>
                <w:rFonts w:eastAsia="Yu Mincho"/>
                <w:lang w:val="en-US" w:eastAsia="ja-JP"/>
              </w:rPr>
              <w:t>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lastRenderedPageBreak/>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新細明體" w:hint="eastAsia"/>
                <w:lang w:val="en-US" w:eastAsia="zh-TW"/>
              </w:rPr>
              <w:t>M</w:t>
            </w:r>
            <w:r>
              <w:rPr>
                <w:rFonts w:eastAsia="新細明體"/>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新細明體" w:hint="eastAsia"/>
                <w:lang w:val="en-US" w:eastAsia="zh-TW"/>
              </w:rPr>
              <w:t>W</w:t>
            </w:r>
            <w:r>
              <w:rPr>
                <w:rFonts w:eastAsia="新細明體"/>
                <w:lang w:val="en-US" w:eastAsia="zh-TW"/>
              </w:rPr>
              <w:t xml:space="preserve">e also think it is more meaningful to clarify in the spec that for RedCap UEs operating on a BWP </w:t>
            </w:r>
            <w:r w:rsidRPr="00C016FF">
              <w:rPr>
                <w:rFonts w:eastAsia="新細明體"/>
                <w:i/>
                <w:iCs/>
                <w:lang w:val="en-US" w:eastAsia="zh-TW"/>
              </w:rPr>
              <w:t>without</w:t>
            </w:r>
            <w:r>
              <w:rPr>
                <w:rFonts w:eastAsia="新細明體"/>
                <w:lang w:val="en-US" w:eastAsia="zh-TW"/>
              </w:rPr>
              <w:t xml:space="preserve"> SSB, RedCap is not required to follow the timeline for PRACH retransmission specified in Clause 8. Maybe adding another paragraph after the proposed TP to describe the case of SSB-less BWP for completeness?</w:t>
            </w: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AD32C9">
            <w:pPr>
              <w:jc w:val="left"/>
              <w:rPr>
                <w:color w:val="0000FF"/>
                <w:u w:val="single"/>
                <w:lang w:val="en-US"/>
              </w:rPr>
            </w:pPr>
            <w:hyperlink r:id="rId55" w:history="1">
              <w:r>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AD32C9">
            <w:pPr>
              <w:jc w:val="left"/>
              <w:rPr>
                <w:lang w:val="en-US"/>
              </w:rPr>
            </w:pPr>
            <w:hyperlink r:id="rId56" w:history="1">
              <w:r>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AD32C9">
            <w:pPr>
              <w:jc w:val="left"/>
              <w:rPr>
                <w:rFonts w:eastAsia="Calibri"/>
                <w:color w:val="0000FF"/>
                <w:szCs w:val="22"/>
                <w:u w:val="single"/>
                <w:lang w:val="en-US"/>
              </w:rPr>
            </w:pPr>
            <w:hyperlink r:id="rId57" w:history="1">
              <w:r>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AD32C9">
            <w:pPr>
              <w:jc w:val="left"/>
              <w:rPr>
                <w:rFonts w:eastAsia="Calibri"/>
                <w:lang w:val="en-US"/>
              </w:rPr>
            </w:pPr>
            <w:hyperlink r:id="rId58" w:history="1">
              <w:r>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AD32C9">
            <w:pPr>
              <w:jc w:val="left"/>
              <w:rPr>
                <w:rFonts w:eastAsia="Calibri"/>
                <w:lang w:val="en-US"/>
              </w:rPr>
            </w:pPr>
            <w:hyperlink r:id="rId59" w:history="1">
              <w:r>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AD32C9">
            <w:pPr>
              <w:jc w:val="left"/>
              <w:rPr>
                <w:rStyle w:val="Hyperlink"/>
                <w:color w:val="0000FF"/>
                <w:lang w:val="en-US" w:eastAsia="sv-SE"/>
              </w:rPr>
            </w:pPr>
            <w:hyperlink r:id="rId60" w:history="1">
              <w:r>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AD32C9">
            <w:pPr>
              <w:jc w:val="left"/>
              <w:rPr>
                <w:rStyle w:val="Hyperlink"/>
                <w:color w:val="0000FF"/>
                <w:lang w:val="en-US" w:eastAsia="sv-SE"/>
              </w:rPr>
            </w:pPr>
            <w:hyperlink r:id="rId61" w:history="1">
              <w:r>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AD32C9">
            <w:pPr>
              <w:jc w:val="left"/>
              <w:rPr>
                <w:rStyle w:val="Hyperlink"/>
                <w:color w:val="0000FF"/>
                <w:lang w:val="en-US" w:eastAsia="sv-SE"/>
              </w:rPr>
            </w:pPr>
            <w:hyperlink r:id="rId62" w:history="1">
              <w:r>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AD32C9">
            <w:pPr>
              <w:jc w:val="left"/>
              <w:rPr>
                <w:rStyle w:val="Hyperlink"/>
                <w:color w:val="0000FF"/>
                <w:lang w:val="en-US" w:eastAsia="sv-SE"/>
              </w:rPr>
            </w:pPr>
            <w:hyperlink r:id="rId63" w:history="1">
              <w:r>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AD32C9">
            <w:pPr>
              <w:jc w:val="left"/>
              <w:rPr>
                <w:rStyle w:val="Hyperlink"/>
                <w:color w:val="0000FF"/>
                <w:lang w:val="en-US" w:eastAsia="sv-SE"/>
              </w:rPr>
            </w:pPr>
            <w:hyperlink r:id="rId64" w:history="1">
              <w:r>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w:t>
            </w:r>
            <w:r>
              <w:t>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AD32C9">
            <w:pPr>
              <w:jc w:val="left"/>
              <w:rPr>
                <w:rStyle w:val="Hyperlink"/>
                <w:color w:val="0000FF"/>
                <w:lang w:val="en-US" w:eastAsia="sv-SE"/>
              </w:rPr>
            </w:pPr>
            <w:hyperlink r:id="rId65" w:history="1">
              <w:r>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AD32C9">
            <w:pPr>
              <w:jc w:val="left"/>
              <w:rPr>
                <w:rStyle w:val="Hyperlink"/>
                <w:color w:val="0000FF"/>
                <w:lang w:val="en-US" w:eastAsia="sv-SE"/>
              </w:rPr>
            </w:pPr>
            <w:hyperlink r:id="rId66" w:history="1">
              <w:r>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lastRenderedPageBreak/>
              <w:t>[13]</w:t>
            </w:r>
          </w:p>
        </w:tc>
        <w:tc>
          <w:tcPr>
            <w:tcW w:w="1456" w:type="dxa"/>
            <w:tcMar>
              <w:top w:w="0" w:type="dxa"/>
              <w:left w:w="70" w:type="dxa"/>
              <w:bottom w:w="0" w:type="dxa"/>
              <w:right w:w="70" w:type="dxa"/>
            </w:tcMar>
          </w:tcPr>
          <w:p w14:paraId="792A96BA" w14:textId="77777777" w:rsidR="00E60D24" w:rsidRDefault="00AD32C9">
            <w:pPr>
              <w:jc w:val="left"/>
              <w:rPr>
                <w:rStyle w:val="Hyperlink"/>
                <w:color w:val="0000FF"/>
                <w:lang w:val="en-US" w:eastAsia="sv-SE"/>
              </w:rPr>
            </w:pPr>
            <w:hyperlink r:id="rId67" w:history="1">
              <w:r>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AD32C9">
            <w:pPr>
              <w:jc w:val="left"/>
              <w:rPr>
                <w:rStyle w:val="Hyperlink"/>
                <w:color w:val="0000FF"/>
                <w:lang w:val="en-US" w:eastAsia="sv-SE"/>
              </w:rPr>
            </w:pPr>
            <w:hyperlink r:id="rId68" w:history="1">
              <w:r>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w:t>
            </w:r>
            <w:r>
              <w:t>,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AD32C9">
            <w:pPr>
              <w:jc w:val="left"/>
              <w:rPr>
                <w:rStyle w:val="Hyperlink"/>
                <w:color w:val="0000FF"/>
                <w:lang w:val="en-US" w:eastAsia="sv-SE"/>
              </w:rPr>
            </w:pPr>
            <w:hyperlink r:id="rId69" w:history="1">
              <w:r>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AD32C9">
            <w:pPr>
              <w:jc w:val="left"/>
              <w:rPr>
                <w:rStyle w:val="Hyperlink"/>
                <w:color w:val="0000FF"/>
                <w:lang w:val="en-US" w:eastAsia="sv-SE"/>
              </w:rPr>
            </w:pPr>
            <w:hyperlink r:id="rId70" w:history="1">
              <w:r>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AD32C9">
            <w:pPr>
              <w:jc w:val="left"/>
              <w:rPr>
                <w:rStyle w:val="Hyperlink"/>
                <w:color w:val="0000FF"/>
                <w:lang w:val="en-US" w:eastAsia="sv-SE"/>
              </w:rPr>
            </w:pPr>
            <w:hyperlink r:id="rId71" w:history="1">
              <w:r>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AD32C9">
            <w:pPr>
              <w:jc w:val="left"/>
              <w:rPr>
                <w:rStyle w:val="Hyperlink"/>
                <w:color w:val="0000FF"/>
                <w:lang w:val="en-US" w:eastAsia="sv-SE"/>
              </w:rPr>
            </w:pPr>
            <w:hyperlink r:id="rId72" w:history="1">
              <w:r>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AD32C9">
            <w:pPr>
              <w:jc w:val="left"/>
              <w:rPr>
                <w:rStyle w:val="Hyperlink"/>
                <w:color w:val="0000FF"/>
                <w:lang w:val="en-US" w:eastAsia="sv-SE"/>
              </w:rPr>
            </w:pPr>
            <w:hyperlink r:id="rId73" w:history="1">
              <w:r>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AD32C9">
            <w:pPr>
              <w:jc w:val="left"/>
              <w:rPr>
                <w:rStyle w:val="Hyperlink"/>
                <w:color w:val="0000FF"/>
                <w:lang w:val="en-US" w:eastAsia="sv-SE"/>
              </w:rPr>
            </w:pPr>
            <w:hyperlink r:id="rId74" w:history="1">
              <w:r>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AD32C9">
            <w:pPr>
              <w:jc w:val="left"/>
              <w:rPr>
                <w:rStyle w:val="Hyperlink"/>
                <w:color w:val="0000FF"/>
                <w:lang w:val="en-US" w:eastAsia="sv-SE"/>
              </w:rPr>
            </w:pPr>
            <w:hyperlink r:id="rId75" w:history="1">
              <w:r>
                <w:rPr>
                  <w:rStyle w:val="Hyperlink"/>
                  <w:color w:val="0000FF"/>
                </w:rPr>
                <w:t>R1-2209</w:t>
              </w:r>
              <w:r>
                <w:rPr>
                  <w:rStyle w:val="Hyperlink"/>
                  <w:color w:val="0000FF"/>
                </w:rPr>
                <w:t>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AD32C9">
            <w:pPr>
              <w:jc w:val="left"/>
            </w:pPr>
            <w:hyperlink r:id="rId76" w:history="1">
              <w:r>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AD32C9">
            <w:pPr>
              <w:jc w:val="left"/>
            </w:pPr>
            <w:hyperlink r:id="rId77" w:history="1">
              <w:r>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AD32C9">
            <w:pPr>
              <w:jc w:val="left"/>
            </w:pPr>
            <w:hyperlink r:id="rId78" w:history="1">
              <w:r>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AD32C9">
            <w:pPr>
              <w:jc w:val="left"/>
            </w:pPr>
            <w:hyperlink r:id="rId79" w:history="1">
              <w:r>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AD32C9">
            <w:pPr>
              <w:jc w:val="left"/>
            </w:pPr>
            <w:hyperlink r:id="rId80" w:history="1">
              <w:r>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C0F69" w14:textId="77777777" w:rsidR="00AD32C9" w:rsidRDefault="00AD32C9">
      <w:pPr>
        <w:spacing w:line="240" w:lineRule="auto"/>
      </w:pPr>
      <w:r>
        <w:separator/>
      </w:r>
    </w:p>
  </w:endnote>
  <w:endnote w:type="continuationSeparator" w:id="0">
    <w:p w14:paraId="748BF186" w14:textId="77777777" w:rsidR="00AD32C9" w:rsidRDefault="00AD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0DDEF" w14:textId="77777777" w:rsidR="00AD32C9" w:rsidRDefault="00AD32C9">
      <w:pPr>
        <w:spacing w:after="0"/>
      </w:pPr>
      <w:r>
        <w:separator/>
      </w:r>
    </w:p>
  </w:footnote>
  <w:footnote w:type="continuationSeparator" w:id="0">
    <w:p w14:paraId="6617F8E9" w14:textId="77777777" w:rsidR="00AD32C9" w:rsidRDefault="00AD3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6154</Words>
  <Characters>35081</Characters>
  <Application>Microsoft Office Word</Application>
  <DocSecurity>0</DocSecurity>
  <Lines>292</Lines>
  <Paragraphs>82</Paragraphs>
  <ScaleCrop>false</ScaleCrop>
  <Company>Panasonic Corporation</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9</cp:revision>
  <dcterms:created xsi:type="dcterms:W3CDTF">2022-10-12T13:11:00Z</dcterms:created>
  <dcterms:modified xsi:type="dcterms:W3CDTF">2022-10-12T13:45:00Z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