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6AD5" w14:textId="77777777" w:rsidR="00186642" w:rsidRDefault="0038634A">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 xml:space="preserve">This </w:t>
      </w:r>
      <w:r>
        <w:rPr>
          <w:lang w:val="en-US"/>
        </w:rPr>
        <w:t>feature lead (FL) summary (FLS) concerns the Rel-17 work item (WI) for support of reduced capability (RedCap) NR devices [</w:t>
      </w:r>
      <w:hyperlink r:id="rId10" w:history="1">
        <w:r>
          <w:rPr>
            <w:rStyle w:val="afa"/>
            <w:lang w:val="en-US"/>
          </w:rPr>
          <w:t>1</w:t>
        </w:r>
      </w:hyperlink>
      <w:r>
        <w:rPr>
          <w:lang w:val="en-US"/>
        </w:rPr>
        <w:t xml:space="preserve">, </w:t>
      </w:r>
      <w:hyperlink r:id="rId11" w:history="1">
        <w:r>
          <w:rPr>
            <w:rStyle w:val="afa"/>
            <w:lang w:val="en-US"/>
          </w:rPr>
          <w:t>2</w:t>
        </w:r>
      </w:hyperlink>
      <w:r>
        <w:rPr>
          <w:lang w:val="en-US"/>
        </w:rPr>
        <w:t>]. Earlier RAN1 agreements for this WI are summarized in [</w:t>
      </w:r>
      <w:hyperlink r:id="rId12" w:history="1">
        <w:r>
          <w:rPr>
            <w:rStyle w:val="afa"/>
            <w:lang w:val="en-US"/>
          </w:rPr>
          <w:t>3</w:t>
        </w:r>
      </w:hyperlink>
      <w:r>
        <w:rPr>
          <w:lang w:val="en-US"/>
        </w:rPr>
        <w:t>], the final FLS from the previous RAN1 meeting can be found in [</w:t>
      </w:r>
      <w:hyperlink r:id="rId13" w:history="1">
        <w:r>
          <w:rPr>
            <w:rStyle w:val="afa"/>
            <w:lang w:val="en-US"/>
          </w:rPr>
          <w:t>4</w:t>
        </w:r>
      </w:hyperlink>
      <w:r>
        <w:rPr>
          <w:lang w:val="en-US"/>
        </w:rPr>
        <w:t>], and the 38.213 CR that was agreed in the previous RAN1 meeting can be found in [</w:t>
      </w:r>
      <w:hyperlink r:id="rId14" w:history="1">
        <w:r>
          <w:rPr>
            <w:rStyle w:val="afa"/>
            <w:lang w:val="en-US"/>
          </w:rPr>
          <w:t>5</w:t>
        </w:r>
      </w:hyperlink>
      <w:r>
        <w:rPr>
          <w:lang w:val="en-US"/>
        </w:rPr>
        <w:t>].</w:t>
      </w:r>
    </w:p>
    <w:p w14:paraId="59379247" w14:textId="77777777" w:rsidR="00186642" w:rsidRDefault="0038634A">
      <w:pPr>
        <w:rPr>
          <w:lang w:val="en-US"/>
        </w:rPr>
      </w:pPr>
      <w:r>
        <w:rPr>
          <w:lang w:val="en-US"/>
        </w:rPr>
        <w:t>This document summarizes contributions [6] – [21] submitted to agenda item 8.6 as well as RedCap-related aspects in contribution [</w:t>
      </w:r>
      <w:hyperlink r:id="rId15" w:history="1">
        <w:r>
          <w:rPr>
            <w:rStyle w:val="afa"/>
            <w:lang w:val="en-US"/>
          </w:rPr>
          <w:t>22</w:t>
        </w:r>
      </w:hyperlink>
      <w:r>
        <w:rPr>
          <w:lang w:val="en-US"/>
        </w:rPr>
        <w:t>] submitted to another agenda item</w:t>
      </w:r>
      <w:r>
        <w:rPr>
          <w:lang w:val="en-US"/>
        </w:rPr>
        <w:t xml:space="preserve"> and the following email discussion:</w:t>
      </w:r>
    </w:p>
    <w:tbl>
      <w:tblPr>
        <w:tblStyle w:val="af7"/>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 xml:space="preserve">Additional email discussions will be set up once the maintenance issues for </w:t>
            </w:r>
            <w:r>
              <w:rPr>
                <w:rFonts w:ascii="Times" w:hAnsi="Times"/>
                <w:szCs w:val="24"/>
                <w:highlight w:val="cyan"/>
                <w:lang w:eastAsia="zh-CN"/>
              </w:rPr>
              <w:t>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w:t>
      </w:r>
      <w:r>
        <w:rPr>
          <w:rFonts w:ascii="Times New Roman" w:eastAsia="Times New Roman" w:hAnsi="Times New Roman" w:cs="Times New Roman"/>
          <w:i/>
          <w:iCs/>
          <w:sz w:val="20"/>
          <w:szCs w:val="20"/>
          <w:lang w:val="en-US"/>
        </w:rPr>
        <w:t>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CompanyC tries to coordinate with </w:t>
      </w:r>
      <w:r>
        <w:rPr>
          <w:rFonts w:ascii="Times New Roman" w:eastAsia="Times New Roman" w:hAnsi="Times New Roman" w:cs="Times New Roman"/>
          <w:sz w:val="20"/>
          <w:szCs w:val="20"/>
          <w:lang w:val="en-US"/>
        </w:rPr>
        <w:t>the company who made the other checkout (see, e.g., contact list below).</w:t>
      </w:r>
    </w:p>
    <w:p w14:paraId="6CF0D70A"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Note that the </w:t>
      </w:r>
      <w:r>
        <w:rPr>
          <w:rFonts w:ascii="Times New Roman" w:eastAsia="Times New Roman" w:hAnsi="Times New Roman" w:cs="Times New Roman"/>
          <w:sz w:val="20"/>
          <w:szCs w:val="20"/>
          <w:lang w:val="en-US"/>
        </w:rPr>
        <w:t>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w:t>
      </w:r>
      <w:r>
        <w:rPr>
          <w:rFonts w:eastAsia="Times New Roman"/>
          <w:lang w:val="en-US"/>
        </w:rPr>
        <w:t>n</w:t>
      </w:r>
      <w:r>
        <w:rPr>
          <w:lang w:val="en-US"/>
        </w:rPr>
        <w:t xml:space="preserve"> </w:t>
      </w:r>
      <w:hyperlink r:id="rId16"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To avoid excessive email load on the RAN1 email r</w:t>
      </w:r>
      <w:r>
        <w:rPr>
          <w:rFonts w:eastAsia="Times New Roman"/>
          <w:lang w:val="en-US"/>
        </w:rPr>
        <w:t xml:space="preserve">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 xml:space="preserve">FL3 Question 0-1a: Please consider </w:t>
      </w:r>
      <w:r>
        <w:rPr>
          <w:rFonts w:ascii="Times" w:hAnsi="Times"/>
          <w:b/>
          <w:szCs w:val="24"/>
          <w:lang w:val="en-US"/>
        </w:rPr>
        <w:t>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游明朝"/>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游明朝"/>
                <w:lang w:val="en-US" w:eastAsia="ja-JP"/>
              </w:rPr>
            </w:pPr>
            <w:r>
              <w:rPr>
                <w:rFonts w:eastAsia="游明朝"/>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游明朝"/>
                <w:lang w:val="en-US" w:eastAsia="ja-JP"/>
              </w:rPr>
            </w:pPr>
            <w:r>
              <w:rPr>
                <w:rFonts w:eastAsia="游明朝"/>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r>
              <w:rPr>
                <w:rFonts w:eastAsiaTheme="minorEastAsia"/>
                <w:lang w:val="en-US" w:eastAsia="zh-CN"/>
              </w:rPr>
              <w:t>Vip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游明朝"/>
                <w:lang w:val="en-US" w:eastAsia="ja-JP"/>
              </w:rPr>
            </w:pPr>
            <w:r>
              <w:rPr>
                <w:rFonts w:eastAsia="游明朝"/>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游明朝"/>
                <w:lang w:val="en-US" w:eastAsia="ja-JP"/>
              </w:rPr>
            </w:pPr>
            <w:r>
              <w:rPr>
                <w:rFonts w:eastAsia="游明朝"/>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游明朝"/>
                <w:lang w:val="en-US" w:eastAsia="ja-JP"/>
              </w:rPr>
            </w:pPr>
            <w:r>
              <w:rPr>
                <w:rFonts w:eastAsia="游明朝"/>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游明朝" w:hint="eastAsia"/>
                <w:lang w:val="en-US" w:eastAsia="ja-JP"/>
              </w:rPr>
              <w:t>M</w:t>
            </w:r>
            <w:r>
              <w:rPr>
                <w:rFonts w:eastAsia="游明朝"/>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游明朝"/>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游明朝"/>
                <w:lang w:eastAsia="ja-JP"/>
              </w:rPr>
            </w:pPr>
            <w:r>
              <w:rPr>
                <w:rFonts w:eastAsia="游明朝"/>
                <w:lang w:eastAsia="ja-JP"/>
              </w:rPr>
              <w:t>Intel</w:t>
            </w:r>
          </w:p>
        </w:tc>
        <w:tc>
          <w:tcPr>
            <w:tcW w:w="2977" w:type="dxa"/>
          </w:tcPr>
          <w:p w14:paraId="5932BF4F" w14:textId="77777777" w:rsidR="00186642" w:rsidRDefault="0038634A">
            <w:pPr>
              <w:spacing w:after="0"/>
              <w:jc w:val="center"/>
              <w:rPr>
                <w:rFonts w:eastAsia="游明朝"/>
                <w:lang w:val="en-US" w:eastAsia="ja-JP"/>
              </w:rPr>
            </w:pPr>
            <w:r>
              <w:rPr>
                <w:rFonts w:eastAsia="游明朝"/>
                <w:lang w:val="en-US" w:eastAsia="ja-JP"/>
              </w:rPr>
              <w:t>Debdeep Chatterjee</w:t>
            </w:r>
          </w:p>
        </w:tc>
        <w:tc>
          <w:tcPr>
            <w:tcW w:w="4139" w:type="dxa"/>
          </w:tcPr>
          <w:p w14:paraId="0AE215F1" w14:textId="77777777" w:rsidR="00186642" w:rsidRDefault="0038634A">
            <w:pPr>
              <w:spacing w:after="0"/>
              <w:jc w:val="center"/>
              <w:rPr>
                <w:rFonts w:eastAsia="游明朝"/>
                <w:lang w:val="en-US" w:eastAsia="ja-JP"/>
              </w:rPr>
            </w:pPr>
            <w:r>
              <w:rPr>
                <w:rFonts w:eastAsia="游明朝"/>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游明朝"/>
                <w:lang w:val="en-US" w:eastAsia="ja-JP"/>
              </w:rPr>
            </w:pPr>
            <w:r>
              <w:rPr>
                <w:rFonts w:eastAsia="游明朝"/>
                <w:lang w:val="en-US" w:eastAsia="ja-JP"/>
              </w:rPr>
              <w:t>CMCC</w:t>
            </w:r>
          </w:p>
        </w:tc>
        <w:tc>
          <w:tcPr>
            <w:tcW w:w="2977" w:type="dxa"/>
          </w:tcPr>
          <w:p w14:paraId="282373C9" w14:textId="77777777" w:rsidR="00186642" w:rsidRDefault="0038634A">
            <w:pPr>
              <w:spacing w:after="0"/>
              <w:jc w:val="center"/>
              <w:rPr>
                <w:rFonts w:eastAsia="游明朝"/>
                <w:lang w:val="en-US" w:eastAsia="ja-JP"/>
              </w:rPr>
            </w:pPr>
            <w:r>
              <w:rPr>
                <w:rFonts w:eastAsia="游明朝"/>
                <w:lang w:val="en-US" w:eastAsia="ja-JP"/>
              </w:rPr>
              <w:t>Lijie Hu</w:t>
            </w:r>
          </w:p>
        </w:tc>
        <w:tc>
          <w:tcPr>
            <w:tcW w:w="4139" w:type="dxa"/>
          </w:tcPr>
          <w:p w14:paraId="731DB42B" w14:textId="77777777" w:rsidR="00186642" w:rsidRDefault="0038634A">
            <w:pPr>
              <w:spacing w:after="0"/>
              <w:jc w:val="center"/>
              <w:rPr>
                <w:rFonts w:eastAsia="游明朝"/>
                <w:lang w:val="en-US" w:eastAsia="ja-JP"/>
              </w:rPr>
            </w:pPr>
            <w:r>
              <w:rPr>
                <w:rFonts w:eastAsia="游明朝"/>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游明朝"/>
                <w:lang w:val="en-US" w:eastAsia="ja-JP"/>
              </w:rPr>
            </w:pPr>
            <w:r>
              <w:rPr>
                <w:rFonts w:eastAsia="游明朝"/>
                <w:lang w:val="en-US" w:eastAsia="ja-JP"/>
              </w:rPr>
              <w:t>Sharp</w:t>
            </w:r>
          </w:p>
        </w:tc>
        <w:tc>
          <w:tcPr>
            <w:tcW w:w="2977" w:type="dxa"/>
          </w:tcPr>
          <w:p w14:paraId="437EBB02" w14:textId="77777777" w:rsidR="00186642" w:rsidRDefault="0038634A">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139" w:type="dxa"/>
          </w:tcPr>
          <w:p w14:paraId="6FD90BAC" w14:textId="77777777" w:rsidR="00186642" w:rsidRDefault="0038634A">
            <w:pPr>
              <w:spacing w:after="0"/>
              <w:jc w:val="center"/>
              <w:rPr>
                <w:rFonts w:eastAsia="游明朝"/>
                <w:lang w:val="en-US" w:eastAsia="ja-JP"/>
              </w:rPr>
            </w:pPr>
            <w:r>
              <w:rPr>
                <w:rFonts w:eastAsia="游明朝"/>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游明朝"/>
                <w:lang w:eastAsia="ja-JP"/>
              </w:rPr>
            </w:pPr>
            <w:r>
              <w:rPr>
                <w:rFonts w:eastAsia="游明朝"/>
                <w:lang w:eastAsia="ja-JP"/>
              </w:rPr>
              <w:t>NEC</w:t>
            </w:r>
          </w:p>
        </w:tc>
        <w:tc>
          <w:tcPr>
            <w:tcW w:w="2977" w:type="dxa"/>
          </w:tcPr>
          <w:p w14:paraId="7D73547B" w14:textId="77777777" w:rsidR="00186642" w:rsidRDefault="0038634A">
            <w:pPr>
              <w:spacing w:after="0"/>
              <w:jc w:val="center"/>
              <w:rPr>
                <w:rFonts w:eastAsia="游明朝"/>
                <w:lang w:val="en-US" w:eastAsia="ja-JP"/>
              </w:rPr>
            </w:pPr>
            <w:r>
              <w:rPr>
                <w:rFonts w:eastAsia="游明朝"/>
                <w:lang w:val="en-US" w:eastAsia="ja-JP"/>
              </w:rPr>
              <w:t>Takahiro Sasaki</w:t>
            </w:r>
          </w:p>
        </w:tc>
        <w:tc>
          <w:tcPr>
            <w:tcW w:w="4139" w:type="dxa"/>
          </w:tcPr>
          <w:p w14:paraId="4C7CE819" w14:textId="77777777" w:rsidR="00186642" w:rsidRDefault="0038634A">
            <w:pPr>
              <w:spacing w:after="0"/>
              <w:jc w:val="center"/>
              <w:rPr>
                <w:rFonts w:eastAsia="游明朝"/>
                <w:lang w:val="en-US" w:eastAsia="ja-JP"/>
              </w:rPr>
            </w:pPr>
            <w:r>
              <w:rPr>
                <w:rFonts w:eastAsia="游明朝" w:hint="eastAsia"/>
                <w:lang w:val="en-US" w:eastAsia="ja-JP"/>
              </w:rPr>
              <w:t>t</w:t>
            </w:r>
            <w:r>
              <w:rPr>
                <w:rFonts w:eastAsia="游明朝"/>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SimSun"/>
                <w:lang w:val="en-US" w:eastAsia="zh-CN"/>
              </w:rPr>
            </w:pPr>
            <w:r>
              <w:rPr>
                <w:rFonts w:eastAsia="SimSun" w:hint="eastAsia"/>
                <w:lang w:val="en-US" w:eastAsia="zh-CN"/>
              </w:rPr>
              <w:t>ZTE</w:t>
            </w:r>
          </w:p>
        </w:tc>
        <w:tc>
          <w:tcPr>
            <w:tcW w:w="2977" w:type="dxa"/>
          </w:tcPr>
          <w:p w14:paraId="4B2950FE" w14:textId="77777777" w:rsidR="00186642" w:rsidRDefault="0038634A">
            <w:pPr>
              <w:spacing w:after="0"/>
              <w:jc w:val="center"/>
              <w:rPr>
                <w:rFonts w:eastAsia="SimSun"/>
                <w:lang w:val="en-US" w:eastAsia="zh-CN"/>
              </w:rPr>
            </w:pPr>
            <w:r>
              <w:rPr>
                <w:rFonts w:eastAsia="SimSun" w:hint="eastAsia"/>
                <w:lang w:val="en-US" w:eastAsia="zh-CN"/>
              </w:rPr>
              <w:t>Youjun Hu</w:t>
            </w:r>
          </w:p>
        </w:tc>
        <w:tc>
          <w:tcPr>
            <w:tcW w:w="4139" w:type="dxa"/>
          </w:tcPr>
          <w:p w14:paraId="0B14FD0A" w14:textId="77777777" w:rsidR="00186642" w:rsidRDefault="0038634A">
            <w:pPr>
              <w:spacing w:after="0"/>
              <w:jc w:val="center"/>
              <w:rPr>
                <w:rFonts w:eastAsia="SimSun"/>
                <w:lang w:val="en-US" w:eastAsia="zh-CN"/>
              </w:rPr>
            </w:pPr>
            <w:r>
              <w:rPr>
                <w:rFonts w:eastAsia="SimSun" w:hint="eastAsia"/>
                <w:lang w:val="en-US" w:eastAsia="zh-CN"/>
              </w:rPr>
              <w:t>hu.youjun1@zte.com.cn</w:t>
            </w:r>
          </w:p>
        </w:tc>
      </w:tr>
    </w:tbl>
    <w:p w14:paraId="7F517860" w14:textId="77777777" w:rsidR="00186642" w:rsidRDefault="00186642">
      <w:pPr>
        <w:rPr>
          <w:szCs w:val="22"/>
          <w:highlight w:val="magenta"/>
        </w:rPr>
      </w:pPr>
    </w:p>
    <w:p w14:paraId="7383FE12" w14:textId="77777777" w:rsidR="00186642" w:rsidRDefault="0038634A">
      <w:pPr>
        <w:pStyle w:val="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游明朝"/>
          <w:lang w:val="en-US" w:eastAsia="ja-JP"/>
        </w:rPr>
        <w:t xml:space="preserve">RAN1#110 agreed the 38.213 CR in </w:t>
      </w:r>
      <w:r>
        <w:rPr>
          <w:lang w:val="en-US"/>
        </w:rPr>
        <w:t>[</w:t>
      </w:r>
      <w:hyperlink r:id="rId17" w:history="1">
        <w:r>
          <w:rPr>
            <w:rStyle w:val="afa"/>
            <w:lang w:val="en-US"/>
          </w:rPr>
          <w:t>5</w:t>
        </w:r>
      </w:hyperlink>
      <w:r>
        <w:rPr>
          <w:lang w:val="en-US"/>
        </w:rPr>
        <w:t>] which contains an incomplete sentence. The incomplete sentence is a remainder from a longer sentence in Proposal 2.1-1d in the FLS in [</w:t>
      </w:r>
      <w:hyperlink r:id="rId18" w:history="1">
        <w:r>
          <w:rPr>
            <w:rStyle w:val="afa"/>
            <w:lang w:val="en-US"/>
          </w:rPr>
          <w:t>4</w:t>
        </w:r>
      </w:hyperlink>
      <w:r>
        <w:rPr>
          <w:lang w:val="en-US"/>
        </w:rPr>
        <w:t>]. The longer sentence in the p</w:t>
      </w:r>
      <w:r>
        <w:rPr>
          <w:lang w:val="en-US"/>
        </w:rPr>
        <w:t>roposal looked like this:</w:t>
      </w:r>
    </w:p>
    <w:tbl>
      <w:tblPr>
        <w:tblStyle w:val="af7"/>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游明朝"/>
                <w:u w:val="single"/>
                <w:lang w:val="en-US" w:eastAsia="ja-JP"/>
              </w:rPr>
            </w:pPr>
            <w:r>
              <w:rPr>
                <w:rFonts w:eastAsia="游明朝"/>
                <w:color w:val="C00000"/>
                <w:u w:val="single"/>
                <w:lang w:val="en-US" w:eastAsia="ja-JP"/>
              </w:rPr>
              <w:t xml:space="preserve">If the active DL BWP includes the SS/PBCH blocks provided by </w:t>
            </w:r>
            <w:r>
              <w:rPr>
                <w:rFonts w:eastAsia="游明朝"/>
                <w:i/>
                <w:iCs/>
                <w:color w:val="C00000"/>
                <w:u w:val="single"/>
                <w:lang w:val="en-US" w:eastAsia="ja-JP"/>
              </w:rPr>
              <w:t>NonCellDefiningSSB</w:t>
            </w:r>
            <w:r>
              <w:rPr>
                <w:rFonts w:eastAsia="游明朝"/>
                <w:color w:val="C00000"/>
                <w:u w:val="single"/>
                <w:lang w:val="en-US" w:eastAsia="ja-JP"/>
              </w:rPr>
              <w:t xml:space="preserve">, these SS/PBCH blocks and the SS/PBCH blocks that the UE used to obtain SIB1 have the same quasi-colocation properties, if they have the same </w:t>
            </w:r>
            <w:r>
              <w:rPr>
                <w:rFonts w:eastAsia="游明朝"/>
                <w:color w:val="C00000"/>
                <w:u w:val="single"/>
                <w:lang w:val="en-US" w:eastAsia="ja-JP"/>
              </w:rPr>
              <w:t>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19"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r>
              <w:rPr>
                <w:rFonts w:cs="Arial"/>
                <w:b/>
                <w:i/>
                <w:szCs w:val="18"/>
                <w:lang w:eastAsia="sv-SE"/>
              </w:rPr>
              <w:t>nonCellDefiningSSB</w:t>
            </w:r>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w:t>
            </w:r>
            <w:r>
              <w:rPr>
                <w:rFonts w:cs="Arial"/>
                <w:szCs w:val="18"/>
                <w:lang w:eastAsia="sv-SE"/>
              </w:rPr>
              <w:t xml:space="preserve">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The NCD-SSB has the same values for the properti</w:t>
            </w:r>
            <w:r>
              <w:rPr>
                <w:rFonts w:cs="Arial"/>
                <w:szCs w:val="18"/>
              </w:rPr>
              <w:t xml:space="preserve">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游明朝"/>
          <w:lang w:val="en-US" w:eastAsia="ja-JP"/>
        </w:rPr>
      </w:pPr>
      <w:r>
        <w:rPr>
          <w:rFonts w:eastAsia="游明朝"/>
          <w:lang w:val="en-US" w:eastAsia="ja-JP"/>
        </w:rPr>
        <w:br/>
        <w:t xml:space="preserve">To avoid double specification (in 38.213 and 38.331), it was </w:t>
      </w:r>
      <w:r>
        <w:rPr>
          <w:rFonts w:eastAsia="游明朝"/>
          <w:lang w:val="en-US" w:eastAsia="ja-JP"/>
        </w:rPr>
        <w:t xml:space="preserve">suggested in the online session that the mentioned longer sentence should not be agreed as part of the 38.213 CR and to potentially come back at later RAN1 and RAN2 meetings with CRs toward both 38.213 and 38.331 to move the QCL related specification text </w:t>
      </w:r>
      <w:r>
        <w:rPr>
          <w:rFonts w:eastAsia="游明朝"/>
          <w:lang w:val="en-US" w:eastAsia="ja-JP"/>
        </w:rPr>
        <w:t>from 38.331 to 38.213.</w:t>
      </w:r>
    </w:p>
    <w:p w14:paraId="541C0A4C" w14:textId="77777777" w:rsidR="00186642" w:rsidRDefault="0038634A">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hyperlink r:id="rId20"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1"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游明朝"/>
                <w:u w:val="single"/>
                <w:lang w:val="en-US" w:eastAsia="ja-JP"/>
              </w:rPr>
            </w:pPr>
            <w:r>
              <w:rPr>
                <w:rFonts w:eastAsia="游明朝"/>
                <w:color w:val="C00000"/>
                <w:u w:val="single"/>
                <w:lang w:val="en-US" w:eastAsia="ja-JP"/>
              </w:rPr>
              <w:t xml:space="preserve">If the active DL BWP includes the SS/PBCH blocks provided by </w:t>
            </w:r>
            <w:r>
              <w:rPr>
                <w:rFonts w:eastAsia="游明朝"/>
                <w:i/>
                <w:iCs/>
                <w:color w:val="C00000"/>
                <w:u w:val="single"/>
                <w:lang w:val="en-US" w:eastAsia="ja-JP"/>
              </w:rPr>
              <w:t>NonCellDefiningSSB</w:t>
            </w:r>
            <w:r>
              <w:rPr>
                <w:rFonts w:eastAsia="游明朝"/>
                <w:strike/>
                <w:color w:val="C00000"/>
                <w:lang w:val="en-US" w:eastAsia="ja-JP"/>
              </w:rPr>
              <w:t>, these SS/PBCH block</w:t>
            </w:r>
            <w:r>
              <w:rPr>
                <w:rFonts w:eastAsia="游明朝"/>
                <w:strike/>
                <w:color w:val="C00000"/>
                <w:lang w:val="en-US" w:eastAsia="ja-JP"/>
              </w:rPr>
              <w:t>s and the SS/PBCH blocks that the UE used to obtain SIB1 have the same quasi-colocation properties, if they have the same index</w:t>
            </w:r>
            <w:r>
              <w:rPr>
                <w:rFonts w:eastAsia="游明朝"/>
                <w:color w:val="C00000"/>
                <w:u w:val="single"/>
                <w:lang w:val="en-US" w:eastAsia="ja-JP"/>
              </w:rPr>
              <w:t>.</w:t>
            </w:r>
          </w:p>
        </w:tc>
      </w:tr>
    </w:tbl>
    <w:p w14:paraId="6750CA66" w14:textId="77777777" w:rsidR="00186642" w:rsidRDefault="0038634A">
      <w:pPr>
        <w:rPr>
          <w:rFonts w:eastAsia="游明朝"/>
          <w:lang w:val="en-US" w:eastAsia="ja-JP"/>
        </w:rPr>
      </w:pPr>
      <w:r>
        <w:rPr>
          <w:rFonts w:eastAsia="游明朝"/>
          <w:lang w:val="en-US" w:eastAsia="ja-JP"/>
        </w:rPr>
        <w:br/>
        <w:t>Now, contributions [</w:t>
      </w:r>
      <w:hyperlink r:id="rId22" w:history="1">
        <w:r>
          <w:rPr>
            <w:rStyle w:val="afa"/>
            <w:rFonts w:eastAsia="游明朝"/>
            <w:lang w:val="en-US" w:eastAsia="ja-JP"/>
          </w:rPr>
          <w:t>7</w:t>
        </w:r>
      </w:hyperlink>
      <w:r>
        <w:rPr>
          <w:rFonts w:eastAsia="游明朝"/>
          <w:lang w:val="en-US" w:eastAsia="ja-JP"/>
        </w:rPr>
        <w:t xml:space="preserve">, </w:t>
      </w:r>
      <w:hyperlink r:id="rId23" w:history="1">
        <w:r>
          <w:rPr>
            <w:rStyle w:val="afa"/>
            <w:rFonts w:eastAsia="游明朝"/>
            <w:lang w:val="en-US" w:eastAsia="ja-JP"/>
          </w:rPr>
          <w:t>9</w:t>
        </w:r>
      </w:hyperlink>
      <w:r>
        <w:rPr>
          <w:rFonts w:eastAsia="游明朝"/>
          <w:lang w:val="en-US" w:eastAsia="ja-JP"/>
        </w:rPr>
        <w:t xml:space="preserve">, </w:t>
      </w:r>
      <w:hyperlink r:id="rId24" w:history="1">
        <w:r>
          <w:rPr>
            <w:rStyle w:val="afa"/>
            <w:rFonts w:eastAsia="游明朝"/>
            <w:lang w:val="en-US" w:eastAsia="ja-JP"/>
          </w:rPr>
          <w:t>15</w:t>
        </w:r>
      </w:hyperlink>
      <w:r>
        <w:rPr>
          <w:rFonts w:eastAsia="游明朝"/>
          <w:lang w:val="en-US" w:eastAsia="ja-JP"/>
        </w:rPr>
        <w:t xml:space="preserve">, </w:t>
      </w:r>
      <w:hyperlink r:id="rId25" w:history="1">
        <w:r>
          <w:rPr>
            <w:rStyle w:val="afa"/>
            <w:rFonts w:eastAsia="游明朝"/>
            <w:lang w:val="en-US" w:eastAsia="ja-JP"/>
          </w:rPr>
          <w:t>16</w:t>
        </w:r>
      </w:hyperlink>
      <w:r>
        <w:rPr>
          <w:rFonts w:eastAsia="游明朝"/>
          <w:lang w:val="en-US" w:eastAsia="ja-JP"/>
        </w:rPr>
        <w:t xml:space="preserve">, </w:t>
      </w:r>
      <w:hyperlink r:id="rId26"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27"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t>FL1 Question 1-1a</w:t>
      </w:r>
      <w:r>
        <w:rPr>
          <w:b/>
          <w:bCs/>
          <w:lang w:val="en-US"/>
        </w:rPr>
        <w:t xml:space="preserve">: Should the QCL-related sentence be included in 38.213? If yes, please comment on whether something needs to be done to </w:t>
      </w:r>
      <w:r>
        <w:rPr>
          <w:b/>
          <w:bCs/>
          <w:lang w:val="en-US"/>
        </w:rPr>
        <w:t>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lastRenderedPageBreak/>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w:t>
            </w:r>
            <w:r>
              <w:rPr>
                <w:rFonts w:eastAsiaTheme="minorEastAsia" w:hint="eastAsia"/>
                <w:lang w:val="en-US" w:eastAsia="zh-CN"/>
              </w:rPr>
              <w:t xml:space="preserve">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afe"/>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RedCap UE operating in this </w:t>
            </w:r>
            <w:r>
              <w:rPr>
                <w:rFonts w:eastAsiaTheme="minorEastAsia"/>
                <w:i/>
                <w:sz w:val="20"/>
                <w:highlight w:val="yellow"/>
                <w:lang w:val="en-US" w:eastAsia="zh-CN"/>
              </w:rPr>
              <w:t>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w:t>
            </w:r>
            <w:r>
              <w:rPr>
                <w:rFonts w:eastAsiaTheme="minorEastAsia" w:hint="eastAsia"/>
                <w:sz w:val="20"/>
                <w:lang w:val="en-US" w:eastAsia="zh-CN"/>
              </w:rPr>
              <w:t xml:space="preserve">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w:t>
            </w:r>
            <w:r>
              <w:rPr>
                <w:rFonts w:cs="Arial"/>
                <w:i/>
                <w:sz w:val="20"/>
                <w:szCs w:val="18"/>
                <w:highlight w:val="yellow"/>
              </w:rPr>
              <w:t xml:space="preserve">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w:t>
            </w:r>
            <w:r>
              <w:rPr>
                <w:rFonts w:eastAsiaTheme="minorEastAsia" w:hint="eastAsia"/>
                <w:sz w:val="20"/>
                <w:lang w:val="en-US" w:eastAsia="zh-CN"/>
              </w:rPr>
              <w:t xml:space="preserve">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r>
              <w:rPr>
                <w:rFonts w:eastAsiaTheme="minorEastAsia"/>
                <w:lang w:val="en-US" w:eastAsia="zh-CN"/>
              </w:rPr>
              <w:t>Spreadtrum</w:t>
            </w:r>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 xml:space="preserve">We think the QCL properties of NCD-SSB should be captured in RAN1 </w:t>
            </w:r>
            <w:r>
              <w:rPr>
                <w:rFonts w:eastAsiaTheme="minorEastAsia"/>
                <w:lang w:val="en-US" w:eastAsia="zh-CN"/>
              </w:rPr>
              <w:t>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游明朝"/>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游明朝"/>
                <w:lang w:val="en-US" w:eastAsia="ja-JP"/>
              </w:rPr>
              <w:t>Agree with vivo and CATT.</w:t>
            </w:r>
          </w:p>
        </w:tc>
      </w:tr>
      <w:tr w:rsidR="00186642" w14:paraId="2A3CD9E2" w14:textId="77777777">
        <w:tc>
          <w:tcPr>
            <w:tcW w:w="1479" w:type="dxa"/>
          </w:tcPr>
          <w:p w14:paraId="2AF47A28" w14:textId="77777777" w:rsidR="00186642" w:rsidRDefault="0038634A">
            <w:pPr>
              <w:rPr>
                <w:rFonts w:eastAsia="游明朝"/>
                <w:lang w:eastAsia="ja-JP"/>
              </w:rPr>
            </w:pPr>
            <w:r>
              <w:rPr>
                <w:rFonts w:eastAsia="游明朝"/>
                <w:lang w:eastAsia="ja-JP"/>
              </w:rPr>
              <w:t>OPPO</w:t>
            </w:r>
          </w:p>
        </w:tc>
        <w:tc>
          <w:tcPr>
            <w:tcW w:w="1372" w:type="dxa"/>
          </w:tcPr>
          <w:p w14:paraId="7FFF09EC" w14:textId="77777777" w:rsidR="00186642" w:rsidRDefault="00186642">
            <w:pPr>
              <w:tabs>
                <w:tab w:val="left" w:pos="551"/>
              </w:tabs>
              <w:rPr>
                <w:rFonts w:eastAsia="游明朝"/>
                <w:lang w:val="en-US" w:eastAsia="ja-JP"/>
              </w:rPr>
            </w:pPr>
          </w:p>
        </w:tc>
        <w:tc>
          <w:tcPr>
            <w:tcW w:w="6780" w:type="dxa"/>
          </w:tcPr>
          <w:p w14:paraId="762CA82E" w14:textId="77777777" w:rsidR="00186642" w:rsidRDefault="0038634A">
            <w:pPr>
              <w:rPr>
                <w:rFonts w:eastAsia="游明朝"/>
                <w:lang w:val="en-US" w:eastAsia="ja-JP"/>
              </w:rPr>
            </w:pPr>
            <w:r>
              <w:rPr>
                <w:rFonts w:eastAsia="游明朝"/>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游明朝"/>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游明朝"/>
                <w:lang w:val="en-US" w:eastAsia="ja-JP"/>
              </w:rPr>
            </w:pPr>
            <w:r>
              <w:rPr>
                <w:rFonts w:eastAsiaTheme="minorEastAsia"/>
                <w:lang w:val="en-US" w:eastAsia="zh-CN"/>
              </w:rPr>
              <w:t>Y</w:t>
            </w:r>
          </w:p>
        </w:tc>
        <w:tc>
          <w:tcPr>
            <w:tcW w:w="6780" w:type="dxa"/>
          </w:tcPr>
          <w:p w14:paraId="27E1828F" w14:textId="77777777" w:rsidR="00186642" w:rsidRDefault="0038634A">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lastRenderedPageBreak/>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游明朝"/>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游明朝"/>
                <w:lang w:val="en-US" w:eastAsia="ja-JP"/>
              </w:rPr>
            </w:pPr>
            <w:r>
              <w:rPr>
                <w:rFonts w:eastAsiaTheme="minorEastAsia"/>
                <w:lang w:val="en-US" w:eastAsia="zh-CN"/>
              </w:rPr>
              <w:t>Y</w:t>
            </w:r>
          </w:p>
        </w:tc>
        <w:tc>
          <w:tcPr>
            <w:tcW w:w="6780" w:type="dxa"/>
          </w:tcPr>
          <w:p w14:paraId="1E8B10B5" w14:textId="77777777" w:rsidR="00186642" w:rsidRDefault="0038634A">
            <w:pPr>
              <w:rPr>
                <w:rFonts w:eastAsia="游明朝"/>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游明朝" w:hint="eastAsia"/>
                <w:lang w:val="en-US" w:eastAsia="ja-JP"/>
              </w:rPr>
              <w:t>N</w:t>
            </w:r>
            <w:r>
              <w:rPr>
                <w:rFonts w:eastAsia="游明朝"/>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游明朝"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游明朝" w:hint="eastAsia"/>
                <w:lang w:val="en-US" w:eastAsia="ja-JP"/>
              </w:rPr>
              <w:t>A</w:t>
            </w:r>
            <w:r>
              <w:rPr>
                <w:rFonts w:eastAsia="游明朝"/>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af7"/>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游明朝"/>
                      <w:u w:val="single"/>
                      <w:lang w:val="en-US" w:eastAsia="ja-JP"/>
                    </w:rPr>
                  </w:pPr>
                  <w:r>
                    <w:rPr>
                      <w:rFonts w:eastAsia="游明朝"/>
                      <w:lang w:val="en-US" w:eastAsia="ja-JP"/>
                    </w:rPr>
                    <w:t>If the active</w:t>
                  </w:r>
                  <w:r>
                    <w:rPr>
                      <w:rFonts w:eastAsia="游明朝"/>
                      <w:lang w:val="en-US" w:eastAsia="ja-JP"/>
                    </w:rPr>
                    <w:t xml:space="preserve"> DL BWP includes the SS/PBCH blocks provided by </w:t>
                  </w:r>
                  <w:r>
                    <w:rPr>
                      <w:rFonts w:eastAsia="游明朝"/>
                      <w:i/>
                      <w:iCs/>
                      <w:lang w:val="en-US" w:eastAsia="ja-JP"/>
                    </w:rPr>
                    <w:t>NonCellDefiningSSB</w:t>
                  </w:r>
                  <w:r>
                    <w:rPr>
                      <w:rFonts w:eastAsia="游明朝"/>
                      <w:color w:val="C00000"/>
                      <w:u w:val="single"/>
                      <w:lang w:val="en-US" w:eastAsia="ja-JP"/>
                    </w:rPr>
                    <w:t>, these SS/PBCH blocks and the SS/PBCH blocks that the UE used to obtain SIB1 have the same quasi-colocation properties, if they have the same index</w:t>
                  </w:r>
                  <w:r>
                    <w:rPr>
                      <w:rFonts w:eastAsia="游明朝"/>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 xml:space="preserve">Based on received </w:t>
            </w:r>
            <w:r>
              <w:rPr>
                <w:rFonts w:eastAsia="Malgun Gothic"/>
                <w:lang w:val="en-US" w:eastAsia="ko-KR"/>
              </w:rPr>
              <w:t>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af7"/>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游明朝"/>
                      <w:u w:val="single"/>
                      <w:lang w:val="en-US" w:eastAsia="ja-JP"/>
                    </w:rPr>
                  </w:pPr>
                  <w:r>
                    <w:rPr>
                      <w:rFonts w:eastAsia="游明朝"/>
                      <w:lang w:val="en-US" w:eastAsia="ja-JP"/>
                    </w:rPr>
                    <w:t xml:space="preserve">If the active DL BWP includes the SS/PBCH blocks provided by </w:t>
                  </w:r>
                  <w:r>
                    <w:rPr>
                      <w:rFonts w:eastAsia="游明朝"/>
                      <w:i/>
                      <w:iCs/>
                      <w:lang w:val="en-US" w:eastAsia="ja-JP"/>
                    </w:rPr>
                    <w:t>NonCellDefiningSSB</w:t>
                  </w:r>
                  <w:r>
                    <w:rPr>
                      <w:rFonts w:eastAsia="游明朝"/>
                      <w:color w:val="C00000"/>
                      <w:u w:val="single"/>
                      <w:lang w:val="en-US" w:eastAsia="ja-JP"/>
                    </w:rPr>
                    <w:t xml:space="preserve">, these SS/PBCH blocks and the SS/PBCH blocks that the UE </w:t>
                  </w:r>
                  <w:r>
                    <w:rPr>
                      <w:rFonts w:eastAsia="游明朝"/>
                      <w:color w:val="C00000"/>
                      <w:u w:val="single"/>
                      <w:lang w:val="en-US" w:eastAsia="ja-JP"/>
                    </w:rPr>
                    <w:t>used to obtain SIB1 have the same quasi-colocation properties, if they have the same index</w:t>
                  </w:r>
                  <w:r>
                    <w:rPr>
                      <w:rFonts w:eastAsia="游明朝"/>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游明朝"/>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游明朝"/>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游明朝"/>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游明朝"/>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游明朝"/>
                <w:lang w:val="en-US" w:eastAsia="ja-JP"/>
              </w:rPr>
              <w:t xml:space="preserve">o align the </w:t>
            </w:r>
            <w:r>
              <w:rPr>
                <w:rFonts w:eastAsiaTheme="minorEastAsia" w:hint="eastAsia"/>
                <w:lang w:val="en-US" w:eastAsia="zh-CN"/>
              </w:rPr>
              <w:t>terminology</w:t>
            </w:r>
            <w:r>
              <w:rPr>
                <w:rFonts w:eastAsia="游明朝"/>
                <w:lang w:val="en-US" w:eastAsia="ja-JP"/>
              </w:rPr>
              <w:t xml:space="preserve"> </w:t>
            </w:r>
            <w:r>
              <w:rPr>
                <w:rFonts w:eastAsiaTheme="minorEastAsia" w:hint="eastAsia"/>
                <w:lang w:val="en-US" w:eastAsia="zh-CN"/>
              </w:rPr>
              <w:t xml:space="preserve">that </w:t>
            </w:r>
            <w:r>
              <w:rPr>
                <w:rFonts w:eastAsia="游明朝"/>
                <w:lang w:val="en-US" w:eastAsia="ja-JP"/>
              </w:rPr>
              <w:t xml:space="preserve">already used in TS 38.214, </w:t>
            </w:r>
            <w:r>
              <w:rPr>
                <w:rFonts w:eastAsiaTheme="minorEastAsia" w:hint="eastAsia"/>
                <w:lang w:val="en-US" w:eastAsia="zh-CN"/>
              </w:rPr>
              <w:t xml:space="preserve">it is better to use </w:t>
            </w:r>
            <w:r>
              <w:rPr>
                <w:rFonts w:eastAsia="游明朝"/>
                <w:lang w:val="en-US" w:eastAsia="ja-JP"/>
              </w:rPr>
              <w:t>‘quasi co-location’</w:t>
            </w:r>
            <w:r>
              <w:rPr>
                <w:rFonts w:eastAsiaTheme="minorEastAsia" w:hint="eastAsia"/>
                <w:lang w:val="en-US" w:eastAsia="zh-CN"/>
              </w:rPr>
              <w:t xml:space="preserve"> instead of </w:t>
            </w:r>
            <w:r>
              <w:rPr>
                <w:rFonts w:eastAsia="游明朝"/>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6520868" w14:textId="2EB81186" w:rsidR="0038634A" w:rsidRPr="0038634A" w:rsidRDefault="0038634A">
            <w:pPr>
              <w:tabs>
                <w:tab w:val="left" w:pos="551"/>
              </w:tabs>
              <w:rPr>
                <w:rFonts w:eastAsia="游明朝" w:hint="eastAsia"/>
                <w:lang w:val="en-US" w:eastAsia="ja-JP"/>
              </w:rPr>
            </w:pPr>
            <w:r>
              <w:rPr>
                <w:rFonts w:eastAsia="游明朝" w:hint="eastAsia"/>
                <w:lang w:val="en-US" w:eastAsia="ja-JP"/>
              </w:rPr>
              <w:t>Y</w:t>
            </w:r>
          </w:p>
        </w:tc>
        <w:tc>
          <w:tcPr>
            <w:tcW w:w="6780" w:type="dxa"/>
          </w:tcPr>
          <w:p w14:paraId="541951B3" w14:textId="77777777" w:rsidR="0038634A" w:rsidRDefault="0038634A">
            <w:pPr>
              <w:rPr>
                <w:rFonts w:eastAsiaTheme="minorEastAsia"/>
                <w:lang w:val="en-US" w:eastAsia="zh-CN"/>
              </w:rPr>
            </w:pPr>
          </w:p>
        </w:tc>
      </w:tr>
    </w:tbl>
    <w:p w14:paraId="418C99F7" w14:textId="77777777" w:rsidR="00186642" w:rsidRDefault="00186642">
      <w:pPr>
        <w:rPr>
          <w:lang w:val="en-US"/>
        </w:rPr>
      </w:pPr>
    </w:p>
    <w:p w14:paraId="49FB6070" w14:textId="77777777" w:rsidR="00186642" w:rsidRDefault="0038634A">
      <w:pPr>
        <w:pStyle w:val="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游明朝"/>
          <w:lang w:val="en-US" w:eastAsia="ja-JP"/>
        </w:rPr>
        <w:t xml:space="preserve">RAN1#110 agreed the 38.213 CR in </w:t>
      </w:r>
      <w:r>
        <w:rPr>
          <w:lang w:val="en-US"/>
        </w:rPr>
        <w:t>[</w:t>
      </w:r>
      <w:hyperlink r:id="rId28" w:history="1">
        <w:r>
          <w:rPr>
            <w:rStyle w:val="afa"/>
            <w:lang w:val="en-US"/>
          </w:rPr>
          <w:t>5</w:t>
        </w:r>
      </w:hyperlink>
      <w:r>
        <w:rPr>
          <w:lang w:val="en-US"/>
        </w:rPr>
        <w:t>] which clarifies the handling of several NCD-SSB collision cases:</w:t>
      </w:r>
    </w:p>
    <w:p w14:paraId="263531F8" w14:textId="77777777" w:rsidR="00186642" w:rsidRDefault="0038634A">
      <w:pPr>
        <w:pStyle w:val="afe"/>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afe"/>
        <w:numPr>
          <w:ilvl w:val="0"/>
          <w:numId w:val="13"/>
        </w:numPr>
        <w:rPr>
          <w:sz w:val="20"/>
          <w:szCs w:val="22"/>
          <w:lang w:val="en-US"/>
        </w:rPr>
      </w:pPr>
      <w:r>
        <w:rPr>
          <w:sz w:val="20"/>
          <w:szCs w:val="22"/>
          <w:lang w:val="en-US"/>
        </w:rPr>
        <w:t>Collision between other UL transmission and NCD</w:t>
      </w:r>
      <w:r>
        <w:rPr>
          <w:sz w:val="20"/>
          <w:szCs w:val="22"/>
          <w:lang w:val="en-US"/>
        </w:rPr>
        <w:t>-SSB in TDD</w:t>
      </w:r>
    </w:p>
    <w:p w14:paraId="38E9FE99" w14:textId="77777777" w:rsidR="00186642" w:rsidRDefault="0038634A">
      <w:pPr>
        <w:pStyle w:val="afe"/>
        <w:numPr>
          <w:ilvl w:val="0"/>
          <w:numId w:val="13"/>
        </w:numPr>
        <w:rPr>
          <w:sz w:val="20"/>
          <w:szCs w:val="22"/>
          <w:lang w:val="en-US"/>
        </w:rPr>
      </w:pPr>
      <w:r>
        <w:rPr>
          <w:sz w:val="20"/>
          <w:szCs w:val="22"/>
          <w:lang w:val="en-US"/>
        </w:rPr>
        <w:lastRenderedPageBreak/>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29" w:history="1">
        <w:r>
          <w:rPr>
            <w:rStyle w:val="afa"/>
            <w:rFonts w:eastAsia="游明朝"/>
            <w:lang w:val="en-US" w:eastAsia="ja-JP"/>
          </w:rPr>
          <w:t>38.213</w:t>
        </w:r>
      </w:hyperlink>
      <w:r>
        <w:rPr>
          <w:lang w:val="en-US"/>
        </w:rPr>
        <w:t xml:space="preserve"> clause 17.1 for the handling of collision betwee</w:t>
      </w:r>
      <w:r>
        <w:rPr>
          <w:lang w:val="en-US"/>
        </w:rPr>
        <w:t>n other DL transmission and NCD-SSB:</w:t>
      </w:r>
    </w:p>
    <w:p w14:paraId="36B43320" w14:textId="77777777" w:rsidR="00186642" w:rsidRDefault="0038634A">
      <w:pPr>
        <w:pStyle w:val="afe"/>
        <w:numPr>
          <w:ilvl w:val="0"/>
          <w:numId w:val="14"/>
        </w:numPr>
        <w:rPr>
          <w:sz w:val="20"/>
          <w:szCs w:val="20"/>
          <w:lang w:val="en-US"/>
        </w:rPr>
      </w:pPr>
      <w:r>
        <w:rPr>
          <w:sz w:val="20"/>
          <w:szCs w:val="20"/>
          <w:lang w:val="en-US"/>
        </w:rPr>
        <w:t>Contribution [</w:t>
      </w:r>
      <w:hyperlink r:id="rId30" w:history="1">
        <w:r>
          <w:rPr>
            <w:rStyle w:val="afa"/>
            <w:sz w:val="20"/>
            <w:szCs w:val="20"/>
            <w:lang w:val="en-US"/>
          </w:rPr>
          <w:t>17</w:t>
        </w:r>
      </w:hyperlink>
      <w:r>
        <w:rPr>
          <w:sz w:val="20"/>
          <w:szCs w:val="20"/>
          <w:lang w:val="en-US"/>
        </w:rPr>
        <w:t>] proposes to add a new paragraph for DL inspired by the existing paragraph for TDD UL:</w:t>
      </w:r>
    </w:p>
    <w:tbl>
      <w:tblPr>
        <w:tblStyle w:val="af7"/>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w:t>
            </w:r>
            <w:r>
              <w:rPr>
                <w:lang w:val="en-US"/>
              </w:rPr>
              <w:t>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the UE assumptions on the SS/PBCH</w:t>
            </w:r>
            <w:r>
              <w:rPr>
                <w:color w:val="C00000"/>
                <w:u w:val="single"/>
                <w:lang w:val="en-US"/>
              </w:rPr>
              <w:t xml:space="preserve">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w:t>
            </w:r>
            <w:r>
              <w:rPr>
                <w:color w:val="C00000"/>
                <w:u w:val="single"/>
                <w:lang w:val="en-US"/>
              </w:rPr>
              <w:t>ed.</w:t>
            </w:r>
          </w:p>
        </w:tc>
      </w:tr>
    </w:tbl>
    <w:p w14:paraId="38ABBB3C" w14:textId="77777777" w:rsidR="00186642" w:rsidRDefault="00186642">
      <w:pPr>
        <w:pStyle w:val="afe"/>
        <w:rPr>
          <w:rFonts w:ascii="Times New Roman" w:hAnsi="Times New Roman" w:cs="Times New Roman"/>
          <w:sz w:val="20"/>
          <w:szCs w:val="20"/>
          <w:lang w:val="en-US"/>
        </w:rPr>
      </w:pPr>
    </w:p>
    <w:p w14:paraId="2F3AB9AD" w14:textId="77777777" w:rsidR="00186642" w:rsidRDefault="0038634A">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1"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af7"/>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RedCap UE </w:t>
            </w:r>
            <w:r>
              <w:rPr>
                <w:lang w:val="en-US"/>
              </w:rPr>
              <w:t xml:space="preserve">indicated presence of SS/PBCH blocks </w:t>
            </w:r>
            <w:r>
              <w:rPr>
                <w:lang w:val="en-US"/>
              </w:rPr>
              <w:t>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af7"/>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Except the collision between PDCCH and SSB that was corrected in the last meeting, and rate-matching for PDSCH around SSB that was clarified in the last meeting, there seems no additional collision need to be handled for DL and SSB in RAN1 specification. B</w:t>
            </w:r>
            <w:r>
              <w:rPr>
                <w:rFonts w:eastAsiaTheme="minorEastAsia"/>
                <w:lang w:val="en-US" w:eastAsia="zh-CN"/>
              </w:rPr>
              <w:t xml:space="preserve">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xml:space="preserve">, dropping granularity), we slightly prefer </w:t>
            </w:r>
            <w:r>
              <w:rPr>
                <w:rFonts w:eastAsiaTheme="minorEastAsia" w:hint="eastAsia"/>
                <w:lang w:val="en-US" w:eastAsia="zh-CN"/>
              </w:rPr>
              <w:t>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 xml:space="preserve">Either solution is acceptable to us, with a </w:t>
            </w:r>
            <w:r>
              <w:rPr>
                <w:rFonts w:eastAsiaTheme="minorEastAsia"/>
                <w:lang w:val="en-US" w:eastAsia="zh-CN"/>
              </w:rPr>
              <w:t>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608" w:type="dxa"/>
          </w:tcPr>
          <w:p w14:paraId="6144F88B" w14:textId="77777777" w:rsidR="00186642" w:rsidRDefault="0038634A">
            <w:pPr>
              <w:rPr>
                <w:rFonts w:eastAsiaTheme="minorEastAsia"/>
                <w:lang w:val="en-US" w:eastAsia="zh-CN"/>
              </w:rPr>
            </w:pPr>
            <w:r>
              <w:rPr>
                <w:rFonts w:eastAsia="游明朝"/>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游明朝"/>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游明朝"/>
                <w:lang w:val="en-US" w:eastAsia="ja-JP"/>
              </w:rPr>
            </w:pPr>
            <w:r>
              <w:rPr>
                <w:rFonts w:eastAsia="游明朝"/>
                <w:lang w:val="en-US" w:eastAsia="ja-JP"/>
              </w:rPr>
              <w:t xml:space="preserve">We can discuss the </w:t>
            </w:r>
            <w:r>
              <w:rPr>
                <w:rFonts w:eastAsia="游明朝"/>
                <w:lang w:val="en-US" w:eastAsia="ja-JP"/>
              </w:rPr>
              <w:t>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lastRenderedPageBreak/>
              <w:t xml:space="preserve">If a change is pursued, change in [6]. Other removing </w:t>
            </w:r>
            <w:r>
              <w:rPr>
                <w:rFonts w:eastAsiaTheme="minorEastAsia"/>
                <w:lang w:val="en-US" w:eastAsia="zh-CN"/>
              </w:rPr>
              <w:t>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lastRenderedPageBreak/>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For HD-FDD, there are dedicated section to handle the collision between SSB and UL transmission, so the collision ha</w:t>
            </w:r>
            <w:r>
              <w:rPr>
                <w:rFonts w:eastAsiaTheme="minorEastAsia"/>
                <w:lang w:val="en-US" w:eastAsia="zh-CN"/>
              </w:rPr>
              <w:t xml:space="preserve">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608" w:type="dxa"/>
          </w:tcPr>
          <w:p w14:paraId="32D00CE6" w14:textId="77777777" w:rsidR="00186642" w:rsidRDefault="0038634A">
            <w:pPr>
              <w:rPr>
                <w:rFonts w:eastAsiaTheme="minorEastAsia"/>
                <w:lang w:val="en-US" w:eastAsia="zh-CN"/>
              </w:rPr>
            </w:pPr>
            <w:r>
              <w:rPr>
                <w:rFonts w:eastAsia="游明朝" w:hint="eastAsia"/>
                <w:lang w:val="en-US" w:eastAsia="ja-JP"/>
              </w:rPr>
              <w:t>F</w:t>
            </w:r>
            <w:r>
              <w:rPr>
                <w:rFonts w:eastAsia="游明朝"/>
                <w:lang w:val="en-US" w:eastAsia="ja-JP"/>
              </w:rPr>
              <w:t>ine with either solution.</w:t>
            </w:r>
          </w:p>
        </w:tc>
      </w:tr>
      <w:tr w:rsidR="00186642" w14:paraId="5D27F302" w14:textId="77777777">
        <w:tc>
          <w:tcPr>
            <w:tcW w:w="1446" w:type="dxa"/>
          </w:tcPr>
          <w:p w14:paraId="7148E73A" w14:textId="77777777" w:rsidR="00186642" w:rsidRDefault="0038634A">
            <w:pPr>
              <w:rPr>
                <w:rFonts w:eastAsia="游明朝"/>
                <w:lang w:val="en-US" w:eastAsia="ja-JP"/>
              </w:rPr>
            </w:pPr>
            <w:r>
              <w:rPr>
                <w:rFonts w:eastAsia="游明朝" w:hint="eastAsia"/>
                <w:lang w:val="en-US" w:eastAsia="ja-JP"/>
              </w:rPr>
              <w:t>N</w:t>
            </w:r>
            <w:r>
              <w:rPr>
                <w:rFonts w:eastAsia="游明朝"/>
                <w:lang w:val="en-US" w:eastAsia="ja-JP"/>
              </w:rPr>
              <w:t>EC</w:t>
            </w:r>
          </w:p>
        </w:tc>
        <w:tc>
          <w:tcPr>
            <w:tcW w:w="1342" w:type="dxa"/>
          </w:tcPr>
          <w:p w14:paraId="14DB8832" w14:textId="77777777" w:rsidR="00186642" w:rsidRDefault="0038634A">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608" w:type="dxa"/>
          </w:tcPr>
          <w:p w14:paraId="45049DD6" w14:textId="77777777" w:rsidR="00186642" w:rsidRDefault="0038634A">
            <w:pPr>
              <w:rPr>
                <w:rFonts w:eastAsia="游明朝"/>
                <w:lang w:val="en-US" w:eastAsia="ja-JP"/>
              </w:rPr>
            </w:pPr>
            <w:r>
              <w:rPr>
                <w:rFonts w:eastAsia="游明朝"/>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 xml:space="preserve">is preferred if there is no </w:t>
            </w:r>
            <w:r>
              <w:rPr>
                <w:rFonts w:eastAsia="Malgun Gothic"/>
                <w:lang w:val="en-US" w:eastAsia="ko-KR"/>
              </w:rPr>
              <w:t>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w:t>
            </w:r>
            <w:r>
              <w:rPr>
                <w:rFonts w:eastAsia="Malgun Gothic"/>
                <w:lang w:val="en-US" w:eastAsia="ko-KR"/>
              </w:rPr>
              <w:t>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uplink transmissions and</w:t>
                  </w:r>
                  <w:r>
                    <w:rPr>
                      <w:lang w:val="en-US" w:eastAsia="zh-CN"/>
                    </w:rPr>
                    <w:t xml:space="preserve">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af7"/>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w:t>
                  </w:r>
                  <w:r>
                    <w:rPr>
                      <w:lang w:val="en-US" w:eastAsia="zh-CN"/>
                    </w:rPr>
                    <w:t>,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42" w:type="dxa"/>
          </w:tcPr>
          <w:p w14:paraId="218BD0CA" w14:textId="3D480DEB" w:rsidR="0038634A" w:rsidRPr="0038634A" w:rsidRDefault="0038634A">
            <w:pPr>
              <w:tabs>
                <w:tab w:val="left" w:pos="551"/>
              </w:tabs>
              <w:rPr>
                <w:rFonts w:eastAsia="游明朝" w:hint="eastAsia"/>
                <w:lang w:val="en-US" w:eastAsia="ja-JP"/>
              </w:rPr>
            </w:pPr>
            <w:r>
              <w:rPr>
                <w:rFonts w:eastAsia="游明朝" w:hint="eastAsia"/>
                <w:lang w:val="en-US" w:eastAsia="ja-JP"/>
              </w:rPr>
              <w:t>Y</w:t>
            </w:r>
          </w:p>
        </w:tc>
        <w:tc>
          <w:tcPr>
            <w:tcW w:w="6608" w:type="dxa"/>
          </w:tcPr>
          <w:p w14:paraId="0BD59227" w14:textId="77777777" w:rsidR="0038634A" w:rsidRDefault="0038634A">
            <w:pPr>
              <w:rPr>
                <w:rFonts w:eastAsia="Malgun Gothic"/>
                <w:lang w:val="en-US" w:eastAsia="ko-KR"/>
              </w:rPr>
            </w:pPr>
          </w:p>
        </w:tc>
      </w:tr>
    </w:tbl>
    <w:p w14:paraId="479B89EC" w14:textId="77777777" w:rsidR="00186642" w:rsidRDefault="00186642">
      <w:pPr>
        <w:rPr>
          <w:lang w:val="en-US"/>
        </w:rPr>
      </w:pPr>
    </w:p>
    <w:p w14:paraId="3507100E" w14:textId="77777777" w:rsidR="00186642" w:rsidRDefault="0038634A">
      <w:pPr>
        <w:pStyle w:val="1"/>
        <w:numPr>
          <w:ilvl w:val="0"/>
          <w:numId w:val="0"/>
        </w:numPr>
        <w:ind w:left="1134" w:hanging="1134"/>
        <w:rPr>
          <w:lang w:val="en-US"/>
        </w:rPr>
      </w:pPr>
      <w:r>
        <w:rPr>
          <w:lang w:val="en-US"/>
        </w:rPr>
        <w:lastRenderedPageBreak/>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2" w:history="1">
        <w:r>
          <w:rPr>
            <w:rStyle w:val="afa"/>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A (and TBoMS) in HD-FDD:</w:t>
      </w:r>
    </w:p>
    <w:p w14:paraId="3F4D7744" w14:textId="77777777" w:rsidR="00186642" w:rsidRDefault="0038634A">
      <w:pPr>
        <w:pStyle w:val="afe"/>
        <w:numPr>
          <w:ilvl w:val="0"/>
          <w:numId w:val="15"/>
        </w:numPr>
        <w:rPr>
          <w:sz w:val="20"/>
          <w:szCs w:val="22"/>
          <w:lang w:val="en-US"/>
        </w:rPr>
      </w:pPr>
      <w:r>
        <w:rPr>
          <w:sz w:val="20"/>
          <w:szCs w:val="22"/>
          <w:lang w:val="en-US"/>
        </w:rPr>
        <w:t>Contribution [</w:t>
      </w:r>
      <w:hyperlink r:id="rId33" w:history="1">
        <w:r>
          <w:rPr>
            <w:rStyle w:val="afa"/>
            <w:sz w:val="20"/>
            <w:szCs w:val="22"/>
            <w:lang w:val="en-US"/>
          </w:rPr>
          <w:t>19</w:t>
        </w:r>
      </w:hyperlink>
      <w:r>
        <w:rPr>
          <w:sz w:val="20"/>
          <w:szCs w:val="22"/>
          <w:lang w:val="en-US"/>
        </w:rPr>
        <w:t xml:space="preserve">] provides a draft CR for </w:t>
      </w:r>
      <w:hyperlink r:id="rId34" w:history="1">
        <w:r>
          <w:rPr>
            <w:rStyle w:val="afa"/>
            <w:sz w:val="20"/>
            <w:szCs w:val="22"/>
            <w:lang w:val="en-US"/>
          </w:rPr>
          <w:t>38.214</w:t>
        </w:r>
      </w:hyperlink>
      <w:r>
        <w:rPr>
          <w:sz w:val="20"/>
          <w:szCs w:val="22"/>
          <w:lang w:val="en-US"/>
        </w:rPr>
        <w:t xml:space="preserve"> clauses 6.1.2.1, 6.1.2.3.1 and 6.1.2.3.3.</w:t>
      </w:r>
    </w:p>
    <w:p w14:paraId="19E54399" w14:textId="77777777" w:rsidR="00186642" w:rsidRDefault="0038634A">
      <w:pPr>
        <w:pStyle w:val="afe"/>
        <w:numPr>
          <w:ilvl w:val="1"/>
          <w:numId w:val="15"/>
        </w:numPr>
        <w:rPr>
          <w:sz w:val="20"/>
          <w:szCs w:val="22"/>
          <w:lang w:val="en-US"/>
        </w:rPr>
      </w:pPr>
      <w:r>
        <w:rPr>
          <w:sz w:val="20"/>
          <w:szCs w:val="22"/>
          <w:lang w:val="en-US"/>
        </w:rPr>
        <w:t>Con</w:t>
      </w:r>
      <w:r>
        <w:rPr>
          <w:sz w:val="20"/>
          <w:szCs w:val="22"/>
          <w:lang w:val="en-US"/>
        </w:rPr>
        <w:t>tribution [</w:t>
      </w:r>
      <w:hyperlink r:id="rId35" w:history="1">
        <w:r>
          <w:rPr>
            <w:rStyle w:val="afa"/>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afe"/>
        <w:numPr>
          <w:ilvl w:val="0"/>
          <w:numId w:val="15"/>
        </w:numPr>
        <w:rPr>
          <w:sz w:val="20"/>
          <w:szCs w:val="22"/>
          <w:lang w:val="en-US"/>
        </w:rPr>
      </w:pPr>
      <w:r>
        <w:rPr>
          <w:sz w:val="20"/>
          <w:szCs w:val="22"/>
          <w:lang w:val="en-US"/>
        </w:rPr>
        <w:t>The last paragraph in contribution [</w:t>
      </w:r>
      <w:hyperlink r:id="rId36" w:history="1">
        <w:r>
          <w:rPr>
            <w:rStyle w:val="afa"/>
            <w:sz w:val="20"/>
            <w:szCs w:val="22"/>
            <w:lang w:val="en-US"/>
          </w:rPr>
          <w:t>22</w:t>
        </w:r>
      </w:hyperlink>
      <w:r>
        <w:rPr>
          <w:sz w:val="20"/>
          <w:szCs w:val="22"/>
          <w:lang w:val="en-US"/>
        </w:rPr>
        <w:t xml:space="preserve">] proposes a similar correction for </w:t>
      </w:r>
      <w:hyperlink r:id="rId37" w:history="1">
        <w:r>
          <w:rPr>
            <w:rStyle w:val="afa"/>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 xml:space="preserve">Proposals related to PUSCH repetition type B in HD-FDD are treated under </w:t>
      </w:r>
      <w:r>
        <w:rPr>
          <w:lang w:val="en-US"/>
        </w:rPr>
        <w:t>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4A08BD92" w14:textId="77777777" w:rsidR="00186642" w:rsidRDefault="0038634A">
            <w:pPr>
              <w:rPr>
                <w:rFonts w:eastAsiaTheme="minorEastAsia"/>
                <w:lang w:val="en-US" w:eastAsia="zh-CN"/>
              </w:rPr>
            </w:pPr>
            <w:r>
              <w:rPr>
                <w:rFonts w:eastAsia="游明朝"/>
                <w:lang w:eastAsia="ja-JP"/>
              </w:rPr>
              <w:t>The same handling for PUSCH repetition type-A can be applied to TboMS.</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252A8E1" w14:textId="77777777" w:rsidR="00186642" w:rsidRDefault="0038634A">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 xml:space="preserve">Based on received responses, the following proposal can be </w:t>
            </w:r>
            <w:r>
              <w:rPr>
                <w:rFonts w:eastAsia="Malgun Gothic"/>
                <w:lang w:val="en-US" w:eastAsia="ko-KR"/>
              </w:rPr>
              <w:t>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afe"/>
              <w:numPr>
                <w:ilvl w:val="0"/>
                <w:numId w:val="16"/>
              </w:numPr>
              <w:rPr>
                <w:b/>
                <w:bCs/>
                <w:sz w:val="20"/>
                <w:szCs w:val="22"/>
                <w:lang w:val="en-US"/>
              </w:rPr>
            </w:pPr>
            <w:r>
              <w:rPr>
                <w:b/>
                <w:bCs/>
                <w:sz w:val="20"/>
                <w:szCs w:val="22"/>
                <w:lang w:val="en-US"/>
              </w:rPr>
              <w:t xml:space="preserve">Agree the draft CR in </w:t>
            </w:r>
            <w:hyperlink r:id="rId38" w:history="1">
              <w:r>
                <w:rPr>
                  <w:rStyle w:val="afa"/>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afe"/>
              <w:numPr>
                <w:ilvl w:val="0"/>
                <w:numId w:val="16"/>
              </w:numPr>
              <w:rPr>
                <w:b/>
                <w:bCs/>
                <w:sz w:val="20"/>
                <w:szCs w:val="22"/>
                <w:lang w:val="en-US"/>
              </w:rPr>
            </w:pPr>
            <w:r>
              <w:rPr>
                <w:b/>
                <w:bCs/>
                <w:sz w:val="20"/>
                <w:szCs w:val="22"/>
                <w:lang w:val="en-US"/>
              </w:rPr>
              <w:t>Agree the following TP for 38.214 clause 6.1.2.3.3.</w:t>
            </w:r>
          </w:p>
          <w:tbl>
            <w:tblPr>
              <w:tblStyle w:val="af7"/>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F</w:t>
                  </w:r>
                  <w:r>
                    <w:rPr>
                      <w:lang w:val="en-US"/>
                    </w:rPr>
                    <w:t xml:space="preserve">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m:t>
                    </m:r>
                    <m:r>
                      <w:rPr>
                        <w:rFonts w:ascii="Cambria Math" w:hAnsi="Cambria Math"/>
                      </w:rPr>
                      <m:t>∙</m:t>
                    </m:r>
                    <m:r>
                      <w:rPr>
                        <w:rFonts w:ascii="Cambria Math" w:hAnsi="Cambria Math"/>
                      </w:rPr>
                      <m:t>K</m:t>
                    </m:r>
                  </m:oMath>
                  <w:r>
                    <w:rPr>
                      <w:lang w:val="en-US"/>
                    </w:rPr>
                    <w:t xml:space="preserve"> slots determined for the </w:t>
                  </w:r>
                  <w:r>
                    <w:rPr>
                      <w:lang w:val="en-US"/>
                    </w:rPr>
                    <w:lastRenderedPageBreak/>
                    <w:t xml:space="preserve">PUSCH transmission applying the same symbol allocation in each slot. </w:t>
                  </w:r>
                  <w:r>
                    <w:rPr>
                      <w:color w:val="000000"/>
                    </w:rPr>
                    <w:t>A Type 2 PUSCH transmissi</w:t>
                  </w:r>
                  <w:r>
                    <w:rPr>
                      <w:color w:val="000000"/>
                    </w:rPr>
                    <w:t>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lastRenderedPageBreak/>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ECFD5C8" w14:textId="50605A72" w:rsidR="0038634A" w:rsidRPr="0038634A" w:rsidRDefault="0038634A">
            <w:pPr>
              <w:tabs>
                <w:tab w:val="left" w:pos="551"/>
              </w:tabs>
              <w:rPr>
                <w:rFonts w:eastAsia="游明朝" w:hint="eastAsia"/>
                <w:lang w:val="en-US" w:eastAsia="ja-JP"/>
              </w:rPr>
            </w:pPr>
            <w:r>
              <w:rPr>
                <w:rFonts w:eastAsia="游明朝" w:hint="eastAsia"/>
                <w:lang w:val="en-US" w:eastAsia="ja-JP"/>
              </w:rPr>
              <w:t>Y</w:t>
            </w:r>
          </w:p>
        </w:tc>
        <w:tc>
          <w:tcPr>
            <w:tcW w:w="6780" w:type="dxa"/>
          </w:tcPr>
          <w:p w14:paraId="36494494" w14:textId="77777777" w:rsidR="0038634A" w:rsidRDefault="0038634A">
            <w:pPr>
              <w:rPr>
                <w:rFonts w:eastAsia="Malgun Gothic"/>
                <w:lang w:val="en-US" w:eastAsia="ko-KR"/>
              </w:rPr>
            </w:pPr>
          </w:p>
        </w:tc>
      </w:tr>
    </w:tbl>
    <w:p w14:paraId="2BDF17D0" w14:textId="77777777" w:rsidR="00186642" w:rsidRDefault="00186642">
      <w:pPr>
        <w:rPr>
          <w:lang w:val="en-US"/>
        </w:rPr>
      </w:pPr>
    </w:p>
    <w:p w14:paraId="28A14C8C" w14:textId="77777777" w:rsidR="00186642" w:rsidRDefault="0038634A">
      <w:pPr>
        <w:pStyle w:val="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39" w:history="1">
        <w:r>
          <w:rPr>
            <w:rStyle w:val="afa"/>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afe"/>
        <w:numPr>
          <w:ilvl w:val="0"/>
          <w:numId w:val="15"/>
        </w:numPr>
        <w:rPr>
          <w:sz w:val="20"/>
          <w:szCs w:val="22"/>
          <w:lang w:val="en-US"/>
        </w:rPr>
      </w:pPr>
      <w:r>
        <w:rPr>
          <w:sz w:val="20"/>
          <w:szCs w:val="22"/>
          <w:lang w:val="en-US"/>
        </w:rPr>
        <w:t>Contribution [</w:t>
      </w:r>
      <w:hyperlink r:id="rId40" w:history="1">
        <w:r>
          <w:rPr>
            <w:rStyle w:val="afa"/>
            <w:sz w:val="20"/>
            <w:szCs w:val="22"/>
            <w:lang w:val="en-US"/>
          </w:rPr>
          <w:t>8</w:t>
        </w:r>
      </w:hyperlink>
      <w:r>
        <w:rPr>
          <w:sz w:val="20"/>
          <w:szCs w:val="22"/>
          <w:lang w:val="en-US"/>
        </w:rPr>
        <w:t xml:space="preserve">] provides a draft CR for </w:t>
      </w:r>
      <w:hyperlink r:id="rId41" w:history="1">
        <w:r>
          <w:rPr>
            <w:rStyle w:val="afa"/>
            <w:sz w:val="20"/>
            <w:szCs w:val="22"/>
            <w:lang w:val="en-US"/>
          </w:rPr>
          <w:t>38.214</w:t>
        </w:r>
      </w:hyperlink>
      <w:r>
        <w:rPr>
          <w:sz w:val="20"/>
          <w:szCs w:val="22"/>
          <w:lang w:val="en-US"/>
        </w:rPr>
        <w:t xml:space="preserve"> clause 6.1.2.1.</w:t>
      </w:r>
    </w:p>
    <w:p w14:paraId="45BE8301" w14:textId="77777777" w:rsidR="00186642" w:rsidRDefault="0038634A">
      <w:pPr>
        <w:pStyle w:val="afe"/>
        <w:numPr>
          <w:ilvl w:val="0"/>
          <w:numId w:val="17"/>
        </w:numPr>
        <w:rPr>
          <w:sz w:val="20"/>
          <w:szCs w:val="22"/>
          <w:lang w:val="en-US"/>
        </w:rPr>
      </w:pPr>
      <w:r>
        <w:rPr>
          <w:sz w:val="20"/>
          <w:szCs w:val="22"/>
          <w:lang w:val="en-US"/>
        </w:rPr>
        <w:t>Contribution [</w:t>
      </w:r>
      <w:hyperlink r:id="rId42" w:history="1">
        <w:r>
          <w:rPr>
            <w:rStyle w:val="afa"/>
            <w:sz w:val="20"/>
            <w:szCs w:val="22"/>
            <w:lang w:val="en-US"/>
          </w:rPr>
          <w:t>13</w:t>
        </w:r>
      </w:hyperlink>
      <w:r>
        <w:rPr>
          <w:sz w:val="20"/>
          <w:szCs w:val="22"/>
          <w:lang w:val="en-US"/>
        </w:rPr>
        <w:t xml:space="preserve">] proposes additional potential corrections for </w:t>
      </w:r>
      <w:hyperlink r:id="rId43" w:history="1">
        <w:r>
          <w:rPr>
            <w:rStyle w:val="afa"/>
            <w:sz w:val="20"/>
            <w:szCs w:val="22"/>
            <w:lang w:val="en-US"/>
          </w:rPr>
          <w:t>38.214</w:t>
        </w:r>
      </w:hyperlink>
      <w:r>
        <w:rPr>
          <w:sz w:val="20"/>
          <w:szCs w:val="22"/>
          <w:lang w:val="en-US"/>
        </w:rPr>
        <w:t xml:space="preserve"> clause 6.1.2.1.</w:t>
      </w:r>
    </w:p>
    <w:p w14:paraId="38B49627" w14:textId="77777777" w:rsidR="00186642" w:rsidRDefault="0038634A">
      <w:pPr>
        <w:pStyle w:val="afe"/>
        <w:numPr>
          <w:ilvl w:val="1"/>
          <w:numId w:val="17"/>
        </w:numPr>
        <w:rPr>
          <w:sz w:val="20"/>
          <w:szCs w:val="22"/>
          <w:lang w:val="en-US"/>
        </w:rPr>
      </w:pPr>
      <w:r>
        <w:rPr>
          <w:sz w:val="20"/>
          <w:szCs w:val="22"/>
          <w:lang w:val="en-US"/>
        </w:rPr>
        <w:t>Contrib</w:t>
      </w:r>
      <w:r>
        <w:rPr>
          <w:sz w:val="20"/>
          <w:szCs w:val="22"/>
          <w:lang w:val="en-US"/>
        </w:rPr>
        <w:t>ution [</w:t>
      </w:r>
      <w:hyperlink r:id="rId44" w:history="1">
        <w:r>
          <w:rPr>
            <w:rStyle w:val="afa"/>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 xml:space="preserve">For the corrections in [13], the first correction misses the </w:t>
            </w:r>
            <w:r>
              <w:rPr>
                <w:rFonts w:eastAsiaTheme="minorEastAsia"/>
                <w:lang w:val="en-US" w:eastAsia="zh-CN"/>
              </w:rPr>
              <w:t>case of insufficient switching time for back-to-back DL/UL transmission/reception on invalid symbol determination; The second correction is not necessary since RedCap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lastRenderedPageBreak/>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3725A3A" w14:textId="77777777" w:rsidR="00186642" w:rsidRDefault="0038634A">
            <w:pPr>
              <w:tabs>
                <w:tab w:val="left" w:pos="551"/>
              </w:tabs>
              <w:rPr>
                <w:rFonts w:eastAsia="游明朝"/>
                <w:lang w:val="en-US" w:eastAsia="ja-JP"/>
              </w:rPr>
            </w:pPr>
            <w:r>
              <w:rPr>
                <w:rFonts w:eastAsia="游明朝" w:hint="eastAsia"/>
                <w:lang w:val="en-US" w:eastAsia="ja-JP"/>
              </w:rPr>
              <w:t>H</w:t>
            </w:r>
            <w:r>
              <w:rPr>
                <w:rFonts w:eastAsia="游明朝"/>
                <w:lang w:val="en-US" w:eastAsia="ja-JP"/>
              </w:rPr>
              <w:t>igh</w:t>
            </w:r>
          </w:p>
        </w:tc>
        <w:tc>
          <w:tcPr>
            <w:tcW w:w="6780" w:type="dxa"/>
          </w:tcPr>
          <w:p w14:paraId="34FC4B4C" w14:textId="77777777" w:rsidR="00186642" w:rsidRDefault="0038634A">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5" w:history="1">
              <w:r>
                <w:rPr>
                  <w:rStyle w:val="afa"/>
                  <w:szCs w:val="22"/>
                  <w:lang w:val="en-US"/>
                </w:rPr>
                <w:t>13</w:t>
              </w:r>
            </w:hyperlink>
            <w:r>
              <w:rPr>
                <w:szCs w:val="22"/>
                <w:lang w:val="en-US"/>
              </w:rPr>
              <w:t>] and insufficient switching gap case.</w:t>
            </w:r>
            <w:r>
              <w:rPr>
                <w:rFonts w:eastAsia="游明朝" w:hint="eastAsia"/>
                <w:lang w:val="en-US" w:eastAsia="ja-JP"/>
              </w:rPr>
              <w:t xml:space="preserve"> T</w:t>
            </w:r>
            <w:r>
              <w:rPr>
                <w:rFonts w:eastAsia="游明朝"/>
                <w:lang w:val="en-US" w:eastAsia="ja-JP"/>
              </w:rPr>
              <w:t xml:space="preserve">he second correction in </w:t>
            </w:r>
            <w:r>
              <w:rPr>
                <w:szCs w:val="22"/>
                <w:lang w:val="en-US"/>
              </w:rPr>
              <w:t>[</w:t>
            </w:r>
            <w:hyperlink r:id="rId46" w:history="1">
              <w:r>
                <w:rPr>
                  <w:rStyle w:val="afa"/>
                  <w:szCs w:val="22"/>
                  <w:lang w:val="en-US"/>
                </w:rPr>
                <w:t>13</w:t>
              </w:r>
            </w:hyperlink>
            <w:r>
              <w:rPr>
                <w:szCs w:val="22"/>
                <w:lang w:val="en-US"/>
              </w:rPr>
              <w:t>] is unnecessary given the relevant description is for half-duplex TDD CA where RedCap UEs do not support.</w:t>
            </w:r>
          </w:p>
        </w:tc>
      </w:tr>
      <w:tr w:rsidR="00186642" w14:paraId="03ABA2C1" w14:textId="77777777">
        <w:tc>
          <w:tcPr>
            <w:tcW w:w="1479" w:type="dxa"/>
          </w:tcPr>
          <w:p w14:paraId="5C7ECFD2" w14:textId="77777777" w:rsidR="00186642" w:rsidRDefault="0038634A">
            <w:pPr>
              <w:rPr>
                <w:rFonts w:eastAsia="游明朝"/>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游明朝"/>
                <w:lang w:val="en-US" w:eastAsia="ja-JP"/>
              </w:rPr>
            </w:pPr>
            <w:r>
              <w:rPr>
                <w:rFonts w:eastAsiaTheme="minorEastAsia"/>
                <w:lang w:val="en-US" w:eastAsia="zh-CN"/>
              </w:rPr>
              <w:t>High</w:t>
            </w:r>
          </w:p>
        </w:tc>
        <w:tc>
          <w:tcPr>
            <w:tcW w:w="6780" w:type="dxa"/>
          </w:tcPr>
          <w:p w14:paraId="41054EC5" w14:textId="77777777" w:rsidR="00186642" w:rsidRDefault="00186642">
            <w:pPr>
              <w:rPr>
                <w:rFonts w:eastAsia="游明朝"/>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w:t>
            </w:r>
            <w:r>
              <w:rPr>
                <w:rFonts w:eastAsia="Malgun Gothic"/>
                <w:lang w:val="en-US" w:eastAsia="ko-KR"/>
              </w:rPr>
              <w:t xml:space="preserve">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7" w:history="1">
              <w:r>
                <w:rPr>
                  <w:rStyle w:val="afa"/>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5C9CABF" w14:textId="65F416B6" w:rsidR="0038634A" w:rsidRPr="0038634A" w:rsidRDefault="0038634A">
            <w:pPr>
              <w:tabs>
                <w:tab w:val="left" w:pos="551"/>
              </w:tabs>
              <w:rPr>
                <w:rFonts w:eastAsia="游明朝" w:hint="eastAsia"/>
                <w:lang w:val="en-US" w:eastAsia="ja-JP"/>
              </w:rPr>
            </w:pPr>
            <w:r>
              <w:rPr>
                <w:rFonts w:eastAsia="游明朝" w:hint="eastAsia"/>
                <w:lang w:val="en-US" w:eastAsia="ja-JP"/>
              </w:rPr>
              <w:t>Y</w:t>
            </w:r>
          </w:p>
        </w:tc>
        <w:tc>
          <w:tcPr>
            <w:tcW w:w="6780" w:type="dxa"/>
          </w:tcPr>
          <w:p w14:paraId="5973F719" w14:textId="77777777" w:rsidR="0038634A" w:rsidRDefault="0038634A">
            <w:pPr>
              <w:rPr>
                <w:rFonts w:eastAsia="Malgun Gothic"/>
                <w:lang w:val="en-US" w:eastAsia="ko-KR"/>
              </w:rPr>
            </w:pPr>
          </w:p>
        </w:tc>
      </w:tr>
    </w:tbl>
    <w:p w14:paraId="10275258" w14:textId="77777777" w:rsidR="00186642" w:rsidRDefault="00186642">
      <w:pPr>
        <w:rPr>
          <w:lang w:val="en-US"/>
        </w:rPr>
      </w:pPr>
    </w:p>
    <w:p w14:paraId="4F8EBAC8" w14:textId="77777777" w:rsidR="00186642" w:rsidRDefault="0038634A">
      <w:pPr>
        <w:pStyle w:val="1"/>
        <w:numPr>
          <w:ilvl w:val="0"/>
          <w:numId w:val="0"/>
        </w:numPr>
        <w:ind w:left="1134" w:hanging="1134"/>
        <w:rPr>
          <w:lang w:val="en-US"/>
        </w:rPr>
      </w:pPr>
      <w:r>
        <w:rPr>
          <w:lang w:val="en-US"/>
        </w:rPr>
        <w:t xml:space="preserve">Issue #7: Maximum UL BWP </w:t>
      </w:r>
      <w:r>
        <w:rPr>
          <w:lang w:val="en-US"/>
        </w:rPr>
        <w:t>bandwidth</w:t>
      </w:r>
    </w:p>
    <w:p w14:paraId="31A06911" w14:textId="77777777" w:rsidR="00186642" w:rsidRDefault="0038634A">
      <w:pPr>
        <w:rPr>
          <w:lang w:val="en-US"/>
        </w:rPr>
      </w:pPr>
      <w:r>
        <w:rPr>
          <w:rFonts w:eastAsia="游明朝"/>
          <w:lang w:val="en-US" w:eastAsia="ja-JP"/>
        </w:rPr>
        <w:t xml:space="preserve">Contribution </w:t>
      </w:r>
      <w:r>
        <w:rPr>
          <w:lang w:val="en-US"/>
        </w:rPr>
        <w:t>[</w:t>
      </w:r>
      <w:hyperlink r:id="rId48" w:history="1">
        <w:r>
          <w:rPr>
            <w:rStyle w:val="afa"/>
            <w:lang w:val="en-US"/>
          </w:rPr>
          <w:t>6</w:t>
        </w:r>
      </w:hyperlink>
      <w:r>
        <w:rPr>
          <w:lang w:val="en-US"/>
        </w:rPr>
        <w:t>]</w:t>
      </w:r>
      <w:r>
        <w:rPr>
          <w:rFonts w:eastAsia="游明朝"/>
          <w:lang w:val="en-US" w:eastAsia="ja-JP"/>
        </w:rPr>
        <w:t xml:space="preserve"> proposes to clarify in </w:t>
      </w:r>
      <w:hyperlink r:id="rId49" w:history="1">
        <w:r>
          <w:rPr>
            <w:rStyle w:val="afa"/>
            <w:rFonts w:eastAsia="游明朝"/>
            <w:lang w:val="en-US" w:eastAsia="ja-JP"/>
          </w:rPr>
          <w:t>38.213</w:t>
        </w:r>
      </w:hyperlink>
      <w:r>
        <w:rPr>
          <w:lang w:val="en-US" w:eastAsia="ja-JP"/>
        </w:rPr>
        <w:t xml:space="preserve"> clause 17.1 </w:t>
      </w:r>
      <w:r>
        <w:rPr>
          <w:rFonts w:eastAsia="游明朝"/>
          <w:lang w:val="en-US" w:eastAsia="ja-JP"/>
        </w:rPr>
        <w:t>that the separate initial UL BWP for RedCap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w:t>
      </w:r>
      <w:r>
        <w:rPr>
          <w:b/>
          <w:highlight w:val="yellow"/>
          <w:lang w:val="en-US"/>
        </w:rPr>
        <w:t xml:space="preserve">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7777777" w:rsidR="00186642" w:rsidRDefault="0038634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游明朝"/>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w:t>
            </w:r>
            <w:r>
              <w:rPr>
                <w:rFonts w:eastAsiaTheme="minorEastAsia"/>
                <w:lang w:val="en-US" w:eastAsia="zh-CN"/>
              </w:rPr>
              <w: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2339DE1E" w14:textId="77777777" w:rsidR="00186642" w:rsidRDefault="0038634A">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r w:rsidR="00186642" w14:paraId="6C4A5FF1" w14:textId="77777777">
        <w:tc>
          <w:tcPr>
            <w:tcW w:w="1479" w:type="dxa"/>
          </w:tcPr>
          <w:p w14:paraId="02D098E5" w14:textId="77777777" w:rsidR="00186642" w:rsidRDefault="0038634A">
            <w:pPr>
              <w:rPr>
                <w:rFonts w:eastAsia="游明朝"/>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游明朝"/>
                <w:lang w:val="en-US" w:eastAsia="ja-JP"/>
              </w:rPr>
            </w:pPr>
            <w:r>
              <w:rPr>
                <w:rFonts w:eastAsiaTheme="minorEastAsia"/>
                <w:lang w:val="en-US" w:eastAsia="zh-CN"/>
              </w:rPr>
              <w:t>Low</w:t>
            </w:r>
          </w:p>
        </w:tc>
        <w:tc>
          <w:tcPr>
            <w:tcW w:w="6780" w:type="dxa"/>
          </w:tcPr>
          <w:p w14:paraId="11E3D40B" w14:textId="77777777" w:rsidR="00186642" w:rsidRDefault="0038634A">
            <w:pPr>
              <w:rPr>
                <w:rFonts w:eastAsia="游明朝"/>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303BCD9A" w14:textId="77777777" w:rsidR="00186642" w:rsidRDefault="0038634A">
            <w:pPr>
              <w:rPr>
                <w:rFonts w:eastAsiaTheme="minorEastAsia"/>
                <w:lang w:val="en-US" w:eastAsia="zh-CN"/>
              </w:rPr>
            </w:pPr>
            <w:r>
              <w:rPr>
                <w:rFonts w:eastAsia="游明朝"/>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It is obvious but,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 xml:space="preserve">Most received responses indicate that </w:t>
            </w:r>
            <w:r>
              <w:rPr>
                <w:rFonts w:eastAsia="Malgun Gothic"/>
                <w:lang w:val="en-US" w:eastAsia="ko-KR"/>
              </w:rPr>
              <w:t>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w:t>
                  </w:r>
                  <w:r>
                    <w:rPr>
                      <w:lang w:eastAsia="zh-CN"/>
                    </w:rPr>
                    <w:t xml:space="preserve">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r>
                    <w:rPr>
                      <w:rFonts w:eastAsia="ＭＳ 明朝"/>
                      <w:i/>
                    </w:rPr>
                    <w:t>initialDownlinkBWP-RedCap</w:t>
                  </w:r>
                  <w:r>
                    <w:rPr>
                      <w:rFonts w:eastAsia="ＭＳ 明朝"/>
                    </w:rPr>
                    <w:t xml:space="preserve"> in </w:t>
                  </w:r>
                  <w:r>
                    <w:rPr>
                      <w:rFonts w:eastAsia="ＭＳ 明朝"/>
                      <w:i/>
                      <w:iCs/>
                    </w:rPr>
                    <w:t>DownlinkConfi</w:t>
                  </w:r>
                  <w:r>
                    <w:rPr>
                      <w:rFonts w:eastAsia="ＭＳ 明朝"/>
                      <w:i/>
                      <w:iCs/>
                    </w:rPr>
                    <w:t>gCommonSIB</w:t>
                  </w:r>
                  <w:r>
                    <w:rPr>
                      <w:rFonts w:eastAsia="ＭＳ 明朝"/>
                    </w:rPr>
                    <w:t xml:space="preserve">, and an UL BWP by </w:t>
                  </w:r>
                  <w:r>
                    <w:rPr>
                      <w:rFonts w:eastAsia="ＭＳ 明朝"/>
                      <w:i/>
                    </w:rPr>
                    <w:t>initialUplinkBWP-RedCap</w:t>
                  </w:r>
                  <w:r>
                    <w:rPr>
                      <w:rFonts w:eastAsia="ＭＳ 明朝"/>
                    </w:rPr>
                    <w:t xml:space="preserve"> in </w:t>
                  </w:r>
                  <w:bookmarkStart w:id="3" w:name="_Hlk86909075"/>
                  <w:r>
                    <w:rPr>
                      <w:rFonts w:eastAsia="ＭＳ 明朝"/>
                      <w:i/>
                      <w:iCs/>
                    </w:rPr>
                    <w:t>Uplink</w:t>
                  </w:r>
                  <w:bookmarkEnd w:id="3"/>
                  <w:r>
                    <w:rPr>
                      <w:rFonts w:eastAsia="ＭＳ 明朝"/>
                      <w:i/>
                      <w:iCs/>
                    </w:rPr>
                    <w:t>ConfigCommonSIB</w:t>
                  </w:r>
                  <w:r>
                    <w:rPr>
                      <w:lang w:eastAsia="zh-CN"/>
                    </w:rPr>
                    <w:t xml:space="preserve">. If </w:t>
                  </w:r>
                  <w:r>
                    <w:rPr>
                      <w:rFonts w:eastAsia="ＭＳ 明朝"/>
                      <w:i/>
                    </w:rPr>
                    <w:t>initialUplinkBWP</w:t>
                  </w:r>
                  <w:r>
                    <w:rPr>
                      <w:rFonts w:eastAsia="ＭＳ 明朝"/>
                    </w:rPr>
                    <w:t xml:space="preserve"> in </w:t>
                  </w:r>
                  <w:r>
                    <w:rPr>
                      <w:rFonts w:eastAsia="ＭＳ 明朝"/>
                      <w:i/>
                      <w:iCs/>
                    </w:rPr>
                    <w:t>UplinkConfigCommonSIB</w:t>
                  </w:r>
                  <w:r>
                    <w:rPr>
                      <w:rFonts w:eastAsia="ＭＳ 明朝"/>
                    </w:rPr>
                    <w:t xml:space="preserve"> indicates an UL BWP that is larger than a maximum UL BWP that a UE supports, the UE expects to be provided an UL BWP by </w:t>
                  </w:r>
                  <w:r>
                    <w:rPr>
                      <w:rFonts w:eastAsia="ＭＳ 明朝"/>
                      <w:i/>
                    </w:rPr>
                    <w:t>initialUplinkBWP-RedCap</w:t>
                  </w:r>
                  <w:r>
                    <w:rPr>
                      <w:rFonts w:eastAsia="ＭＳ 明朝"/>
                    </w:rPr>
                    <w:t xml:space="preserve"> in </w:t>
                  </w:r>
                  <w:r>
                    <w:rPr>
                      <w:rFonts w:eastAsia="ＭＳ 明朝"/>
                      <w:i/>
                      <w:iCs/>
                    </w:rPr>
                    <w:t>UplinkConfigCommonSIB</w:t>
                  </w:r>
                  <w:r>
                    <w:rPr>
                      <w:rFonts w:eastAsia="ＭＳ 明朝"/>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t xml:space="preserve"> </w:t>
            </w:r>
          </w:p>
        </w:tc>
      </w:tr>
      <w:tr w:rsidR="00186642" w14:paraId="1D47D72A" w14:textId="77777777">
        <w:tc>
          <w:tcPr>
            <w:tcW w:w="1479" w:type="dxa"/>
          </w:tcPr>
          <w:p w14:paraId="1514C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lastRenderedPageBreak/>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ZTE, Sanechips</w:t>
            </w:r>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62822AD6" w14:textId="78C02D6B" w:rsidR="0038634A" w:rsidRPr="0038634A" w:rsidRDefault="0038634A">
            <w:pPr>
              <w:tabs>
                <w:tab w:val="left" w:pos="551"/>
              </w:tabs>
              <w:rPr>
                <w:rFonts w:eastAsia="游明朝" w:hint="eastAsia"/>
                <w:lang w:val="en-US" w:eastAsia="ja-JP"/>
              </w:rPr>
            </w:pPr>
            <w:r>
              <w:rPr>
                <w:rFonts w:eastAsia="游明朝" w:hint="eastAsia"/>
                <w:lang w:val="en-US" w:eastAsia="ja-JP"/>
              </w:rPr>
              <w:t>Y</w:t>
            </w:r>
          </w:p>
        </w:tc>
        <w:tc>
          <w:tcPr>
            <w:tcW w:w="6780" w:type="dxa"/>
          </w:tcPr>
          <w:p w14:paraId="36B23C45" w14:textId="77777777" w:rsidR="0038634A" w:rsidRDefault="0038634A">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1"/>
        <w:numPr>
          <w:ilvl w:val="0"/>
          <w:numId w:val="0"/>
        </w:numPr>
        <w:ind w:left="1134" w:hanging="1134"/>
        <w:rPr>
          <w:lang w:val="en-US"/>
        </w:rPr>
      </w:pPr>
      <w:r>
        <w:rPr>
          <w:lang w:val="en-US"/>
        </w:rPr>
        <w:t>Issue #8: Msg1/MsgA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0" w:history="1">
        <w:r>
          <w:rPr>
            <w:rStyle w:val="afa"/>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1" w:history="1">
        <w:r>
          <w:rPr>
            <w:rStyle w:val="afa"/>
            <w:rFonts w:eastAsia="游明朝"/>
            <w:lang w:val="en-US" w:eastAsia="ja-JP"/>
          </w:rPr>
          <w:t>38.213</w:t>
        </w:r>
      </w:hyperlink>
      <w:r>
        <w:rPr>
          <w:lang w:val="en-US" w:eastAsia="ja-JP"/>
        </w:rPr>
        <w:t xml:space="preserve"> clause 17.1, corresponding to the text in clauses 8.2 and 8.2A for non-RedCap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w:t>
      </w:r>
      <w:r>
        <w:rPr>
          <w:b/>
          <w:bCs/>
          <w:lang w:val="en-US"/>
        </w:rPr>
        <w:t>ity (Low/Medium/High).</w:t>
      </w:r>
    </w:p>
    <w:tbl>
      <w:tblPr>
        <w:tblStyle w:val="af7"/>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 xml:space="preserve">We cannot tell whether it is an optimization or an essential </w:t>
            </w:r>
            <w:r>
              <w:rPr>
                <w:rFonts w:eastAsiaTheme="minorEastAsia"/>
                <w:lang w:val="en-US" w:eastAsia="zh-CN"/>
              </w:rPr>
              <w:t>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DengXian"/>
              </w:rPr>
            </w:pPr>
            <w:r>
              <w:rPr>
                <w:rFonts w:eastAsia="DengXian"/>
              </w:rPr>
              <w:t>We think the following sentences can be added in Clause 17.1 of TS 38.213 for clarification:</w:t>
            </w:r>
          </w:p>
          <w:p w14:paraId="00985870" w14:textId="77777777" w:rsidR="00186642" w:rsidRDefault="00186642">
            <w:pPr>
              <w:spacing w:after="0" w:line="240" w:lineRule="auto"/>
              <w:jc w:val="left"/>
              <w:rPr>
                <w:rFonts w:eastAsia="DengXian"/>
                <w:sz w:val="22"/>
                <w:szCs w:val="22"/>
              </w:rPr>
            </w:pPr>
          </w:p>
          <w:p w14:paraId="6F856BB2" w14:textId="77777777" w:rsidR="00186642" w:rsidRDefault="0038634A">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DengXian"/>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游明朝" w:hint="eastAsia"/>
                <w:lang w:val="en-US" w:eastAsia="ja-JP"/>
              </w:rPr>
              <w:t>D</w:t>
            </w:r>
            <w:r>
              <w:rPr>
                <w:rFonts w:eastAsia="游明朝"/>
                <w:lang w:val="en-US" w:eastAsia="ja-JP"/>
              </w:rPr>
              <w:t>OCO</w:t>
            </w:r>
            <w:r>
              <w:rPr>
                <w:rFonts w:eastAsia="游明朝"/>
                <w:lang w:val="en-US" w:eastAsia="ja-JP"/>
              </w:rPr>
              <w:t>MO</w:t>
            </w:r>
          </w:p>
        </w:tc>
        <w:tc>
          <w:tcPr>
            <w:tcW w:w="1372" w:type="dxa"/>
          </w:tcPr>
          <w:p w14:paraId="308B6E89" w14:textId="77777777" w:rsidR="00186642" w:rsidRDefault="0038634A">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701C45B3" w14:textId="77777777" w:rsidR="00186642" w:rsidRDefault="0038634A">
            <w:pPr>
              <w:rPr>
                <w:rFonts w:eastAsiaTheme="minorEastAsia"/>
                <w:lang w:val="en-US" w:eastAsia="zh-CN"/>
              </w:rPr>
            </w:pPr>
            <w:r>
              <w:rPr>
                <w:rFonts w:eastAsia="游明朝"/>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45898326" w14:textId="77777777" w:rsidR="00186642" w:rsidRDefault="0038634A">
            <w:pPr>
              <w:rPr>
                <w:rFonts w:eastAsiaTheme="minorEastAsia"/>
                <w:lang w:val="en-US" w:eastAsia="zh-CN"/>
              </w:rPr>
            </w:pPr>
            <w:r>
              <w:rPr>
                <w:rFonts w:eastAsiaTheme="minorEastAsia"/>
                <w:lang w:val="en-US" w:eastAsia="zh-CN"/>
              </w:rPr>
              <w:t>Moreover, this aspect was discussed during WI phase and it was clarified that the spec refers to a time-line w.r.t. to UE higher layers ("If requested by higher layers"), and thus, for RedCap UEs with any constraints (HD-FDD or lack of SSB in DL BWP) can b</w:t>
            </w:r>
            <w:r>
              <w:rPr>
                <w:rFonts w:eastAsiaTheme="minorEastAsia"/>
                <w:lang w:val="en-US" w:eastAsia="zh-CN"/>
              </w:rPr>
              <w:t xml:space="preserve">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D920079" w14:textId="77777777" w:rsidR="00186642" w:rsidRDefault="0038634A">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r w:rsidR="00186642" w14:paraId="30A5E817" w14:textId="77777777">
        <w:tc>
          <w:tcPr>
            <w:tcW w:w="1479" w:type="dxa"/>
          </w:tcPr>
          <w:p w14:paraId="3E9BA670" w14:textId="77777777" w:rsidR="00186642" w:rsidRDefault="0038634A">
            <w:pPr>
              <w:rPr>
                <w:rFonts w:eastAsia="游明朝"/>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游明朝"/>
                <w:lang w:val="en-US" w:eastAsia="ja-JP"/>
              </w:rPr>
            </w:pPr>
            <w:r>
              <w:rPr>
                <w:rFonts w:eastAsiaTheme="minorEastAsia"/>
                <w:lang w:val="en-US" w:eastAsia="zh-CN"/>
              </w:rPr>
              <w:t>Medium</w:t>
            </w:r>
          </w:p>
        </w:tc>
        <w:tc>
          <w:tcPr>
            <w:tcW w:w="6780" w:type="dxa"/>
          </w:tcPr>
          <w:p w14:paraId="488BA781" w14:textId="77777777" w:rsidR="00186642" w:rsidRDefault="0038634A">
            <w:pPr>
              <w:rPr>
                <w:rFonts w:eastAsia="游明朝"/>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 xml:space="preserve">Most received responses indicate that Issue #8 should have low priority in this RAN1 meeting. A few responses indicate that they are open to discuss whether a clarification is needed. The proponent has </w:t>
            </w:r>
            <w:r>
              <w:rPr>
                <w:rFonts w:eastAsia="Malgun Gothic"/>
                <w:lang w:val="en-US" w:eastAsia="ko-KR"/>
              </w:rPr>
              <w:t>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t>Proposal 8-1b</w:t>
            </w:r>
            <w:r>
              <w:rPr>
                <w:b/>
                <w:bCs/>
                <w:lang w:val="en-US"/>
              </w:rPr>
              <w:t>: Agree the following TP for 38.213 clause 17.1.</w:t>
            </w:r>
          </w:p>
          <w:tbl>
            <w:tblPr>
              <w:tblStyle w:val="af7"/>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 xml:space="preserve">When a RedCap UE performs Type-1 or Type 2 random access </w:t>
                  </w:r>
                  <w:r>
                    <w:rPr>
                      <w:color w:val="C00000"/>
                      <w:u w:val="single"/>
                      <w:lang w:eastAsia="zh-CN"/>
                    </w:rPr>
                    <w:t>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ＭＳ 明朝"/>
                <w:bCs/>
                <w:iCs/>
                <w:lang w:eastAsia="ja-JP"/>
              </w:rPr>
              <w:t xml:space="preserve">in case the active BWP </w:t>
            </w:r>
            <w:r>
              <w:rPr>
                <w:rFonts w:eastAsia="ＭＳ 明朝"/>
                <w:bCs/>
                <w:iCs/>
                <w:u w:val="single"/>
                <w:lang w:eastAsia="ja-JP"/>
              </w:rPr>
              <w:t>without SSB</w:t>
            </w:r>
            <w:r>
              <w:rPr>
                <w:rFonts w:eastAsia="ＭＳ 明朝"/>
                <w:bCs/>
                <w:iCs/>
                <w:lang w:eastAsia="ja-JP"/>
              </w:rPr>
              <w:t xml:space="preserve"> for RedCap UE and for the legacy UE supporting FG6-1a.</w:t>
            </w:r>
            <w:r>
              <w:rPr>
                <w:rFonts w:eastAsia="ＭＳ 明朝"/>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w:t>
            </w:r>
            <w:r>
              <w:rPr>
                <w:rFonts w:eastAsiaTheme="minorEastAsia"/>
                <w:lang w:val="en-US" w:eastAsia="zh-CN"/>
              </w:rPr>
              <w:t xml:space="preserve">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w:t>
            </w:r>
            <w:r>
              <w:rPr>
                <w:rFonts w:eastAsia="DengXian"/>
                <w:b/>
                <w:bCs/>
                <w:i/>
                <w:iCs/>
                <w:color w:val="FF0000"/>
              </w:rPr>
              <w:t xml:space="preserve">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RedCap UE. Therefore, we are not </w:t>
            </w:r>
            <w:r>
              <w:rPr>
                <w:rFonts w:eastAsiaTheme="minorEastAsia"/>
                <w:lang w:val="en-US" w:eastAsia="zh-CN"/>
              </w:rPr>
              <w:t>convinced to couple the discussion for RedCap UE procedure with a feature that applies to non-RedCap UE. Besides, please note in discussing the R16 CR (R1-2205297) for msg1/msgA retransmission timeline of non-RedCap UE, it is your suggestion to discuss the</w:t>
            </w:r>
            <w:r>
              <w:rPr>
                <w:rFonts w:eastAsiaTheme="minorEastAsia"/>
                <w:lang w:val="en-US" w:eastAsia="zh-CN"/>
              </w:rPr>
              <w:t xml:space="preserve"> proposal for RedCap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zh-CN"/>
              </w:rPr>
              <w:lastRenderedPageBreak/>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2"/>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Nordic, thanks for your question. We think there is no typo in FL3 Proposal 8-1b. When the active DL BWP of RedCap UE incl</w:t>
            </w:r>
            <w:r>
              <w:rPr>
                <w:rFonts w:eastAsiaTheme="minorEastAsia"/>
                <w:lang w:val="en-US" w:eastAsia="zh-CN"/>
              </w:rPr>
              <w:t xml:space="preserve">udes SSB, RedCap UE shall be able to maintain the same timeline as legacy (eMBB) UE in msg1/msgA retransmission. </w:t>
            </w:r>
          </w:p>
          <w:p w14:paraId="6649C364" w14:textId="77777777" w:rsidR="00186642" w:rsidRDefault="0038634A">
            <w:pPr>
              <w:rPr>
                <w:rFonts w:eastAsiaTheme="minorEastAsia"/>
                <w:lang w:val="en-US" w:eastAsia="zh-CN"/>
              </w:rPr>
            </w:pPr>
            <w:r>
              <w:rPr>
                <w:rFonts w:eastAsiaTheme="minorEastAsia"/>
                <w:lang w:val="en-US" w:eastAsia="zh-CN"/>
              </w:rPr>
              <w:t>Our intention is to clarify RedCap UE’s behavior for RA and minimize the specification impacts. For the case that RedCap UE is performing RA i</w:t>
            </w:r>
            <w:r>
              <w:rPr>
                <w:rFonts w:eastAsiaTheme="minorEastAsia"/>
                <w:lang w:val="en-US" w:eastAsia="zh-CN"/>
              </w:rPr>
              <w:t xml:space="preserve">n an SSB-less active DL BWP, we agree with other companies that it can be left to RedCap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w:t>
            </w:r>
            <w:r>
              <w:rPr>
                <w:rFonts w:eastAsiaTheme="minorEastAsia" w:hint="eastAsia"/>
                <w:lang w:val="en-US" w:eastAsia="zh-CN"/>
              </w:rPr>
              <w:t xml:space="preserve">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s CR is the best way we can achieve, which can put an end to similar discussion in th</w:t>
            </w:r>
            <w:r>
              <w:rPr>
                <w:rFonts w:eastAsiaTheme="minorEastAsia" w:hint="eastAsia"/>
                <w:lang w:val="en-US" w:eastAsia="zh-CN"/>
              </w:rPr>
              <w:t xml:space="preserve">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w:t>
            </w:r>
            <w:r>
              <w:rPr>
                <w:rFonts w:eastAsiaTheme="minorEastAsia"/>
                <w:lang w:val="en-US" w:eastAsia="zh-CN"/>
              </w:rPr>
              <w:t>ce of the TP, a RedCap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Thus, we do not see a need to distinguish between the cases when SSB may be included in DL BWP as suggested by the pr</w:t>
            </w:r>
            <w:r>
              <w:rPr>
                <w:rFonts w:eastAsiaTheme="minorEastAsia"/>
                <w:lang w:val="en-US" w:eastAsia="zh-CN"/>
              </w:rPr>
              <w:t xml:space="preserve">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Yes, the suggestion from us is the RedCap related issues should be brought up and can be in Rel-17 RedCap session, since Rel-16 CR is not right place to discuss Rel-17 issue. But whether the RedCap “issue” i</w:t>
            </w:r>
            <w:r>
              <w:rPr>
                <w:rFonts w:eastAsiaTheme="minorEastAsia"/>
                <w:lang w:val="en-US" w:eastAsia="zh-CN"/>
              </w:rPr>
              <w:t xml:space="preserve">s essential and need to be discussed should assessed by all companies who join in Rel-17 RedCap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w:t>
            </w:r>
            <w:r>
              <w:rPr>
                <w:rFonts w:eastAsiaTheme="minorEastAsia"/>
                <w:lang w:val="en-US" w:eastAsia="zh-CN"/>
              </w:rPr>
              <w:t xml:space="preserve">the RedCap UE behavior is the same as legacy UE, we think it is not need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lastRenderedPageBreak/>
              <w:t>ZTE, Sanechips</w:t>
            </w:r>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 xml:space="preserve">We are OK with the clarification of keeping the same behavior with legacy UE. However, we do not think it is necessary to have </w:t>
            </w:r>
            <w:r>
              <w:rPr>
                <w:rFonts w:eastAsiaTheme="minorEastAsia" w:hint="eastAsia"/>
                <w:lang w:val="en-US" w:eastAsia="zh-CN"/>
              </w:rPr>
              <w:t>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0539DBF0" w14:textId="11525FAF" w:rsidR="0038634A" w:rsidRDefault="0038634A" w:rsidP="0038634A">
            <w:pPr>
              <w:rPr>
                <w:rFonts w:eastAsiaTheme="minorEastAsia" w:hint="eastAsia"/>
                <w:lang w:val="en-US" w:eastAsia="zh-CN"/>
              </w:rPr>
            </w:pPr>
            <w:r>
              <w:rPr>
                <w:rFonts w:eastAsia="游明朝" w:hint="eastAsia"/>
                <w:lang w:val="en-US" w:eastAsia="ja-JP"/>
              </w:rPr>
              <w:t>O</w:t>
            </w:r>
            <w:r>
              <w:rPr>
                <w:rFonts w:eastAsia="游明朝"/>
                <w:lang w:val="en-US" w:eastAsia="ja-JP"/>
              </w:rPr>
              <w:t xml:space="preserve">n the other hand, the only difference of SSB-based RA between RedCap UEs and non-RedCap UEs lies in the fact that the RedCap UEs can be configured with SSB-based RA for initial DL BWP without SSB. Then the part to be clarified </w:t>
            </w:r>
            <w:r>
              <w:rPr>
                <w:rFonts w:eastAsia="游明朝"/>
                <w:lang w:val="en-US" w:eastAsia="ja-JP"/>
              </w:rPr>
              <w:t>may</w:t>
            </w:r>
            <w:r>
              <w:rPr>
                <w:rFonts w:eastAsia="游明朝"/>
                <w:lang w:val="en-US" w:eastAsia="ja-JP"/>
              </w:rPr>
              <w:t xml:space="preserve"> be the </w:t>
            </w:r>
            <w:r w:rsidRPr="00EB0CEE">
              <w:rPr>
                <w:rFonts w:eastAsia="游明朝"/>
                <w:lang w:val="en-US" w:eastAsia="ja-JP"/>
              </w:rPr>
              <w:t xml:space="preserve">timeline requirement for MSG1/A retransmission for </w:t>
            </w:r>
            <w:r>
              <w:rPr>
                <w:rFonts w:eastAsia="游明朝"/>
                <w:lang w:val="en-US" w:eastAsia="ja-JP"/>
              </w:rPr>
              <w:t xml:space="preserve">initial DL BWP </w:t>
            </w:r>
            <w:r w:rsidRPr="00B3103D">
              <w:rPr>
                <w:rFonts w:eastAsia="游明朝"/>
                <w:b/>
                <w:bCs/>
                <w:lang w:val="en-US" w:eastAsia="ja-JP"/>
              </w:rPr>
              <w:t>without</w:t>
            </w:r>
            <w:r>
              <w:rPr>
                <w:rFonts w:eastAsia="游明朝"/>
                <w:lang w:val="en-US" w:eastAsia="ja-JP"/>
              </w:rPr>
              <w:t xml:space="preserve"> SSB. We can have either a conclusion or TP to clarify it. Then for DL BWP with SSB, according to the statement “</w:t>
            </w:r>
            <w:r w:rsidRPr="0038634A">
              <w:rPr>
                <w:rFonts w:eastAsia="游明朝"/>
                <w:lang w:val="en-US" w:eastAsia="ja-JP"/>
              </w:rPr>
              <w:t>Procedures for a RedCap UE are same as described for a UE in all other clauses of this document unless stated otherwise.</w:t>
            </w:r>
            <w:r>
              <w:rPr>
                <w:rFonts w:eastAsia="游明朝"/>
                <w:lang w:val="en-US" w:eastAsia="ja-JP"/>
              </w:rPr>
              <w:t>” in clause 17.1, the RedCap UEs follow the same behaviors as non-RedCap UEs in clauses 8.2 and 8.2A.</w:t>
            </w:r>
          </w:p>
        </w:tc>
      </w:tr>
    </w:tbl>
    <w:p w14:paraId="192B72C3" w14:textId="77777777" w:rsidR="00186642" w:rsidRDefault="00186642"/>
    <w:p w14:paraId="32DE63F4" w14:textId="77777777" w:rsidR="00186642" w:rsidRDefault="0038634A">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4"/>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38634A">
            <w:pPr>
              <w:jc w:val="left"/>
              <w:rPr>
                <w:color w:val="0000FF"/>
                <w:u w:val="single"/>
                <w:lang w:val="en-US"/>
              </w:rPr>
            </w:pPr>
            <w:hyperlink r:id="rId53" w:history="1">
              <w:r>
                <w:rPr>
                  <w:rStyle w:val="afa"/>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38634A">
            <w:pPr>
              <w:jc w:val="left"/>
              <w:rPr>
                <w:lang w:val="en-US"/>
              </w:rPr>
            </w:pPr>
            <w:hyperlink r:id="rId54" w:history="1">
              <w:r>
                <w:rPr>
                  <w:rStyle w:val="afa"/>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38634A">
            <w:pPr>
              <w:jc w:val="left"/>
              <w:rPr>
                <w:rFonts w:eastAsia="Calibri"/>
                <w:color w:val="0000FF"/>
                <w:szCs w:val="22"/>
                <w:u w:val="single"/>
                <w:lang w:val="en-US"/>
              </w:rPr>
            </w:pPr>
            <w:hyperlink r:id="rId55" w:history="1">
              <w:r>
                <w:rPr>
                  <w:rStyle w:val="afa"/>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RAN1 agreements for Rel-17 NR RedCap</w:t>
            </w:r>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38634A">
            <w:pPr>
              <w:jc w:val="left"/>
              <w:rPr>
                <w:rFonts w:eastAsia="Calibri"/>
                <w:lang w:val="en-US"/>
              </w:rPr>
            </w:pPr>
            <w:hyperlink r:id="rId56" w:history="1">
              <w:r>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FL summary #3 for Rel-17 RedCap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38634A">
            <w:pPr>
              <w:jc w:val="left"/>
              <w:rPr>
                <w:rFonts w:eastAsia="Calibri"/>
                <w:lang w:val="en-US"/>
              </w:rPr>
            </w:pPr>
            <w:hyperlink r:id="rId57" w:history="1">
              <w:r>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38634A">
            <w:pPr>
              <w:jc w:val="left"/>
              <w:rPr>
                <w:rStyle w:val="afa"/>
                <w:color w:val="0000FF"/>
                <w:lang w:val="en-US" w:eastAsia="sv-SE"/>
              </w:rPr>
            </w:pPr>
            <w:hyperlink r:id="rId58" w:history="1">
              <w:r>
                <w:rPr>
                  <w:rStyle w:val="afa"/>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Corrections and clarifications of RedCap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38634A">
            <w:pPr>
              <w:jc w:val="left"/>
              <w:rPr>
                <w:rStyle w:val="afa"/>
                <w:color w:val="0000FF"/>
                <w:lang w:val="en-US" w:eastAsia="sv-SE"/>
              </w:rPr>
            </w:pPr>
            <w:hyperlink r:id="rId59" w:history="1">
              <w:r>
                <w:rPr>
                  <w:rStyle w:val="afa"/>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w:t>
            </w:r>
            <w:r>
              <w:t>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r>
              <w:t>Spreadtrum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38634A">
            <w:pPr>
              <w:jc w:val="left"/>
              <w:rPr>
                <w:rStyle w:val="afa"/>
                <w:color w:val="0000FF"/>
                <w:lang w:val="en-US" w:eastAsia="sv-SE"/>
              </w:rPr>
            </w:pPr>
            <w:hyperlink r:id="rId60" w:history="1">
              <w:r>
                <w:rPr>
                  <w:rStyle w:val="afa"/>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 xml:space="preserve">Vivo, Sharp, </w:t>
            </w:r>
            <w:r>
              <w:t>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38634A">
            <w:pPr>
              <w:jc w:val="left"/>
              <w:rPr>
                <w:rStyle w:val="afa"/>
                <w:color w:val="0000FF"/>
                <w:lang w:val="en-US" w:eastAsia="sv-SE"/>
              </w:rPr>
            </w:pPr>
            <w:hyperlink r:id="rId61" w:history="1">
              <w:r>
                <w:rPr>
                  <w:rStyle w:val="afa"/>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38634A">
            <w:pPr>
              <w:jc w:val="left"/>
              <w:rPr>
                <w:rStyle w:val="afa"/>
                <w:color w:val="0000FF"/>
                <w:lang w:val="en-US" w:eastAsia="sv-SE"/>
              </w:rPr>
            </w:pPr>
            <w:hyperlink r:id="rId62" w:history="1">
              <w:r>
                <w:rPr>
                  <w:rStyle w:val="afa"/>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38634A">
            <w:pPr>
              <w:jc w:val="left"/>
              <w:rPr>
                <w:rStyle w:val="afa"/>
                <w:color w:val="0000FF"/>
                <w:lang w:val="en-US" w:eastAsia="sv-SE"/>
              </w:rPr>
            </w:pPr>
            <w:hyperlink r:id="rId63" w:history="1">
              <w:r>
                <w:rPr>
                  <w:rStyle w:val="afa"/>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Discussion on RedCap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ZTE, Sanechips</w:t>
            </w:r>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38634A">
            <w:pPr>
              <w:jc w:val="left"/>
              <w:rPr>
                <w:rStyle w:val="afa"/>
                <w:color w:val="0000FF"/>
                <w:lang w:val="en-US" w:eastAsia="sv-SE"/>
              </w:rPr>
            </w:pPr>
            <w:hyperlink r:id="rId64" w:history="1">
              <w:r>
                <w:rPr>
                  <w:rStyle w:val="afa"/>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Correction on NCD-SSB related spec for RedCap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ZTE, Sanechips</w:t>
            </w:r>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38634A">
            <w:pPr>
              <w:jc w:val="left"/>
              <w:rPr>
                <w:rStyle w:val="afa"/>
                <w:color w:val="0000FF"/>
                <w:lang w:val="en-US" w:eastAsia="sv-SE"/>
              </w:rPr>
            </w:pPr>
            <w:hyperlink r:id="rId65" w:history="1">
              <w:r>
                <w:rPr>
                  <w:rStyle w:val="afa"/>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Correction on NCD-SSB related spec for RedCap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ZTE, Sanechips</w:t>
            </w:r>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38634A">
            <w:pPr>
              <w:jc w:val="left"/>
              <w:rPr>
                <w:rStyle w:val="afa"/>
                <w:color w:val="0000FF"/>
                <w:lang w:val="en-US" w:eastAsia="sv-SE"/>
              </w:rPr>
            </w:pPr>
            <w:hyperlink r:id="rId66" w:history="1">
              <w:r>
                <w:rPr>
                  <w:rStyle w:val="afa"/>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Correction on TDRA misalignment of PUSCH for RedCap</w:t>
            </w:r>
          </w:p>
        </w:tc>
        <w:tc>
          <w:tcPr>
            <w:tcW w:w="2551" w:type="dxa"/>
            <w:tcMar>
              <w:top w:w="0" w:type="dxa"/>
              <w:left w:w="70" w:type="dxa"/>
              <w:bottom w:w="0" w:type="dxa"/>
              <w:right w:w="70" w:type="dxa"/>
            </w:tcMar>
          </w:tcPr>
          <w:p w14:paraId="3CD2FA6C" w14:textId="77777777" w:rsidR="00186642" w:rsidRDefault="0038634A">
            <w:pPr>
              <w:jc w:val="left"/>
              <w:rPr>
                <w:lang w:val="en-US"/>
              </w:rPr>
            </w:pPr>
            <w:r>
              <w:t>Z</w:t>
            </w:r>
            <w:r>
              <w:t>TE, Sanechips</w:t>
            </w:r>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38634A">
            <w:pPr>
              <w:jc w:val="left"/>
              <w:rPr>
                <w:rStyle w:val="afa"/>
                <w:color w:val="0000FF"/>
                <w:lang w:val="en-US" w:eastAsia="sv-SE"/>
              </w:rPr>
            </w:pPr>
            <w:hyperlink r:id="rId67" w:history="1">
              <w:r>
                <w:rPr>
                  <w:rStyle w:val="afa"/>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38634A">
            <w:pPr>
              <w:jc w:val="left"/>
              <w:rPr>
                <w:rStyle w:val="afa"/>
                <w:color w:val="0000FF"/>
                <w:lang w:val="en-US" w:eastAsia="sv-SE"/>
              </w:rPr>
            </w:pPr>
            <w:hyperlink r:id="rId68" w:history="1">
              <w:r>
                <w:rPr>
                  <w:rStyle w:val="afa"/>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Editorial corrections for RedCap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lastRenderedPageBreak/>
              <w:t>[17]</w:t>
            </w:r>
          </w:p>
        </w:tc>
        <w:tc>
          <w:tcPr>
            <w:tcW w:w="1456" w:type="dxa"/>
            <w:tcMar>
              <w:top w:w="0" w:type="dxa"/>
              <w:left w:w="70" w:type="dxa"/>
              <w:bottom w:w="0" w:type="dxa"/>
              <w:right w:w="70" w:type="dxa"/>
            </w:tcMar>
          </w:tcPr>
          <w:p w14:paraId="67D4D9B0" w14:textId="77777777" w:rsidR="00186642" w:rsidRDefault="0038634A">
            <w:pPr>
              <w:jc w:val="left"/>
              <w:rPr>
                <w:rStyle w:val="afa"/>
                <w:color w:val="0000FF"/>
                <w:lang w:val="en-US" w:eastAsia="sv-SE"/>
              </w:rPr>
            </w:pPr>
            <w:hyperlink r:id="rId69" w:history="1">
              <w:r>
                <w:rPr>
                  <w:rStyle w:val="afa"/>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38634A">
            <w:pPr>
              <w:jc w:val="left"/>
              <w:rPr>
                <w:rStyle w:val="afa"/>
                <w:color w:val="0000FF"/>
                <w:lang w:val="en-US" w:eastAsia="sv-SE"/>
              </w:rPr>
            </w:pPr>
            <w:hyperlink r:id="rId70" w:history="1">
              <w:r>
                <w:rPr>
                  <w:rStyle w:val="afa"/>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t>[19]</w:t>
            </w:r>
          </w:p>
        </w:tc>
        <w:tc>
          <w:tcPr>
            <w:tcW w:w="1456" w:type="dxa"/>
            <w:tcMar>
              <w:top w:w="0" w:type="dxa"/>
              <w:left w:w="70" w:type="dxa"/>
              <w:bottom w:w="0" w:type="dxa"/>
              <w:right w:w="70" w:type="dxa"/>
            </w:tcMar>
          </w:tcPr>
          <w:p w14:paraId="3C77E40D" w14:textId="77777777" w:rsidR="00186642" w:rsidRDefault="0038634A">
            <w:pPr>
              <w:jc w:val="left"/>
              <w:rPr>
                <w:rStyle w:val="afa"/>
                <w:color w:val="0000FF"/>
                <w:lang w:val="en-US" w:eastAsia="sv-SE"/>
              </w:rPr>
            </w:pPr>
            <w:hyperlink r:id="rId71" w:history="1">
              <w:r>
                <w:rPr>
                  <w:rStyle w:val="afa"/>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Corrections on</w:t>
            </w:r>
            <w:r>
              <w:t xml:space="preserve"> available slot determination for PUSCH repetition type A and TBoMS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38634A">
            <w:pPr>
              <w:jc w:val="left"/>
              <w:rPr>
                <w:rStyle w:val="afa"/>
                <w:color w:val="0000FF"/>
                <w:lang w:val="en-US" w:eastAsia="sv-SE"/>
              </w:rPr>
            </w:pPr>
            <w:hyperlink r:id="rId72" w:history="1">
              <w:r>
                <w:rPr>
                  <w:rStyle w:val="afa"/>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Correction on NCD-SSB for RedCap UE</w:t>
            </w:r>
          </w:p>
        </w:tc>
        <w:tc>
          <w:tcPr>
            <w:tcW w:w="2551" w:type="dxa"/>
            <w:tcMar>
              <w:top w:w="0" w:type="dxa"/>
              <w:left w:w="70" w:type="dxa"/>
              <w:bottom w:w="0" w:type="dxa"/>
              <w:right w:w="70" w:type="dxa"/>
            </w:tcMar>
          </w:tcPr>
          <w:p w14:paraId="65D629A4" w14:textId="77777777" w:rsidR="00186642" w:rsidRDefault="0038634A">
            <w:pPr>
              <w:jc w:val="left"/>
              <w:rPr>
                <w:lang w:val="en-US"/>
              </w:rPr>
            </w:pPr>
            <w:r>
              <w:t>Huawei, HiSilicon</w:t>
            </w:r>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38634A">
            <w:pPr>
              <w:jc w:val="left"/>
              <w:rPr>
                <w:rStyle w:val="afa"/>
                <w:color w:val="0000FF"/>
                <w:lang w:val="en-US" w:eastAsia="sv-SE"/>
              </w:rPr>
            </w:pPr>
            <w:hyperlink r:id="rId73" w:history="1">
              <w:r>
                <w:rPr>
                  <w:rStyle w:val="afa"/>
                  <w:color w:val="0000FF"/>
                </w:rPr>
                <w:t>R1-22099</w:t>
              </w:r>
              <w:r>
                <w:rPr>
                  <w:rStyle w:val="afa"/>
                  <w:color w:val="0000FF"/>
                </w:rPr>
                <w:t>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Remaining issues on procedures of RedCap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38634A">
            <w:pPr>
              <w:jc w:val="left"/>
            </w:pPr>
            <w:hyperlink r:id="rId74" w:history="1">
              <w:r>
                <w:rPr>
                  <w:rStyle w:val="afa"/>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Correction on cancellation of PUSCH repetitions and TBoMS</w:t>
            </w:r>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38634A">
            <w:pPr>
              <w:jc w:val="left"/>
            </w:pPr>
            <w:hyperlink r:id="rId75" w:history="1">
              <w:r>
                <w:rPr>
                  <w:rStyle w:val="afa"/>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ZTE, Sanechips</w:t>
            </w:r>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38634A">
            <w:pPr>
              <w:jc w:val="left"/>
            </w:pPr>
            <w:hyperlink r:id="rId76" w:history="1">
              <w:r>
                <w:rPr>
                  <w:rStyle w:val="afa"/>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ZTE, Sanechips</w:t>
            </w:r>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38634A">
            <w:pPr>
              <w:jc w:val="left"/>
            </w:pPr>
            <w:hyperlink r:id="rId77" w:history="1">
              <w:r>
                <w:rPr>
                  <w:rStyle w:val="afa"/>
                  <w:color w:val="0000FF"/>
                </w:rPr>
                <w:t>R1-221</w:t>
              </w:r>
              <w:r>
                <w:rPr>
                  <w:rStyle w:val="afa"/>
                  <w:color w:val="0000FF"/>
                </w:rPr>
                <w:t>0245</w:t>
              </w:r>
            </w:hyperlink>
          </w:p>
        </w:tc>
        <w:tc>
          <w:tcPr>
            <w:tcW w:w="4921" w:type="dxa"/>
            <w:tcMar>
              <w:top w:w="0" w:type="dxa"/>
              <w:left w:w="70" w:type="dxa"/>
              <w:bottom w:w="0" w:type="dxa"/>
              <w:right w:w="70" w:type="dxa"/>
            </w:tcMar>
          </w:tcPr>
          <w:p w14:paraId="089EBB83" w14:textId="77777777" w:rsidR="00186642" w:rsidRDefault="0038634A">
            <w:pPr>
              <w:jc w:val="left"/>
            </w:pPr>
            <w:r>
              <w:t>FL summary #1 on Rel-17 RedCap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38634A">
            <w:pPr>
              <w:jc w:val="left"/>
            </w:pPr>
            <w:hyperlink r:id="rId78" w:history="1">
              <w:r>
                <w:rPr>
                  <w:rStyle w:val="afa"/>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FL summary #2 on Rel-17 RedCap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F6473"/>
  <w15:docId w15:val="{3E2BD372-E45B-4A4D-8EA7-7F0EF8C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rPr>
      <w:color w:val="605E5C"/>
      <w:shd w:val="clear" w:color="auto" w:fill="E1DFDD"/>
    </w:rPr>
  </w:style>
  <w:style w:type="character" w:customStyle="1" w:styleId="UnresolvedMention24">
    <w:name w:val="Unresolved Mention2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Docs/R1-2207729.zip" TargetMode="External"/><Relationship Id="rId18" Type="http://schemas.openxmlformats.org/officeDocument/2006/relationships/hyperlink" Target="https://www.3gpp.org/ftp/tsg_ran/WG1_RL1/TSGR1_110/Docs/R1-2207729.zip" TargetMode="External"/><Relationship Id="rId26" Type="http://schemas.openxmlformats.org/officeDocument/2006/relationships/hyperlink" Target="https://www.3gpp.org/ftp/TSG_RAN/WG1_RL1/TSGR1_110b-e/Docs/R1-2209850.zip" TargetMode="External"/><Relationship Id="rId39" Type="http://schemas.openxmlformats.org/officeDocument/2006/relationships/hyperlink" Target="https://www.3gpp.org/ftp/tsg_ran/WG1_RL1/TSGR1_110/Docs/R1-2207729.zip" TargetMode="External"/><Relationship Id="rId21" Type="http://schemas.openxmlformats.org/officeDocument/2006/relationships/hyperlink" Target="https://www.3gpp.org/ftp/Specs/archive/38_series/38.213/38213-h30.zip" TargetMode="External"/><Relationship Id="rId34" Type="http://schemas.openxmlformats.org/officeDocument/2006/relationships/hyperlink" Target="https://www.3gpp.org/ftp/Specs/archive/38_series/38.214/38214-h30.zip" TargetMode="External"/><Relationship Id="rId42" Type="http://schemas.openxmlformats.org/officeDocument/2006/relationships/hyperlink" Target="https://www.3gpp.org/ftp/TSG_RAN/WG1_RL1/TSGR1_110b-e/Docs/R1-2209188.zip" TargetMode="External"/><Relationship Id="rId47" Type="http://schemas.openxmlformats.org/officeDocument/2006/relationships/hyperlink" Target="https://www.3gpp.org/ftp/TSG_RAN/WG1_RL1/TSGR1_110b-e/Docs/R1-2208605.zip" TargetMode="External"/><Relationship Id="rId50" Type="http://schemas.openxmlformats.org/officeDocument/2006/relationships/hyperlink" Target="https://www.3gpp.org/ftp/TSG_RAN/WG1_RL1/TSGR1_110b-e/Docs/R1-2209947.zip" TargetMode="External"/><Relationship Id="rId55" Type="http://schemas.openxmlformats.org/officeDocument/2006/relationships/hyperlink" Target="https://www.3gpp.org/ftp/tsg_ran/WG1_RL1/TSGR1_110/Docs/R1-2208274.zip" TargetMode="External"/><Relationship Id="rId63" Type="http://schemas.openxmlformats.org/officeDocument/2006/relationships/hyperlink" Target="https://www.3gpp.org/ftp/TSG_RAN/WG1_RL1/TSGR1_110b-e/Docs/R1-2209186.zip" TargetMode="External"/><Relationship Id="rId68" Type="http://schemas.openxmlformats.org/officeDocument/2006/relationships/hyperlink" Target="https://www.3gpp.org/ftp/TSG_RAN/WG1_RL1/TSGR1_110b-e/Docs/R1-2209429.zip" TargetMode="External"/><Relationship Id="rId76" Type="http://schemas.openxmlformats.org/officeDocument/2006/relationships/hyperlink" Target="https://www.3gpp.org/ftp/TSG_RAN/WG1_RL1/TSGR1_110b-e/Docs/R1-2209185.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779.zip" TargetMode="External"/><Relationship Id="rId2" Type="http://schemas.openxmlformats.org/officeDocument/2006/relationships/customXml" Target="../customXml/item2.xml"/><Relationship Id="rId16" Type="http://schemas.openxmlformats.org/officeDocument/2006/relationships/hyperlink" Target="https://www.3gpp.org/ftp/TSG_RAN/WG1_RL1/TSGR1_110b-e/Docs/R1-2208323.zip" TargetMode="External"/><Relationship Id="rId29" Type="http://schemas.openxmlformats.org/officeDocument/2006/relationships/hyperlink" Target="https://www.3gpp.org/ftp/Specs/archive/38_series/38.213/38213-h30.zip" TargetMode="External"/><Relationship Id="rId11" Type="http://schemas.openxmlformats.org/officeDocument/2006/relationships/hyperlink" Target="https://www.3gpp.org/ftp/TSG_RAN/TSG_RAN/TSGR_96/Docs/RP-221163.zip" TargetMode="External"/><Relationship Id="rId24" Type="http://schemas.openxmlformats.org/officeDocument/2006/relationships/hyperlink" Target="https://www.3gpp.org/ftp/TSG_RAN/WG1_RL1/TSGR1_110b-e/Docs/R1-2209222.zip" TargetMode="External"/><Relationship Id="rId32" Type="http://schemas.openxmlformats.org/officeDocument/2006/relationships/hyperlink" Target="https://www.3gpp.org/ftp/tsg_ran/WG1_RL1/TSGR1_110/Docs/R1-2207729.zip" TargetMode="External"/><Relationship Id="rId37" Type="http://schemas.openxmlformats.org/officeDocument/2006/relationships/hyperlink" Target="https://www.3gpp.org/ftp/Specs/archive/38_series/38.214/38214-h30.zip" TargetMode="External"/><Relationship Id="rId40" Type="http://schemas.openxmlformats.org/officeDocument/2006/relationships/hyperlink" Target="https://www.3gpp.org/ftp/TSG_RAN/WG1_RL1/TSGR1_110b-e/Docs/R1-2208605.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TSG_RAN/TSG_RAN/TSGR_95e/Docs/RP-220966.zip" TargetMode="External"/><Relationship Id="rId58" Type="http://schemas.openxmlformats.org/officeDocument/2006/relationships/hyperlink" Target="https://www.3gpp.org/ftp/TSG_RAN/WG1_RL1/TSGR1_110b-e/Docs/R1-2208360.zip" TargetMode="External"/><Relationship Id="rId66" Type="http://schemas.openxmlformats.org/officeDocument/2006/relationships/hyperlink" Target="https://www.3gpp.org/ftp/TSG_RAN/WG1_RL1/TSGR1_110b-e/Docs/R1-2209189.zip" TargetMode="External"/><Relationship Id="rId74" Type="http://schemas.openxmlformats.org/officeDocument/2006/relationships/hyperlink" Target="https://www.3gpp.org/ftp/TSG_RAN/WG1_RL1/TSGR1_110b-e/Docs/R1-2209468.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1_RL1/TSGR1_110b-e/Docs/R1-2208941.zip" TargetMode="External"/><Relationship Id="rId10" Type="http://schemas.openxmlformats.org/officeDocument/2006/relationships/hyperlink" Target="https://www.3gpp.org/ftp/TSG_RAN/TSG_RAN/TSGR_95e/Docs/RP-220966.zip" TargetMode="External"/><Relationship Id="rId19" Type="http://schemas.openxmlformats.org/officeDocument/2006/relationships/hyperlink" Target="https://www.3gpp.org/ftp/Specs/archive/38_series/38.331/38331-h20.zip" TargetMode="External"/><Relationship Id="rId31" Type="http://schemas.openxmlformats.org/officeDocument/2006/relationships/hyperlink" Target="https://www.3gpp.org/ftp/TSG_RAN/WG1_RL1/TSGR1_110b-e/Docs/R1-2208360.zip" TargetMode="External"/><Relationship Id="rId44" Type="http://schemas.openxmlformats.org/officeDocument/2006/relationships/hyperlink" Target="https://www.3gpp.org/ftp/TSG_RAN/WG1_RL1/TSGR1_110b-e/Docs/R1-2209186.zip" TargetMode="External"/><Relationship Id="rId52" Type="http://schemas.openxmlformats.org/officeDocument/2006/relationships/image" Target="media/image1.png"/><Relationship Id="rId60" Type="http://schemas.openxmlformats.org/officeDocument/2006/relationships/hyperlink" Target="https://www.3gpp.org/ftp/TSG_RAN/WG1_RL1/TSGR1_110b-e/Docs/R1-2208605.zip" TargetMode="External"/><Relationship Id="rId65" Type="http://schemas.openxmlformats.org/officeDocument/2006/relationships/hyperlink" Target="https://www.3gpp.org/ftp/TSG_RAN/WG1_RL1/TSGR1_110b-e/Docs/R1-2209188.zip" TargetMode="External"/><Relationship Id="rId73" Type="http://schemas.openxmlformats.org/officeDocument/2006/relationships/hyperlink" Target="https://www.3gpp.org/ftp/TSG_RAN/WG1_RL1/TSGR1_110b-e/Docs/R1-2209947.zip" TargetMode="External"/><Relationship Id="rId78" Type="http://schemas.openxmlformats.org/officeDocument/2006/relationships/hyperlink" Target="https://www.3gpp.org/ftp/TSG_RAN/WG1_RL1/TSGR1_110b-e/Docs/R1-22102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47.zip" TargetMode="External"/><Relationship Id="rId22" Type="http://schemas.openxmlformats.org/officeDocument/2006/relationships/hyperlink" Target="https://www.3gpp.org/ftp/TSG_RAN/WG1_RL1/TSGR1_110b-e/Docs/R1-2208537.zip" TargetMode="External"/><Relationship Id="rId27" Type="http://schemas.openxmlformats.org/officeDocument/2006/relationships/hyperlink" Target="https://www.3gpp.org/ftp/TSG_RAN/WG1_RL1/TSGR1_110b-e/Docs/R1-2208360.zip" TargetMode="External"/><Relationship Id="rId30" Type="http://schemas.openxmlformats.org/officeDocument/2006/relationships/hyperlink" Target="https://www.3gpp.org/ftp/TSG_RAN/WG1_RL1/TSGR1_110b-e/Docs/R1-2209431.zip" TargetMode="External"/><Relationship Id="rId35" Type="http://schemas.openxmlformats.org/officeDocument/2006/relationships/hyperlink" Target="https://www.3gpp.org/ftp/TSG_RAN/WG1_RL1/TSGR1_110b-e/Docs/R1-2209778.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360.zip" TargetMode="External"/><Relationship Id="rId56" Type="http://schemas.openxmlformats.org/officeDocument/2006/relationships/hyperlink" Target="https://www.3gpp.org/ftp/tsg_ran/WG1_RL1/TSGR1_110/Docs/R1-2207729.zip" TargetMode="External"/><Relationship Id="rId64" Type="http://schemas.openxmlformats.org/officeDocument/2006/relationships/hyperlink" Target="https://www.3gpp.org/ftp/TSG_RAN/WG1_RL1/TSGR1_110b-e/Docs/R1-2209187.zip" TargetMode="External"/><Relationship Id="rId69" Type="http://schemas.openxmlformats.org/officeDocument/2006/relationships/hyperlink" Target="https://www.3gpp.org/ftp/TSG_RAN/WG1_RL1/TSGR1_110b-e/Docs/R1-2209431.zip" TargetMode="External"/><Relationship Id="rId77" Type="http://schemas.openxmlformats.org/officeDocument/2006/relationships/hyperlink" Target="https://www.3gpp.org/ftp/TSG_RAN/WG1_RL1/TSGR1_110b-e/Docs/R1-2210245.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850.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10/Docs/R1-2208274.zip" TargetMode="External"/><Relationship Id="rId17" Type="http://schemas.openxmlformats.org/officeDocument/2006/relationships/hyperlink" Target="https://www.3gpp.org/ftp/tsg_ran/WG1_RL1/TSGR1_110/Docs/R1-2208247.zip" TargetMode="External"/><Relationship Id="rId25" Type="http://schemas.openxmlformats.org/officeDocument/2006/relationships/hyperlink" Target="https://www.3gpp.org/ftp/TSG_RAN/WG1_RL1/TSGR1_110b-e/Docs/R1-2209429.zip" TargetMode="External"/><Relationship Id="rId33" Type="http://schemas.openxmlformats.org/officeDocument/2006/relationships/hyperlink" Target="https://www.3gpp.org/ftp/TSG_RAN/WG1_RL1/TSGR1_110b-e/Docs/R1-2209779.zip" TargetMode="External"/><Relationship Id="rId38" Type="http://schemas.openxmlformats.org/officeDocument/2006/relationships/hyperlink" Target="https://www.3gpp.org/ftp/TSG_RAN/WG1_RL1/TSGR1_110b-e/Docs/R1-2209779.zip" TargetMode="External"/><Relationship Id="rId46" Type="http://schemas.openxmlformats.org/officeDocument/2006/relationships/hyperlink" Target="https://www.3gpp.org/ftp/TSG_RAN/WG1_RL1/TSGR1_110b-e/Docs/R1-2209188.zip" TargetMode="External"/><Relationship Id="rId59" Type="http://schemas.openxmlformats.org/officeDocument/2006/relationships/hyperlink" Target="https://www.3gpp.org/ftp/TSG_RAN/WG1_RL1/TSGR1_110b-e/Docs/R1-2208537.zip" TargetMode="External"/><Relationship Id="rId67" Type="http://schemas.openxmlformats.org/officeDocument/2006/relationships/hyperlink" Target="https://www.3gpp.org/ftp/TSG_RAN/WG1_RL1/TSGR1_110b-e/Docs/R1-2209222.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Specs/archive/38_series/38.214/38214-h30.zip" TargetMode="External"/><Relationship Id="rId54" Type="http://schemas.openxmlformats.org/officeDocument/2006/relationships/hyperlink" Target="https://www.3gpp.org/ftp/TSG_RAN/TSG_RAN/TSGR_96/Docs/RP-221163.zip" TargetMode="External"/><Relationship Id="rId62" Type="http://schemas.openxmlformats.org/officeDocument/2006/relationships/hyperlink" Target="https://www.3gpp.org/ftp/TSG_RAN/WG1_RL1/TSGR1_110b-e/Docs/R1-2209164.zip" TargetMode="External"/><Relationship Id="rId70" Type="http://schemas.openxmlformats.org/officeDocument/2006/relationships/hyperlink" Target="https://www.3gpp.org/ftp/TSG_RAN/WG1_RL1/TSGR1_110b-e/Docs/R1-2209778.zip" TargetMode="External"/><Relationship Id="rId75" Type="http://schemas.openxmlformats.org/officeDocument/2006/relationships/hyperlink" Target="https://www.3gpp.org/ftp/TSG_RAN/WG1_RL1/TSGR1_110b-e/Docs/R1-22091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9468.zip" TargetMode="External"/><Relationship Id="rId23" Type="http://schemas.openxmlformats.org/officeDocument/2006/relationships/hyperlink" Target="https://www.3gpp.org/ftp/TSG_RAN/WG1_RL1/TSGR1_110b-e/Docs/R1-2208941.zip" TargetMode="External"/><Relationship Id="rId28" Type="http://schemas.openxmlformats.org/officeDocument/2006/relationships/hyperlink" Target="https://www.3gpp.org/ftp/tsg_ran/WG1_RL1/TSGR1_110/Docs/R1-2208247.zip" TargetMode="External"/><Relationship Id="rId36" Type="http://schemas.openxmlformats.org/officeDocument/2006/relationships/hyperlink" Target="https://www.3gpp.org/ftp/TSG_RAN/WG1_RL1/TSGR1_110b-e/Docs/R1-2209468.zip" TargetMode="External"/><Relationship Id="rId49" Type="http://schemas.openxmlformats.org/officeDocument/2006/relationships/hyperlink" Target="https://www.3gpp.org/ftp/Specs/archive/38_series/38.213/38213-h30.zip" TargetMode="External"/><Relationship Id="rId57" Type="http://schemas.openxmlformats.org/officeDocument/2006/relationships/hyperlink" Target="https://www.3gpp.org/ftp/tsg_ran/WG1_RL1/TSGR1_110/Docs/R1-22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7DAA3D3-1272-491C-99DA-BD5F978BB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5528</Words>
  <Characters>31510</Characters>
  <Application>Microsoft Office Word</Application>
  <DocSecurity>0</DocSecurity>
  <Lines>262</Lines>
  <Paragraphs>73</Paragraphs>
  <ScaleCrop>false</ScaleCrop>
  <Company>Panasonic Corporation</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Sharp</cp:lastModifiedBy>
  <cp:revision>3</cp:revision>
  <dcterms:created xsi:type="dcterms:W3CDTF">2022-10-12T03:15:00Z</dcterms:created>
  <dcterms:modified xsi:type="dcterms:W3CDTF">2022-10-12T03:22:00Z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