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81A38" w14:textId="61196C24" w:rsidR="000358C5" w:rsidRDefault="000358C5" w:rsidP="000358C5">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#110bis-e</w:t>
      </w:r>
      <w:r>
        <w:rPr>
          <w:rFonts w:cs="Arial"/>
          <w:noProof w:val="0"/>
          <w:sz w:val="28"/>
          <w:szCs w:val="28"/>
          <w:lang w:val="en-US"/>
        </w:rPr>
        <w:tab/>
      </w:r>
      <w:r w:rsidR="00F27C87" w:rsidRPr="00F27C87">
        <w:rPr>
          <w:rFonts w:cs="Arial"/>
          <w:noProof w:val="0"/>
          <w:sz w:val="28"/>
          <w:szCs w:val="28"/>
          <w:lang w:val="en-US"/>
        </w:rPr>
        <w:t>R1-2209787</w:t>
      </w:r>
    </w:p>
    <w:bookmarkEnd w:id="0"/>
    <w:p w14:paraId="72F2BCFE" w14:textId="77777777" w:rsidR="000358C5" w:rsidRDefault="000358C5" w:rsidP="000358C5">
      <w:pPr>
        <w:tabs>
          <w:tab w:val="center" w:pos="4536"/>
          <w:tab w:val="right" w:pos="9072"/>
        </w:tabs>
        <w:rPr>
          <w:rFonts w:ascii="Arial" w:eastAsia="ＭＳ 明朝" w:hAnsi="Arial" w:cs="Arial"/>
          <w:b/>
          <w:bCs/>
          <w:sz w:val="28"/>
        </w:rPr>
      </w:pPr>
      <w:r w:rsidRPr="00EB1306">
        <w:rPr>
          <w:rFonts w:ascii="Arial" w:eastAsia="ＭＳ 明朝" w:hAnsi="Arial" w:cs="Arial"/>
          <w:b/>
          <w:bCs/>
          <w:sz w:val="28"/>
        </w:rPr>
        <w:t>e-Meeting, October 10</w:t>
      </w:r>
      <w:r>
        <w:rPr>
          <w:rFonts w:ascii="Arial" w:eastAsia="ＭＳ 明朝" w:hAnsi="Arial" w:cs="Arial"/>
          <w:b/>
          <w:bCs/>
          <w:sz w:val="28"/>
        </w:rPr>
        <w:t>th</w:t>
      </w:r>
      <w:r w:rsidRPr="00EB1306">
        <w:rPr>
          <w:rFonts w:ascii="Arial" w:eastAsia="ＭＳ 明朝" w:hAnsi="Arial" w:cs="Arial"/>
          <w:b/>
          <w:bCs/>
          <w:sz w:val="28"/>
        </w:rPr>
        <w:t xml:space="preserve"> – 19th,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55C525F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34366B" w:rsidRPr="0034366B">
        <w:rPr>
          <w:rFonts w:ascii="Arial" w:hAnsi="Arial" w:cs="Arial"/>
          <w:b/>
          <w:color w:val="000000" w:themeColor="text1"/>
          <w:sz w:val="28"/>
          <w:szCs w:val="28"/>
          <w:lang w:val="en-US"/>
        </w:rPr>
        <w:t>Views on positioning for RedCap UEs</w:t>
      </w:r>
    </w:p>
    <w:p w14:paraId="369A72EC" w14:textId="7C50F3C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7D78E490" w14:textId="3889A654" w:rsidR="00481186" w:rsidRPr="004953F0" w:rsidRDefault="00595A20" w:rsidP="00481186">
      <w:pPr>
        <w:spacing w:before="240" w:after="240" w:afterAutospacing="0"/>
        <w:rPr>
          <w:rFonts w:eastAsiaTheme="minorEastAsia"/>
          <w:color w:val="000000" w:themeColor="text1"/>
          <w:szCs w:val="24"/>
          <w:lang w:val="en-US"/>
        </w:rPr>
      </w:pPr>
      <w:bookmarkStart w:id="3" w:name="_Hlk110869457"/>
      <w:bookmarkStart w:id="4" w:name="_Hlk101443289"/>
      <w:bookmarkStart w:id="5" w:name="OLE_LINK1"/>
      <w:r>
        <w:rPr>
          <w:rFonts w:eastAsiaTheme="minorEastAsia"/>
          <w:color w:val="000000" w:themeColor="text1"/>
          <w:szCs w:val="24"/>
          <w:lang w:val="en-US"/>
        </w:rPr>
        <w:t>In RAN1#109-e, technical discussions on a new study item on “</w:t>
      </w:r>
      <w:r>
        <w:t>expanded and improved NR positioning” was started</w:t>
      </w:r>
      <w:r>
        <w:rPr>
          <w:rFonts w:eastAsiaTheme="minorEastAsia"/>
          <w:color w:val="000000" w:themeColor="text1"/>
          <w:szCs w:val="24"/>
          <w:lang w:val="en-US"/>
        </w:rPr>
        <w:t xml:space="preserve">. For </w:t>
      </w:r>
      <w:r w:rsidRPr="00595A20">
        <w:rPr>
          <w:rFonts w:eastAsiaTheme="minorEastAsia"/>
          <w:color w:val="000000" w:themeColor="text1"/>
          <w:szCs w:val="24"/>
          <w:lang w:val="en-US"/>
        </w:rPr>
        <w:t>positioning for RedCap UEs</w:t>
      </w:r>
      <w:r>
        <w:rPr>
          <w:rFonts w:eastAsiaTheme="minorEastAsia"/>
          <w:color w:val="000000" w:themeColor="text1"/>
          <w:szCs w:val="24"/>
          <w:lang w:val="en-US"/>
        </w:rPr>
        <w:t>, the following agreements were made</w:t>
      </w:r>
      <w:r w:rsidR="00C80D9B">
        <w:rPr>
          <w:rFonts w:eastAsiaTheme="minorEastAsia"/>
          <w:color w:val="000000" w:themeColor="text1"/>
          <w:szCs w:val="24"/>
          <w:lang w:val="en-US"/>
        </w:rPr>
        <w:t xml:space="preserve"> in RAN1#110</w:t>
      </w:r>
      <w:r w:rsidR="00481186">
        <w:t xml:space="preserve"> [1]</w:t>
      </w:r>
      <w:r w:rsidR="00481186">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1186" w:rsidRPr="00683FDE" w14:paraId="1BB5EF22" w14:textId="77777777" w:rsidTr="00024731">
        <w:tc>
          <w:tcPr>
            <w:tcW w:w="9954" w:type="dxa"/>
          </w:tcPr>
          <w:p w14:paraId="05FD22AF" w14:textId="77777777" w:rsidR="00C80D9B" w:rsidRPr="00BB0B1F" w:rsidRDefault="00C80D9B" w:rsidP="00BB0B1F">
            <w:pPr>
              <w:spacing w:after="0" w:afterAutospacing="0"/>
              <w:rPr>
                <w:b/>
                <w:bCs/>
                <w:highlight w:val="green"/>
              </w:rPr>
            </w:pPr>
            <w:bookmarkStart w:id="6" w:name="_Hlk83924038"/>
            <w:bookmarkEnd w:id="3"/>
            <w:r w:rsidRPr="00BB0B1F">
              <w:rPr>
                <w:b/>
                <w:bCs/>
                <w:highlight w:val="green"/>
              </w:rPr>
              <w:t>Agreement</w:t>
            </w:r>
          </w:p>
          <w:p w14:paraId="5B284CF8" w14:textId="77777777" w:rsidR="00C80D9B" w:rsidRDefault="00C80D9B" w:rsidP="00C80D9B">
            <w:pPr>
              <w:spacing w:line="252" w:lineRule="auto"/>
            </w:pPr>
            <w:r>
              <w:t xml:space="preserve">For the purpose of the Rel-18 study </w:t>
            </w:r>
          </w:p>
          <w:p w14:paraId="341DA52E" w14:textId="77777777" w:rsidR="00C80D9B" w:rsidRDefault="00C80D9B" w:rsidP="00C80D9B">
            <w:pPr>
              <w:numPr>
                <w:ilvl w:val="0"/>
                <w:numId w:val="25"/>
              </w:numPr>
              <w:snapToGrid/>
              <w:spacing w:after="0" w:afterAutospacing="0" w:line="252" w:lineRule="auto"/>
              <w:ind w:left="360"/>
              <w:jc w:val="left"/>
            </w:pPr>
            <w:r>
              <w:t>The target accuracy requirements for RedCap UEs for commercial use cases are defined as follows:</w:t>
            </w:r>
          </w:p>
          <w:p w14:paraId="70569C71" w14:textId="77777777" w:rsidR="00C80D9B" w:rsidRDefault="00C80D9B" w:rsidP="00C80D9B">
            <w:pPr>
              <w:numPr>
                <w:ilvl w:val="1"/>
                <w:numId w:val="26"/>
              </w:numPr>
              <w:tabs>
                <w:tab w:val="left" w:pos="1004"/>
              </w:tabs>
              <w:snapToGrid/>
              <w:spacing w:after="0" w:afterAutospacing="0" w:line="252" w:lineRule="auto"/>
              <w:ind w:left="1080"/>
              <w:contextualSpacing/>
              <w:jc w:val="left"/>
            </w:pPr>
            <w:r>
              <w:t>Indoor and outdoor</w:t>
            </w:r>
          </w:p>
          <w:p w14:paraId="45BC86DF" w14:textId="77777777" w:rsidR="00C80D9B" w:rsidRDefault="00C80D9B" w:rsidP="00C80D9B">
            <w:pPr>
              <w:numPr>
                <w:ilvl w:val="2"/>
                <w:numId w:val="26"/>
              </w:numPr>
              <w:tabs>
                <w:tab w:val="left" w:pos="1004"/>
              </w:tabs>
              <w:snapToGrid/>
              <w:spacing w:after="0" w:afterAutospacing="0" w:line="252" w:lineRule="auto"/>
              <w:contextualSpacing/>
              <w:jc w:val="left"/>
            </w:pPr>
            <w:r>
              <w:t>Horizontal position accuracy (&lt; 3 m) for 90% of UEs</w:t>
            </w:r>
          </w:p>
          <w:p w14:paraId="6C8F0189" w14:textId="77777777" w:rsidR="00C80D9B" w:rsidRDefault="00C80D9B" w:rsidP="00C80D9B">
            <w:pPr>
              <w:numPr>
                <w:ilvl w:val="2"/>
                <w:numId w:val="26"/>
              </w:numPr>
              <w:tabs>
                <w:tab w:val="left" w:pos="1004"/>
              </w:tabs>
              <w:snapToGrid/>
              <w:spacing w:after="0" w:afterAutospacing="0" w:line="252" w:lineRule="auto"/>
              <w:contextualSpacing/>
              <w:jc w:val="left"/>
            </w:pPr>
            <w:r>
              <w:t xml:space="preserve">Vertical position accuracy (&lt; 3 m) for 90% of UEs </w:t>
            </w:r>
          </w:p>
          <w:p w14:paraId="453ACD85" w14:textId="77777777" w:rsidR="00C80D9B" w:rsidRDefault="00C80D9B" w:rsidP="00C80D9B">
            <w:pPr>
              <w:numPr>
                <w:ilvl w:val="0"/>
                <w:numId w:val="25"/>
              </w:numPr>
              <w:snapToGrid/>
              <w:spacing w:after="0" w:afterAutospacing="0" w:line="252" w:lineRule="auto"/>
              <w:ind w:left="360"/>
              <w:jc w:val="left"/>
            </w:pPr>
            <w:r>
              <w:t>The target accuracy requirements for RedCap UEs for IIoT use cases are defined as follows:</w:t>
            </w:r>
          </w:p>
          <w:p w14:paraId="7BEB3EC1" w14:textId="77777777" w:rsidR="00C80D9B" w:rsidRDefault="00C80D9B" w:rsidP="00C80D9B">
            <w:pPr>
              <w:numPr>
                <w:ilvl w:val="1"/>
                <w:numId w:val="26"/>
              </w:numPr>
              <w:tabs>
                <w:tab w:val="left" w:pos="1004"/>
              </w:tabs>
              <w:snapToGrid/>
              <w:spacing w:after="0" w:afterAutospacing="0" w:line="252" w:lineRule="auto"/>
              <w:ind w:left="1080"/>
              <w:contextualSpacing/>
              <w:jc w:val="left"/>
            </w:pPr>
            <w:r>
              <w:t xml:space="preserve">Horizontal position accuracy (&lt;1 m) for 90% of UEs </w:t>
            </w:r>
          </w:p>
          <w:p w14:paraId="0AD37158" w14:textId="77777777" w:rsidR="00C80D9B" w:rsidRDefault="00C80D9B" w:rsidP="00C80D9B">
            <w:pPr>
              <w:numPr>
                <w:ilvl w:val="1"/>
                <w:numId w:val="26"/>
              </w:numPr>
              <w:tabs>
                <w:tab w:val="left" w:pos="1004"/>
              </w:tabs>
              <w:snapToGrid/>
              <w:spacing w:after="0" w:afterAutospacing="0" w:line="252" w:lineRule="auto"/>
              <w:ind w:left="1080"/>
              <w:contextualSpacing/>
              <w:jc w:val="left"/>
            </w:pPr>
            <w:r>
              <w:t xml:space="preserve">Vertical position accuracy (&lt; 3 m) for 90% of UEs  </w:t>
            </w:r>
          </w:p>
          <w:p w14:paraId="6CB000ED" w14:textId="77777777" w:rsidR="00C80D9B" w:rsidRDefault="00C80D9B" w:rsidP="00C80D9B">
            <w:pPr>
              <w:numPr>
                <w:ilvl w:val="0"/>
                <w:numId w:val="25"/>
              </w:numPr>
              <w:snapToGrid/>
              <w:spacing w:after="0" w:afterAutospacing="0" w:line="252" w:lineRule="auto"/>
              <w:ind w:left="360"/>
              <w:jc w:val="left"/>
            </w:pPr>
            <w:r>
              <w:t>Note: the requirements may not be met in all scenarios and use cases</w:t>
            </w:r>
          </w:p>
          <w:p w14:paraId="740D8079" w14:textId="77777777" w:rsidR="00C80D9B" w:rsidRDefault="00C80D9B" w:rsidP="00C80D9B">
            <w:pPr>
              <w:spacing w:before="240" w:after="0" w:afterAutospacing="0"/>
              <w:rPr>
                <w:b/>
                <w:bCs/>
              </w:rPr>
            </w:pPr>
            <w:r>
              <w:rPr>
                <w:b/>
                <w:bCs/>
                <w:highlight w:val="green"/>
              </w:rPr>
              <w:t>Agreement</w:t>
            </w:r>
          </w:p>
          <w:p w14:paraId="4506AA2D" w14:textId="77777777" w:rsidR="00C80D9B" w:rsidRDefault="00C80D9B" w:rsidP="00C80D9B">
            <w:pPr>
              <w:rPr>
                <w:bCs/>
              </w:rPr>
            </w:pPr>
            <w:r>
              <w:rPr>
                <w:bCs/>
              </w:rPr>
              <w:t>CDF values for evaluations of Redcap UE Positioning scenarios are derived based on:</w:t>
            </w:r>
          </w:p>
          <w:p w14:paraId="2BBB62E1" w14:textId="77777777" w:rsidR="00C80D9B" w:rsidRDefault="00C80D9B" w:rsidP="00C80D9B">
            <w:pPr>
              <w:numPr>
                <w:ilvl w:val="0"/>
                <w:numId w:val="27"/>
              </w:numPr>
              <w:snapToGrid/>
              <w:spacing w:after="0" w:afterAutospacing="0"/>
              <w:jc w:val="left"/>
              <w:rPr>
                <w:bCs/>
              </w:rPr>
            </w:pPr>
            <w:r>
              <w:rPr>
                <w:bCs/>
              </w:rPr>
              <w:t>The reported CDF points used as performance metrics in the evaluation include at least the 50%, 67%, 80%, 90% percentiles.</w:t>
            </w:r>
          </w:p>
          <w:p w14:paraId="4ECD261B" w14:textId="77777777" w:rsidR="00C80D9B" w:rsidRDefault="00C80D9B" w:rsidP="00C80D9B">
            <w:pPr>
              <w:numPr>
                <w:ilvl w:val="0"/>
                <w:numId w:val="27"/>
              </w:numPr>
              <w:snapToGrid/>
              <w:spacing w:after="0" w:afterAutospacing="0"/>
              <w:jc w:val="left"/>
              <w:rPr>
                <w:bCs/>
              </w:rPr>
            </w:pPr>
            <w:r>
              <w:rPr>
                <w:bCs/>
              </w:rPr>
              <w:t xml:space="preserve">For indoor scenarios </w:t>
            </w:r>
          </w:p>
          <w:p w14:paraId="2F3BC7E1" w14:textId="77777777" w:rsidR="00C80D9B" w:rsidRDefault="00C80D9B" w:rsidP="00C80D9B">
            <w:pPr>
              <w:numPr>
                <w:ilvl w:val="1"/>
                <w:numId w:val="27"/>
              </w:numPr>
              <w:snapToGrid/>
              <w:spacing w:after="0" w:afterAutospacing="0"/>
              <w:jc w:val="left"/>
              <w:rPr>
                <w:bCs/>
              </w:rPr>
            </w:pPr>
            <w:r>
              <w:rPr>
                <w:bCs/>
              </w:rPr>
              <w:t>(Required): The UEs inside the convex hull of the horizontal BS deployment area.</w:t>
            </w:r>
          </w:p>
          <w:p w14:paraId="236FD610" w14:textId="77777777" w:rsidR="00C80D9B" w:rsidRDefault="00C80D9B" w:rsidP="00C80D9B">
            <w:pPr>
              <w:numPr>
                <w:ilvl w:val="1"/>
                <w:numId w:val="27"/>
              </w:numPr>
              <w:snapToGrid/>
              <w:spacing w:after="0" w:afterAutospacing="0"/>
              <w:jc w:val="left"/>
              <w:rPr>
                <w:bCs/>
              </w:rPr>
            </w:pPr>
            <w:r>
              <w:rPr>
                <w:bCs/>
              </w:rPr>
              <w:t>(Optional): All the UEs</w:t>
            </w:r>
          </w:p>
          <w:p w14:paraId="3B000497" w14:textId="77777777" w:rsidR="00C80D9B" w:rsidRDefault="00C80D9B" w:rsidP="00C80D9B">
            <w:pPr>
              <w:spacing w:before="240" w:after="0" w:afterAutospacing="0"/>
              <w:rPr>
                <w:b/>
                <w:bCs/>
              </w:rPr>
            </w:pPr>
            <w:r>
              <w:rPr>
                <w:b/>
                <w:bCs/>
                <w:highlight w:val="green"/>
              </w:rPr>
              <w:t>Agreement</w:t>
            </w:r>
          </w:p>
          <w:p w14:paraId="0ABCE8DB" w14:textId="77777777" w:rsidR="00C80D9B" w:rsidRDefault="00C80D9B" w:rsidP="00C80D9B">
            <w:pPr>
              <w:rPr>
                <w:bCs/>
              </w:rPr>
            </w:pPr>
            <w:r>
              <w:rPr>
                <w:bCs/>
              </w:rPr>
              <w:t>The following table is endorsed to capture the evaluation scenarios and parameters in the evaluation results section of the TR:</w:t>
            </w:r>
          </w:p>
          <w:p w14:paraId="5905730C" w14:textId="77777777" w:rsidR="00C80D9B" w:rsidRPr="00BB0B1F" w:rsidRDefault="00C80D9B" w:rsidP="00BB0B1F">
            <w:pPr>
              <w:spacing w:before="240" w:after="0" w:afterAutospacing="0"/>
              <w:rPr>
                <w:b/>
                <w:bCs/>
                <w:highlight w:val="green"/>
              </w:rPr>
            </w:pPr>
            <w:r w:rsidRPr="00BB0B1F">
              <w:rPr>
                <w:b/>
                <w:bCs/>
                <w:highlight w:val="green"/>
              </w:rPr>
              <w:t>Agreement</w:t>
            </w:r>
          </w:p>
          <w:p w14:paraId="411B6E19" w14:textId="77777777" w:rsidR="00C80D9B" w:rsidRDefault="00C80D9B" w:rsidP="00C80D9B">
            <w:pPr>
              <w:spacing w:after="0" w:afterAutospacing="0"/>
              <w:rPr>
                <w:lang w:eastAsia="en-US"/>
              </w:rPr>
            </w:pPr>
            <w:r>
              <w:rPr>
                <w:lang w:eastAsia="x-none"/>
              </w:rPr>
              <w:t xml:space="preserve">Endorse the templates in section 7 in R1-2207749 </w:t>
            </w:r>
            <w:r>
              <w:t>to collect RedCap UE positioning simulation results, with the following notes:</w:t>
            </w:r>
          </w:p>
          <w:p w14:paraId="545B8DA5" w14:textId="77777777" w:rsidR="00C80D9B" w:rsidRDefault="00C80D9B" w:rsidP="00C80D9B">
            <w:pPr>
              <w:numPr>
                <w:ilvl w:val="0"/>
                <w:numId w:val="28"/>
              </w:numPr>
              <w:snapToGrid/>
              <w:spacing w:after="0" w:afterAutospacing="0"/>
              <w:jc w:val="left"/>
              <w:rPr>
                <w:lang w:eastAsia="x-none"/>
              </w:rPr>
            </w:pPr>
            <w:r>
              <w:rPr>
                <w:lang w:eastAsia="x-none"/>
              </w:rPr>
              <w:lastRenderedPageBreak/>
              <w:t>The first table as endorsed in previous agreement</w:t>
            </w:r>
          </w:p>
          <w:p w14:paraId="5755E79B" w14:textId="77777777" w:rsidR="00C80D9B" w:rsidRDefault="00C80D9B" w:rsidP="00C80D9B">
            <w:pPr>
              <w:numPr>
                <w:ilvl w:val="0"/>
                <w:numId w:val="28"/>
              </w:numPr>
              <w:snapToGrid/>
              <w:spacing w:after="0" w:afterAutospacing="0"/>
              <w:jc w:val="left"/>
              <w:rPr>
                <w:lang w:eastAsia="x-none"/>
              </w:rPr>
            </w:pPr>
            <w:r>
              <w:rPr>
                <w:lang w:eastAsia="x-none"/>
              </w:rPr>
              <w:t>Add a column to the second table for capturing whether the requirement is met or not met</w:t>
            </w:r>
          </w:p>
          <w:p w14:paraId="15A2F808" w14:textId="77777777" w:rsidR="00C80D9B" w:rsidRDefault="00C80D9B" w:rsidP="00C80D9B">
            <w:pPr>
              <w:numPr>
                <w:ilvl w:val="0"/>
                <w:numId w:val="28"/>
              </w:numPr>
              <w:snapToGrid/>
              <w:spacing w:after="0" w:afterAutospacing="0"/>
              <w:jc w:val="left"/>
              <w:rPr>
                <w:lang w:eastAsia="x-none"/>
              </w:rPr>
            </w:pPr>
            <w:r>
              <w:rPr>
                <w:lang w:eastAsia="x-none"/>
              </w:rPr>
              <w:t>The TR editor can adjust the sections/sub-sections arrangement</w:t>
            </w:r>
          </w:p>
          <w:p w14:paraId="281212C4" w14:textId="77777777" w:rsidR="00C80D9B" w:rsidRDefault="00C80D9B" w:rsidP="00C80D9B">
            <w:pPr>
              <w:numPr>
                <w:ilvl w:val="0"/>
                <w:numId w:val="28"/>
              </w:numPr>
              <w:snapToGrid/>
              <w:spacing w:after="0" w:afterAutospacing="0"/>
              <w:jc w:val="left"/>
              <w:rPr>
                <w:lang w:eastAsia="x-none"/>
              </w:rPr>
            </w:pPr>
            <w:r>
              <w:rPr>
                <w:lang w:eastAsia="x-none"/>
              </w:rPr>
              <w:t>Adjust the titles of the tables to refer to RedCap UE</w:t>
            </w:r>
            <w:r>
              <w:t xml:space="preserve"> positioning</w:t>
            </w:r>
          </w:p>
          <w:p w14:paraId="74B22414" w14:textId="77777777" w:rsidR="00C80D9B" w:rsidRPr="00BB0B1F" w:rsidRDefault="00C80D9B" w:rsidP="00C80D9B">
            <w:pPr>
              <w:spacing w:before="240" w:after="0" w:afterAutospacing="0"/>
              <w:rPr>
                <w:b/>
                <w:bCs/>
                <w:highlight w:val="green"/>
              </w:rPr>
            </w:pPr>
            <w:r w:rsidRPr="00BB0B1F">
              <w:rPr>
                <w:b/>
                <w:bCs/>
                <w:highlight w:val="green"/>
              </w:rPr>
              <w:t>Agreement</w:t>
            </w:r>
          </w:p>
          <w:p w14:paraId="711EFAAA" w14:textId="77777777" w:rsidR="00C80D9B" w:rsidRDefault="00C80D9B" w:rsidP="00C80D9B">
            <w:pPr>
              <w:rPr>
                <w:lang w:eastAsia="x-none"/>
              </w:rPr>
            </w:pPr>
            <w:r>
              <w:rPr>
                <w:lang w:eastAsia="x-none"/>
              </w:rPr>
              <w:t xml:space="preserve">For the evaluation of redcap UEs in the RMa scenarios, companies should report their evaluations parameters with their results. </w:t>
            </w:r>
          </w:p>
          <w:p w14:paraId="6217845B" w14:textId="77777777" w:rsidR="00C80D9B" w:rsidRPr="00BB0B1F" w:rsidRDefault="00C80D9B" w:rsidP="00BB0B1F">
            <w:pPr>
              <w:spacing w:before="240" w:after="0" w:afterAutospacing="0"/>
              <w:rPr>
                <w:b/>
                <w:bCs/>
                <w:highlight w:val="green"/>
              </w:rPr>
            </w:pPr>
            <w:r w:rsidRPr="00BB0B1F">
              <w:rPr>
                <w:b/>
                <w:bCs/>
                <w:highlight w:val="green"/>
              </w:rPr>
              <w:t>Agreement</w:t>
            </w:r>
          </w:p>
          <w:p w14:paraId="3B3D89B3" w14:textId="77777777" w:rsidR="00C80D9B" w:rsidRPr="00BB0B1F" w:rsidRDefault="00C80D9B" w:rsidP="00C80D9B">
            <w:pPr>
              <w:pStyle w:val="0maintext"/>
              <w:rPr>
                <w:rFonts w:eastAsia="ＭＳ ゴシック"/>
                <w:bCs/>
                <w:sz w:val="24"/>
                <w:szCs w:val="20"/>
                <w:lang w:val="en-GB" w:eastAsia="ja-JP"/>
              </w:rPr>
            </w:pPr>
            <w:r w:rsidRPr="00BB0B1F">
              <w:rPr>
                <w:rFonts w:eastAsia="ＭＳ ゴシック"/>
                <w:bCs/>
                <w:sz w:val="24"/>
                <w:szCs w:val="20"/>
                <w:lang w:val="en-GB" w:eastAsia="ja-JP"/>
              </w:rPr>
              <w:t>The potential benefits and performance gains of frequency hopping of the DL PRS and UL SRS can be investigated in release 18, which may take into account at least the following:</w:t>
            </w:r>
          </w:p>
          <w:p w14:paraId="42D86E6B" w14:textId="77777777" w:rsidR="00C80D9B" w:rsidRPr="00BB0B1F" w:rsidRDefault="00C80D9B" w:rsidP="00C80D9B">
            <w:pPr>
              <w:pStyle w:val="0maintext"/>
              <w:numPr>
                <w:ilvl w:val="0"/>
                <w:numId w:val="29"/>
              </w:numPr>
              <w:rPr>
                <w:rFonts w:eastAsia="ＭＳ ゴシック"/>
                <w:bCs/>
                <w:sz w:val="24"/>
                <w:szCs w:val="20"/>
                <w:lang w:val="en-GB" w:eastAsia="ja-JP"/>
              </w:rPr>
            </w:pPr>
            <w:r w:rsidRPr="00BB0B1F">
              <w:rPr>
                <w:rFonts w:eastAsia="ＭＳ ゴシック"/>
                <w:bCs/>
                <w:sz w:val="24"/>
                <w:szCs w:val="20"/>
                <w:lang w:val="en-GB" w:eastAsia="ja-JP"/>
              </w:rPr>
              <w:t>The impact of Doppler, phase offset, timing offset, power imbalance among hops</w:t>
            </w:r>
          </w:p>
          <w:p w14:paraId="0410E946" w14:textId="77777777" w:rsidR="00C80D9B" w:rsidRPr="00BB0B1F" w:rsidRDefault="00C80D9B" w:rsidP="00C80D9B">
            <w:pPr>
              <w:pStyle w:val="0maintext"/>
              <w:numPr>
                <w:ilvl w:val="0"/>
                <w:numId w:val="29"/>
              </w:numPr>
              <w:rPr>
                <w:rFonts w:eastAsia="ＭＳ ゴシック"/>
                <w:bCs/>
                <w:sz w:val="24"/>
                <w:szCs w:val="20"/>
                <w:lang w:val="en-GB" w:eastAsia="ja-JP"/>
              </w:rPr>
            </w:pPr>
            <w:r w:rsidRPr="00BB0B1F">
              <w:rPr>
                <w:rFonts w:eastAsia="ＭＳ ゴシック"/>
                <w:bCs/>
                <w:sz w:val="24"/>
                <w:szCs w:val="20"/>
                <w:lang w:val="en-GB" w:eastAsia="ja-JP"/>
              </w:rPr>
              <w:t>RedCap UE capability and complexity considerations</w:t>
            </w:r>
          </w:p>
          <w:p w14:paraId="17D1D336" w14:textId="77777777" w:rsidR="00C80D9B" w:rsidRPr="00BB0B1F" w:rsidRDefault="00C80D9B" w:rsidP="00C80D9B">
            <w:pPr>
              <w:pStyle w:val="0maintext"/>
              <w:numPr>
                <w:ilvl w:val="0"/>
                <w:numId w:val="29"/>
              </w:numPr>
              <w:rPr>
                <w:rFonts w:eastAsia="ＭＳ ゴシック"/>
                <w:bCs/>
                <w:sz w:val="24"/>
                <w:szCs w:val="20"/>
                <w:lang w:val="en-GB" w:eastAsia="ja-JP"/>
              </w:rPr>
            </w:pPr>
            <w:r w:rsidRPr="00BB0B1F">
              <w:rPr>
                <w:rFonts w:eastAsia="ＭＳ ゴシック"/>
                <w:bCs/>
                <w:sz w:val="24"/>
                <w:szCs w:val="20"/>
                <w:lang w:val="en-GB" w:eastAsia="ja-JP"/>
              </w:rPr>
              <w:t>Impact of RF retuning during frequency hopping</w:t>
            </w:r>
          </w:p>
          <w:p w14:paraId="44A57CEA" w14:textId="702892A8" w:rsidR="0032725E" w:rsidRPr="00C80D9B" w:rsidRDefault="00C80D9B" w:rsidP="00C80D9B">
            <w:pPr>
              <w:pStyle w:val="0maintext"/>
              <w:numPr>
                <w:ilvl w:val="0"/>
                <w:numId w:val="29"/>
              </w:numPr>
            </w:pPr>
            <w:r w:rsidRPr="00BB0B1F">
              <w:rPr>
                <w:rFonts w:eastAsia="ＭＳ ゴシック"/>
                <w:bCs/>
                <w:sz w:val="24"/>
                <w:szCs w:val="20"/>
                <w:lang w:val="en-GB" w:eastAsia="ja-JP"/>
              </w:rPr>
              <w:t>Details of frequency hopping (including Tx hopping and/or Rx hopping, BWP switching) for the study are FFS</w:t>
            </w:r>
          </w:p>
        </w:tc>
      </w:tr>
    </w:tbl>
    <w:bookmarkEnd w:id="6"/>
    <w:p w14:paraId="2DA3A1D3" w14:textId="577F5BFD" w:rsidR="00481186" w:rsidRDefault="00481186" w:rsidP="00481186">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481186">
        <w:rPr>
          <w:rFonts w:eastAsia="ＭＳ 明朝"/>
          <w:color w:val="000000" w:themeColor="text1"/>
        </w:rPr>
        <w:t>positioning for RedCap UEs</w:t>
      </w:r>
      <w:r w:rsidRPr="00683FDE">
        <w:rPr>
          <w:rFonts w:eastAsia="ＭＳ 明朝"/>
          <w:color w:val="000000" w:themeColor="text1"/>
        </w:rPr>
        <w:t>.</w:t>
      </w:r>
    </w:p>
    <w:bookmarkEnd w:id="4"/>
    <w:p w14:paraId="739CC09E" w14:textId="2DD05863" w:rsidR="00F305A7" w:rsidRPr="00481186" w:rsidRDefault="00656E99" w:rsidP="00481186">
      <w:pPr>
        <w:pStyle w:val="10"/>
        <w:spacing w:after="180"/>
        <w:rPr>
          <w:color w:val="000000" w:themeColor="text1"/>
          <w:lang w:val="en-US"/>
        </w:rPr>
      </w:pPr>
      <w:r w:rsidRPr="00683FDE">
        <w:rPr>
          <w:color w:val="000000" w:themeColor="text1"/>
          <w:lang w:val="en-US"/>
        </w:rPr>
        <w:t>Discussions</w:t>
      </w:r>
      <w:bookmarkStart w:id="7" w:name="OLE_LINK28"/>
      <w:bookmarkStart w:id="8" w:name="OLE_LINK29"/>
      <w:bookmarkStart w:id="9" w:name="OLE_LINK30"/>
      <w:bookmarkStart w:id="10" w:name="OLE_LINK37"/>
      <w:bookmarkStart w:id="11" w:name="OLE_LINK38"/>
    </w:p>
    <w:p w14:paraId="6101DFE1" w14:textId="2162D826" w:rsidR="002B3B79" w:rsidRDefault="00F35CE6" w:rsidP="0098398D">
      <w:pPr>
        <w:rPr>
          <w:rFonts w:eastAsiaTheme="minorEastAsia"/>
          <w:color w:val="000000" w:themeColor="text1"/>
        </w:rPr>
      </w:pPr>
      <w:r>
        <w:rPr>
          <w:rFonts w:eastAsiaTheme="minorEastAsia"/>
          <w:color w:val="000000" w:themeColor="text1"/>
        </w:rPr>
        <w:t xml:space="preserve">One of the key issues on the positioning on RedCap UEs is the degradation of positioning accuracy </w:t>
      </w:r>
      <w:r w:rsidR="000414F5">
        <w:rPr>
          <w:rFonts w:eastAsiaTheme="minorEastAsia"/>
          <w:color w:val="000000" w:themeColor="text1"/>
        </w:rPr>
        <w:t>due</w:t>
      </w:r>
      <w:r>
        <w:rPr>
          <w:rFonts w:eastAsiaTheme="minorEastAsia"/>
          <w:color w:val="000000" w:themeColor="text1"/>
        </w:rPr>
        <w:t xml:space="preserve"> to the reduced bandwidth to 20MHz (optionally 5MHz) for FR1 and 100MHz for FR2.</w:t>
      </w:r>
      <w:r w:rsidR="00F6752B">
        <w:rPr>
          <w:rFonts w:eastAsiaTheme="minorEastAsia"/>
          <w:color w:val="000000" w:themeColor="text1"/>
        </w:rPr>
        <w:t xml:space="preserve"> In </w:t>
      </w:r>
      <w:r w:rsidR="000B5306">
        <w:rPr>
          <w:rFonts w:eastAsiaTheme="minorEastAsia"/>
          <w:color w:val="000000" w:themeColor="text1"/>
        </w:rPr>
        <w:t>previous meetings</w:t>
      </w:r>
      <w:r w:rsidR="00F6752B">
        <w:rPr>
          <w:rFonts w:eastAsiaTheme="minorEastAsia"/>
          <w:color w:val="000000" w:themeColor="text1"/>
        </w:rPr>
        <w:t>, several contributions pointed out the enough accuracy is not obtained with the limited bandwidth.</w:t>
      </w:r>
      <w:r>
        <w:rPr>
          <w:rFonts w:eastAsiaTheme="minorEastAsia"/>
          <w:color w:val="000000" w:themeColor="text1"/>
        </w:rPr>
        <w:t xml:space="preserve"> </w:t>
      </w:r>
      <w:r w:rsidR="00F6752B">
        <w:rPr>
          <w:rFonts w:eastAsiaTheme="minorEastAsia"/>
          <w:color w:val="000000" w:themeColor="text1"/>
        </w:rPr>
        <w:t>Therefore, when the degradation cannot be tolerated, t</w:t>
      </w:r>
      <w:r w:rsidR="000414F5">
        <w:rPr>
          <w:rFonts w:eastAsiaTheme="minorEastAsia"/>
          <w:color w:val="000000" w:themeColor="text1"/>
        </w:rPr>
        <w:t>o compensate the degradation, one of the potential solution</w:t>
      </w:r>
      <w:r w:rsidR="007A5F22">
        <w:rPr>
          <w:rFonts w:eastAsiaTheme="minorEastAsia"/>
          <w:color w:val="000000" w:themeColor="text1"/>
        </w:rPr>
        <w:t>s</w:t>
      </w:r>
      <w:r w:rsidR="000414F5">
        <w:rPr>
          <w:rFonts w:eastAsiaTheme="minorEastAsia"/>
          <w:color w:val="000000" w:themeColor="text1"/>
        </w:rPr>
        <w:t xml:space="preserve"> is to </w:t>
      </w:r>
      <w:r w:rsidR="007A5F22">
        <w:rPr>
          <w:rFonts w:eastAsiaTheme="minorEastAsia"/>
          <w:color w:val="000000" w:themeColor="text1"/>
        </w:rPr>
        <w:t>apply</w:t>
      </w:r>
      <w:r w:rsidR="000414F5">
        <w:rPr>
          <w:rFonts w:eastAsiaTheme="minorEastAsia"/>
          <w:color w:val="000000" w:themeColor="text1"/>
        </w:rPr>
        <w:t xml:space="preserve"> </w:t>
      </w:r>
      <w:r w:rsidR="00295F84">
        <w:rPr>
          <w:rFonts w:eastAsiaTheme="minorEastAsia"/>
          <w:color w:val="000000" w:themeColor="text1"/>
        </w:rPr>
        <w:t>bandwidth</w:t>
      </w:r>
      <w:r w:rsidR="000414F5">
        <w:rPr>
          <w:rFonts w:eastAsiaTheme="minorEastAsia"/>
          <w:color w:val="000000" w:themeColor="text1"/>
        </w:rPr>
        <w:t xml:space="preserve"> hopping for DL PRS and/or UL SRS </w:t>
      </w:r>
      <w:r w:rsidR="004B54EC">
        <w:rPr>
          <w:rFonts w:eastAsiaTheme="minorEastAsia"/>
          <w:color w:val="000000" w:themeColor="text1"/>
        </w:rPr>
        <w:t>using</w:t>
      </w:r>
      <w:r w:rsidR="007A5F22">
        <w:rPr>
          <w:rFonts w:eastAsiaTheme="minorEastAsia"/>
          <w:color w:val="000000" w:themeColor="text1"/>
        </w:rPr>
        <w:t xml:space="preserve"> multiple symbols.</w:t>
      </w:r>
    </w:p>
    <w:p w14:paraId="6E692E8C" w14:textId="3FEEAF76" w:rsidR="006C1540" w:rsidRDefault="00342B84" w:rsidP="0098398D">
      <w:pPr>
        <w:rPr>
          <w:rFonts w:eastAsiaTheme="minorEastAsia"/>
          <w:color w:val="000000" w:themeColor="text1"/>
        </w:rPr>
      </w:pPr>
      <w:r>
        <w:rPr>
          <w:rFonts w:eastAsiaTheme="minorEastAsia"/>
          <w:color w:val="000000" w:themeColor="text1"/>
        </w:rPr>
        <w:t>For DL PRS, as similar case, the hopping of PRS is applied for FeMTC</w:t>
      </w:r>
      <w:r w:rsidR="005B153A">
        <w:rPr>
          <w:rFonts w:eastAsiaTheme="minorEastAsia"/>
          <w:color w:val="000000" w:themeColor="text1"/>
        </w:rPr>
        <w:t xml:space="preserve"> with limited bandwidth. Therefore, </w:t>
      </w:r>
      <w:r>
        <w:rPr>
          <w:rFonts w:eastAsiaTheme="minorEastAsia"/>
          <w:color w:val="000000" w:themeColor="text1"/>
        </w:rPr>
        <w:t>t</w:t>
      </w:r>
      <w:r w:rsidR="00C33324">
        <w:rPr>
          <w:rFonts w:eastAsiaTheme="minorEastAsia"/>
          <w:color w:val="000000" w:themeColor="text1"/>
        </w:rPr>
        <w:t>he starting point to introduce the hopping should be PRS hopping in LTE FeMTC.</w:t>
      </w:r>
      <w:r w:rsidR="006C1540">
        <w:rPr>
          <w:rFonts w:eastAsiaTheme="minorEastAsia" w:hint="eastAsia"/>
          <w:color w:val="000000" w:themeColor="text1"/>
        </w:rPr>
        <w:t xml:space="preserve"> </w:t>
      </w:r>
      <w:r w:rsidR="006C1540">
        <w:rPr>
          <w:rFonts w:eastAsiaTheme="minorEastAsia"/>
          <w:color w:val="000000" w:themeColor="text1"/>
        </w:rPr>
        <w:t xml:space="preserve">The </w:t>
      </w:r>
      <w:r w:rsidR="00C52039">
        <w:rPr>
          <w:rFonts w:eastAsiaTheme="minorEastAsia"/>
          <w:color w:val="000000" w:themeColor="text1"/>
        </w:rPr>
        <w:t>further issue</w:t>
      </w:r>
      <w:r w:rsidR="00A2366D">
        <w:rPr>
          <w:rFonts w:eastAsiaTheme="minorEastAsia"/>
          <w:color w:val="000000" w:themeColor="text1"/>
        </w:rPr>
        <w:t>s</w:t>
      </w:r>
      <w:r w:rsidR="00C52039">
        <w:rPr>
          <w:rFonts w:eastAsiaTheme="minorEastAsia"/>
          <w:color w:val="000000" w:themeColor="text1"/>
        </w:rPr>
        <w:t xml:space="preserve"> on the hopping on RedCap UEs may be caused by RF retuning and/or BWP switching with limited bandwidth. Phase discontinuities, required power for the switching, guard symbols for the switching needs to be considered for the study.</w:t>
      </w:r>
    </w:p>
    <w:p w14:paraId="239A7F6C" w14:textId="050FAFFA" w:rsidR="00342B84" w:rsidRDefault="00342B84" w:rsidP="002506D8">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sidR="002506D8">
        <w:rPr>
          <w:rFonts w:eastAsiaTheme="minorEastAsia" w:cs="Times"/>
        </w:rPr>
        <w:t>Consider</w:t>
      </w:r>
      <w:r>
        <w:rPr>
          <w:rFonts w:eastAsiaTheme="minorEastAsia" w:cs="Times"/>
        </w:rPr>
        <w:t xml:space="preserve"> bandwidth hopping of DL PRS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01EC0DB2" w14:textId="77777777" w:rsidR="002506D8" w:rsidRPr="002506D8" w:rsidRDefault="002506D8" w:rsidP="002506D8">
      <w:pPr>
        <w:spacing w:after="0" w:afterAutospacing="0"/>
        <w:rPr>
          <w:rFonts w:eastAsiaTheme="minorEastAsia" w:cs="Times"/>
        </w:rPr>
      </w:pPr>
    </w:p>
    <w:p w14:paraId="728CAE56" w14:textId="1519DDE5" w:rsidR="00295F84" w:rsidRDefault="006C1540" w:rsidP="0098398D">
      <w:pPr>
        <w:rPr>
          <w:rFonts w:eastAsiaTheme="minorEastAsia"/>
          <w:color w:val="000000" w:themeColor="text1"/>
        </w:rPr>
      </w:pPr>
      <w:r>
        <w:rPr>
          <w:rFonts w:eastAsiaTheme="minorEastAsia"/>
          <w:color w:val="000000" w:themeColor="text1"/>
        </w:rPr>
        <w:t>Similarly, i</w:t>
      </w:r>
      <w:r w:rsidR="005B153A">
        <w:rPr>
          <w:rFonts w:eastAsiaTheme="minorEastAsia"/>
          <w:color w:val="000000" w:themeColor="text1"/>
        </w:rPr>
        <w:t>n addition to the DL</w:t>
      </w:r>
      <w:r>
        <w:rPr>
          <w:rFonts w:eastAsiaTheme="minorEastAsia"/>
          <w:color w:val="000000" w:themeColor="text1"/>
        </w:rPr>
        <w:t>-based</w:t>
      </w:r>
      <w:r w:rsidR="005B153A">
        <w:rPr>
          <w:rFonts w:eastAsiaTheme="minorEastAsia"/>
          <w:color w:val="000000" w:themeColor="text1"/>
        </w:rPr>
        <w:t xml:space="preserve"> positioning, </w:t>
      </w:r>
      <w:r>
        <w:rPr>
          <w:rFonts w:eastAsiaTheme="minorEastAsia"/>
          <w:color w:val="000000" w:themeColor="text1"/>
        </w:rPr>
        <w:t>UL-based positioning has the same issue on RedCap UEs. The hopping of UL SRS for positioning may also be considered.</w:t>
      </w:r>
    </w:p>
    <w:p w14:paraId="5F6E840F" w14:textId="66743251" w:rsidR="00295F84" w:rsidRDefault="00295F84" w:rsidP="00295F84">
      <w:pPr>
        <w:rPr>
          <w:rFonts w:eastAsia="ＭＳ 明朝"/>
        </w:rPr>
      </w:pPr>
      <w:r w:rsidRPr="00BD4185">
        <w:rPr>
          <w:rFonts w:eastAsiaTheme="minorEastAsia" w:cs="Times"/>
          <w:b/>
          <w:bCs/>
          <w:u w:val="single"/>
        </w:rPr>
        <w:t xml:space="preserve">Proposal </w:t>
      </w:r>
      <w:r w:rsidR="00342B84">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002506D8">
        <w:rPr>
          <w:rFonts w:eastAsiaTheme="minorEastAsia" w:cs="Times"/>
        </w:rPr>
        <w:t>Consider</w:t>
      </w:r>
      <w:r>
        <w:rPr>
          <w:rFonts w:eastAsiaTheme="minorEastAsia" w:cs="Times"/>
        </w:rPr>
        <w:t xml:space="preserve"> bandwidth hopping of UL SRS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1421D3DD" w14:textId="77777777" w:rsidR="004B54EC" w:rsidRDefault="004B54EC" w:rsidP="007D4DB9">
      <w:pPr>
        <w:snapToGrid/>
        <w:spacing w:after="160" w:afterAutospacing="0" w:line="256" w:lineRule="auto"/>
        <w:ind w:right="-99"/>
        <w:contextualSpacing/>
        <w:jc w:val="left"/>
        <w:rPr>
          <w:rFonts w:eastAsia="ＭＳ 明朝"/>
        </w:rPr>
      </w:pPr>
    </w:p>
    <w:bookmarkEnd w:id="7"/>
    <w:bookmarkEnd w:id="8"/>
    <w:bookmarkEnd w:id="9"/>
    <w:bookmarkEnd w:id="10"/>
    <w:bookmarkEnd w:id="11"/>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6FD7AA59"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5"/>
    <w:p w14:paraId="6EEEEA79" w14:textId="313B08C0" w:rsidR="00F6752B" w:rsidRDefault="00F6752B" w:rsidP="002506D8">
      <w:pPr>
        <w:spacing w:after="0" w:afterAutospacing="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sidR="002506D8">
        <w:rPr>
          <w:rFonts w:eastAsiaTheme="minorEastAsia" w:cs="Times"/>
        </w:rPr>
        <w:t>Consider</w:t>
      </w:r>
      <w:r>
        <w:rPr>
          <w:rFonts w:eastAsiaTheme="minorEastAsia" w:cs="Times"/>
        </w:rPr>
        <w:t xml:space="preserve"> bandwidth hopping of DL PRS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40CB83C5" w14:textId="77777777" w:rsidR="002506D8" w:rsidRPr="002506D8" w:rsidRDefault="002506D8" w:rsidP="002506D8">
      <w:pPr>
        <w:spacing w:after="0" w:afterAutospacing="0"/>
        <w:rPr>
          <w:rFonts w:eastAsiaTheme="minorEastAsia" w:cs="Times"/>
        </w:rPr>
      </w:pPr>
    </w:p>
    <w:p w14:paraId="51FB5B81" w14:textId="1E33F897" w:rsidR="00F6752B" w:rsidRDefault="00F6752B" w:rsidP="00F6752B">
      <w:pPr>
        <w:rPr>
          <w:rFonts w:eastAsia="ＭＳ 明朝"/>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002506D8">
        <w:rPr>
          <w:rFonts w:eastAsiaTheme="minorEastAsia" w:cs="Times"/>
        </w:rPr>
        <w:t>Consider</w:t>
      </w:r>
      <w:r>
        <w:rPr>
          <w:rFonts w:eastAsiaTheme="minorEastAsia" w:cs="Times"/>
        </w:rPr>
        <w:t xml:space="preserve"> bandwidth hopping of UL SRS when the degradation of positioning accuracy due to the reduced bandwidth of RedCap UEs </w:t>
      </w:r>
      <w:r w:rsidRPr="00AA5964">
        <w:rPr>
          <w:rFonts w:eastAsiaTheme="minorEastAsia" w:cs="Times"/>
        </w:rPr>
        <w:t>cannot be tolerated</w:t>
      </w:r>
      <w:r>
        <w:rPr>
          <w:rFonts w:eastAsiaTheme="minorEastAsia" w:cs="Times"/>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0FB3FEF2" w14:textId="0F1ABA3A" w:rsidR="00767C19" w:rsidRPr="00F6752B" w:rsidRDefault="00F6752B" w:rsidP="00F6752B">
      <w:pPr>
        <w:pStyle w:val="textintend2"/>
        <w:rPr>
          <w:color w:val="000000" w:themeColor="text1"/>
          <w:szCs w:val="24"/>
        </w:rPr>
      </w:pP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C80D9B">
        <w:t>10</w:t>
      </w:r>
      <w:r w:rsidRPr="00006ABC">
        <w:rPr>
          <w:rFonts w:eastAsiaTheme="minorEastAsia" w:hint="eastAsia"/>
          <w:lang w:eastAsia="zh-CN"/>
        </w:rPr>
        <w:t xml:space="preserve">, </w:t>
      </w:r>
      <w:r w:rsidR="00C80D9B">
        <w:rPr>
          <w:rFonts w:eastAsiaTheme="minorEastAsia"/>
          <w:lang w:eastAsia="zh-CN"/>
        </w:rPr>
        <w:t>Aug.</w:t>
      </w:r>
      <w:r w:rsidRPr="00006ABC">
        <w:t xml:space="preserve"> 202</w:t>
      </w:r>
      <w:r>
        <w:t>2</w:t>
      </w:r>
      <w:r w:rsidRPr="00006ABC">
        <w:rPr>
          <w:rFonts w:eastAsiaTheme="minorEastAsia" w:hint="eastAsia"/>
          <w:lang w:eastAsia="zh-CN"/>
        </w:rPr>
        <w:t>.</w:t>
      </w:r>
    </w:p>
    <w:sectPr w:rsidR="00767C19" w:rsidRPr="00F6752B"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56C9E" w14:textId="77777777" w:rsidR="002553FD" w:rsidRDefault="002553FD">
      <w:r>
        <w:separator/>
      </w:r>
    </w:p>
  </w:endnote>
  <w:endnote w:type="continuationSeparator" w:id="0">
    <w:p w14:paraId="58878343" w14:textId="77777777" w:rsidR="002553FD" w:rsidRDefault="0025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428D" w14:textId="77777777" w:rsidR="002553FD" w:rsidRDefault="002553FD">
      <w:r>
        <w:separator/>
      </w:r>
    </w:p>
  </w:footnote>
  <w:footnote w:type="continuationSeparator" w:id="0">
    <w:p w14:paraId="06067393" w14:textId="77777777" w:rsidR="002553FD" w:rsidRDefault="00255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F2289F80"/>
    <w:lvl w:ilvl="0" w:tplc="97A8924E">
      <w:start w:val="1"/>
      <w:numFmt w:val="bullet"/>
      <w:lvlText w:val="-"/>
      <w:lvlJc w:val="left"/>
      <w:pPr>
        <w:ind w:left="840" w:hanging="420"/>
      </w:pPr>
      <w:rPr>
        <w:rFonts w:ascii="Calibri" w:eastAsiaTheme="minorHAnsi" w:hAnsi="Calibri" w:cs="Calibri"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B2553B"/>
    <w:multiLevelType w:val="hybridMultilevel"/>
    <w:tmpl w:val="0D96A632"/>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7"/>
  </w:num>
  <w:num w:numId="4">
    <w:abstractNumId w:val="25"/>
  </w:num>
  <w:num w:numId="5">
    <w:abstractNumId w:val="17"/>
  </w:num>
  <w:num w:numId="6">
    <w:abstractNumId w:val="18"/>
  </w:num>
  <w:num w:numId="7">
    <w:abstractNumId w:val="15"/>
  </w:num>
  <w:num w:numId="8">
    <w:abstractNumId w:val="0"/>
  </w:num>
  <w:num w:numId="9">
    <w:abstractNumId w:val="26"/>
  </w:num>
  <w:num w:numId="10">
    <w:abstractNumId w:val="13"/>
  </w:num>
  <w:num w:numId="11">
    <w:abstractNumId w:val="22"/>
  </w:num>
  <w:num w:numId="12">
    <w:abstractNumId w:val="3"/>
  </w:num>
  <w:num w:numId="13">
    <w:abstractNumId w:val="11"/>
  </w:num>
  <w:num w:numId="14">
    <w:abstractNumId w:val="3"/>
  </w:num>
  <w:num w:numId="15">
    <w:abstractNumId w:val="23"/>
  </w:num>
  <w:num w:numId="16">
    <w:abstractNumId w:val="5"/>
  </w:num>
  <w:num w:numId="17">
    <w:abstractNumId w:val="8"/>
  </w:num>
  <w:num w:numId="18">
    <w:abstractNumId w:val="16"/>
  </w:num>
  <w:num w:numId="19">
    <w:abstractNumId w:val="6"/>
  </w:num>
  <w:num w:numId="20">
    <w:abstractNumId w:val="2"/>
  </w:num>
  <w:num w:numId="21">
    <w:abstractNumId w:val="14"/>
  </w:num>
  <w:num w:numId="22">
    <w:abstractNumId w:val="27"/>
  </w:num>
  <w:num w:numId="23">
    <w:abstractNumId w:val="20"/>
  </w:num>
  <w:num w:numId="24">
    <w:abstractNumId w:val="12"/>
  </w:num>
  <w:num w:numId="25">
    <w:abstractNumId w:val="19"/>
  </w:num>
  <w:num w:numId="26">
    <w:abstractNumId w:val="21"/>
  </w:num>
  <w:num w:numId="27">
    <w:abstractNumId w:val="10"/>
  </w:num>
  <w:num w:numId="28">
    <w:abstractNumId w:val="4"/>
  </w:num>
  <w:num w:numId="2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4E78"/>
    <w:rsid w:val="000356EC"/>
    <w:rsid w:val="000358C5"/>
    <w:rsid w:val="00035DAE"/>
    <w:rsid w:val="00036830"/>
    <w:rsid w:val="00037050"/>
    <w:rsid w:val="00037D7F"/>
    <w:rsid w:val="0004004C"/>
    <w:rsid w:val="0004055D"/>
    <w:rsid w:val="000411B6"/>
    <w:rsid w:val="00041332"/>
    <w:rsid w:val="000414F5"/>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2E40"/>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A21"/>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6795"/>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306"/>
    <w:rsid w:val="000B5B15"/>
    <w:rsid w:val="000B6E4C"/>
    <w:rsid w:val="000B6E61"/>
    <w:rsid w:val="000B7C4D"/>
    <w:rsid w:val="000C0725"/>
    <w:rsid w:val="000C0EDD"/>
    <w:rsid w:val="000C1B4B"/>
    <w:rsid w:val="000C1C18"/>
    <w:rsid w:val="000C1CA9"/>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70"/>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6D8"/>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3FD"/>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84"/>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B7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25E"/>
    <w:rsid w:val="003274EC"/>
    <w:rsid w:val="003275B2"/>
    <w:rsid w:val="003275C9"/>
    <w:rsid w:val="0032765B"/>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2B84"/>
    <w:rsid w:val="0034366B"/>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68"/>
    <w:rsid w:val="003706E3"/>
    <w:rsid w:val="00370824"/>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7DE"/>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333"/>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8D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9AD"/>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186"/>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2E32"/>
    <w:rsid w:val="004B304B"/>
    <w:rsid w:val="004B3474"/>
    <w:rsid w:val="004B3960"/>
    <w:rsid w:val="004B421D"/>
    <w:rsid w:val="004B4670"/>
    <w:rsid w:val="004B497E"/>
    <w:rsid w:val="004B4ACD"/>
    <w:rsid w:val="004B4F33"/>
    <w:rsid w:val="004B5083"/>
    <w:rsid w:val="004B54EC"/>
    <w:rsid w:val="004B551B"/>
    <w:rsid w:val="004B5753"/>
    <w:rsid w:val="004B5B7F"/>
    <w:rsid w:val="004B6D70"/>
    <w:rsid w:val="004B721E"/>
    <w:rsid w:val="004B786D"/>
    <w:rsid w:val="004C034E"/>
    <w:rsid w:val="004C06A8"/>
    <w:rsid w:val="004C0755"/>
    <w:rsid w:val="004C084B"/>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51"/>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C4A"/>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A20"/>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7F2"/>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53A"/>
    <w:rsid w:val="005B17CF"/>
    <w:rsid w:val="005B1A9E"/>
    <w:rsid w:val="005B1BEB"/>
    <w:rsid w:val="005B1D3B"/>
    <w:rsid w:val="005B2012"/>
    <w:rsid w:val="005B21BA"/>
    <w:rsid w:val="005B2B9F"/>
    <w:rsid w:val="005B2E20"/>
    <w:rsid w:val="005B36AA"/>
    <w:rsid w:val="005B3A28"/>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4AE"/>
    <w:rsid w:val="005D4C54"/>
    <w:rsid w:val="005D52A9"/>
    <w:rsid w:val="005D5484"/>
    <w:rsid w:val="005D5E4E"/>
    <w:rsid w:val="005D6A99"/>
    <w:rsid w:val="005D7286"/>
    <w:rsid w:val="005E094E"/>
    <w:rsid w:val="005E1604"/>
    <w:rsid w:val="005E1816"/>
    <w:rsid w:val="005E20E1"/>
    <w:rsid w:val="005E250A"/>
    <w:rsid w:val="005E254D"/>
    <w:rsid w:val="005E2759"/>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37"/>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540"/>
    <w:rsid w:val="006C1CAB"/>
    <w:rsid w:val="006C2285"/>
    <w:rsid w:val="006C2891"/>
    <w:rsid w:val="006C2992"/>
    <w:rsid w:val="006C2D7B"/>
    <w:rsid w:val="006C30F2"/>
    <w:rsid w:val="006C33C9"/>
    <w:rsid w:val="006C3458"/>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67C19"/>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3CA"/>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5F22"/>
    <w:rsid w:val="007A603C"/>
    <w:rsid w:val="007A67F8"/>
    <w:rsid w:val="007A69A5"/>
    <w:rsid w:val="007A6A8E"/>
    <w:rsid w:val="007A6E5F"/>
    <w:rsid w:val="007A70A3"/>
    <w:rsid w:val="007A70C7"/>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6CF"/>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DB9"/>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DD2"/>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386"/>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A03"/>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31F"/>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48E"/>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10A"/>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98D"/>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A9F"/>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1E2E"/>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66D"/>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5B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964"/>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043"/>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B56"/>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B9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2EDC"/>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AE3"/>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B1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6A89"/>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324"/>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39"/>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0D9B"/>
    <w:rsid w:val="00C81299"/>
    <w:rsid w:val="00C8151C"/>
    <w:rsid w:val="00C81928"/>
    <w:rsid w:val="00C81C3D"/>
    <w:rsid w:val="00C81F4F"/>
    <w:rsid w:val="00C82185"/>
    <w:rsid w:val="00C8235A"/>
    <w:rsid w:val="00C8346D"/>
    <w:rsid w:val="00C83510"/>
    <w:rsid w:val="00C83CB0"/>
    <w:rsid w:val="00C83DC5"/>
    <w:rsid w:val="00C83EAC"/>
    <w:rsid w:val="00C8458B"/>
    <w:rsid w:val="00C84B33"/>
    <w:rsid w:val="00C85541"/>
    <w:rsid w:val="00C85C72"/>
    <w:rsid w:val="00C8605A"/>
    <w:rsid w:val="00C8634D"/>
    <w:rsid w:val="00C863B2"/>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BE8"/>
    <w:rsid w:val="00CB1353"/>
    <w:rsid w:val="00CB1A83"/>
    <w:rsid w:val="00CB28C4"/>
    <w:rsid w:val="00CB2A17"/>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EA8"/>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54F2"/>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763"/>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3971"/>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D29"/>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1D53"/>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5FD"/>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439"/>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2F93"/>
    <w:rsid w:val="00EF3AF2"/>
    <w:rsid w:val="00EF3D0A"/>
    <w:rsid w:val="00EF465C"/>
    <w:rsid w:val="00EF468F"/>
    <w:rsid w:val="00EF46AC"/>
    <w:rsid w:val="00EF474D"/>
    <w:rsid w:val="00EF4D66"/>
    <w:rsid w:val="00EF4F61"/>
    <w:rsid w:val="00EF4F9D"/>
    <w:rsid w:val="00EF5623"/>
    <w:rsid w:val="00EF5DF9"/>
    <w:rsid w:val="00EF678A"/>
    <w:rsid w:val="00EF7DAE"/>
    <w:rsid w:val="00F005DA"/>
    <w:rsid w:val="00F00CA2"/>
    <w:rsid w:val="00F01F0C"/>
    <w:rsid w:val="00F025B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34D"/>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C87"/>
    <w:rsid w:val="00F27D00"/>
    <w:rsid w:val="00F27E06"/>
    <w:rsid w:val="00F305A7"/>
    <w:rsid w:val="00F30757"/>
    <w:rsid w:val="00F31D49"/>
    <w:rsid w:val="00F31DB4"/>
    <w:rsid w:val="00F31E5E"/>
    <w:rsid w:val="00F3203C"/>
    <w:rsid w:val="00F32392"/>
    <w:rsid w:val="00F32490"/>
    <w:rsid w:val="00F32D71"/>
    <w:rsid w:val="00F33049"/>
    <w:rsid w:val="00F35CE6"/>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52B"/>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CA"/>
    <w:rsid w:val="00FC52DE"/>
    <w:rsid w:val="00FC539B"/>
    <w:rsid w:val="00FC5ADB"/>
    <w:rsid w:val="00FC5F53"/>
    <w:rsid w:val="00FC6178"/>
    <w:rsid w:val="00FC61FD"/>
    <w:rsid w:val="00FC6F0A"/>
    <w:rsid w:val="00FC7773"/>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8C6"/>
    <w:rsid w:val="00FE5B1A"/>
    <w:rsid w:val="00FE5CAA"/>
    <w:rsid w:val="00FE5D59"/>
    <w:rsid w:val="00FE631A"/>
    <w:rsid w:val="00FE7232"/>
    <w:rsid w:val="00FE73FC"/>
    <w:rsid w:val="00FE7A41"/>
    <w:rsid w:val="00FF0981"/>
    <w:rsid w:val="00FF0BBD"/>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5"/>
    <w:uiPriority w:val="99"/>
    <w:qFormat/>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qFormat/>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B2Char">
    <w:name w:val="B2 Char"/>
    <w:link w:val="B2"/>
    <w:qFormat/>
    <w:rsid w:val="0032725E"/>
    <w:rPr>
      <w:rFonts w:ascii="Times New Roman" w:hAnsi="Times New Roman"/>
      <w:lang w:val="en-GB" w:eastAsia="en-GB"/>
    </w:rPr>
  </w:style>
  <w:style w:type="character" w:customStyle="1" w:styleId="TALChar">
    <w:name w:val="TAL Char"/>
    <w:link w:val="TAL"/>
    <w:qFormat/>
    <w:locked/>
    <w:rsid w:val="0032725E"/>
    <w:rPr>
      <w:rFonts w:ascii="Arial" w:hAnsi="Arial"/>
      <w:sz w:val="18"/>
      <w:lang w:val="en-GB" w:eastAsia="en-GB"/>
    </w:rPr>
  </w:style>
  <w:style w:type="character" w:customStyle="1" w:styleId="TAHCar">
    <w:name w:val="TAH Car"/>
    <w:link w:val="TAH"/>
    <w:qFormat/>
    <w:locked/>
    <w:rsid w:val="0032725E"/>
    <w:rPr>
      <w:rFonts w:ascii="Arial" w:hAnsi="Arial"/>
      <w:b/>
      <w:sz w:val="18"/>
      <w:lang w:val="en-GB" w:eastAsia="en-GB"/>
    </w:rPr>
  </w:style>
  <w:style w:type="character" w:customStyle="1" w:styleId="normaltextrun">
    <w:name w:val="normaltextrun"/>
    <w:qFormat/>
    <w:rsid w:val="0032725E"/>
  </w:style>
  <w:style w:type="character" w:customStyle="1" w:styleId="TANChar">
    <w:name w:val="TAN Char"/>
    <w:link w:val="TAN"/>
    <w:qFormat/>
    <w:locked/>
    <w:rsid w:val="0032725E"/>
    <w:rPr>
      <w:rFonts w:ascii="Arial" w:hAnsi="Arial"/>
      <w:sz w:val="18"/>
      <w:lang w:val="en-GB" w:eastAsia="en-GB"/>
    </w:rPr>
  </w:style>
  <w:style w:type="character" w:customStyle="1" w:styleId="spellingerror">
    <w:name w:val="spellingerror"/>
    <w:qFormat/>
    <w:rsid w:val="0032725E"/>
  </w:style>
  <w:style w:type="paragraph" w:customStyle="1" w:styleId="Proposal">
    <w:name w:val="Proposal"/>
    <w:basedOn w:val="a"/>
    <w:link w:val="ProposalChar"/>
    <w:qFormat/>
    <w:rsid w:val="0032725E"/>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32725E"/>
    <w:rPr>
      <w:rFonts w:ascii="Times New Roman" w:eastAsia="Times New Roman" w:hAnsi="Times New Roman"/>
      <w:b/>
      <w:bCs/>
      <w:lang w:val="en-GB" w:eastAsia="zh-CN"/>
    </w:rPr>
  </w:style>
  <w:style w:type="character" w:customStyle="1" w:styleId="TACChar">
    <w:name w:val="TAC Char"/>
    <w:link w:val="TAC"/>
    <w:qFormat/>
    <w:locked/>
    <w:rsid w:val="00C80D9B"/>
    <w:rPr>
      <w:rFonts w:ascii="Arial" w:hAnsi="Arial"/>
      <w:sz w:val="18"/>
      <w:lang w:val="en-GB" w:eastAsia="en-GB"/>
    </w:rPr>
  </w:style>
  <w:style w:type="paragraph" w:customStyle="1" w:styleId="0maintext">
    <w:name w:val="0maintext"/>
    <w:basedOn w:val="a"/>
    <w:uiPriority w:val="99"/>
    <w:qFormat/>
    <w:rsid w:val="00C80D9B"/>
    <w:pPr>
      <w:snapToGrid/>
      <w:spacing w:after="0" w:afterAutospacing="0"/>
      <w:jc w:val="left"/>
    </w:pPr>
    <w:rPr>
      <w:rFonts w:eastAsia="SimSun"/>
      <w:sz w:val="16"/>
      <w:szCs w:val="24"/>
      <w:lang w:val="en-US" w:eastAsia="zh-CN"/>
    </w:rPr>
  </w:style>
  <w:style w:type="character" w:customStyle="1" w:styleId="TALCar">
    <w:name w:val="TAL Car"/>
    <w:qFormat/>
    <w:rsid w:val="00C80D9B"/>
    <w:rPr>
      <w:rFonts w:ascii="Arial" w:eastAsia="Times New Roman" w:hAnsi="Arial" w:cs="Times New Roman" w:hint="default"/>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97242248">
      <w:bodyDiv w:val="1"/>
      <w:marLeft w:val="0"/>
      <w:marRight w:val="0"/>
      <w:marTop w:val="0"/>
      <w:marBottom w:val="0"/>
      <w:divBdr>
        <w:top w:val="none" w:sz="0" w:space="0" w:color="auto"/>
        <w:left w:val="none" w:sz="0" w:space="0" w:color="auto"/>
        <w:bottom w:val="none" w:sz="0" w:space="0" w:color="auto"/>
        <w:right w:val="none" w:sz="0" w:space="0" w:color="auto"/>
      </w:divBdr>
    </w:div>
    <w:div w:id="430468098">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664388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610053">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651</Words>
  <Characters>3717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2022-09-30T07:42:00Z</dcterms:created>
  <dcterms:modified xsi:type="dcterms:W3CDTF">2022-09-30T07:46:00Z</dcterms:modified>
</cp:coreProperties>
</file>