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4DF3978F" w:rsidR="00FE7EC6" w:rsidRPr="00490F11" w:rsidRDefault="00FE7EC6" w:rsidP="00FE7EC6">
      <w:pPr>
        <w:pStyle w:val="Header"/>
        <w:widowControl w:val="0"/>
        <w:jc w:val="left"/>
        <w:rPr>
          <w:rFonts w:ascii="Arial" w:hAnsi="Arial" w:cs="Arial"/>
          <w:b/>
          <w:bCs/>
          <w:lang w:val="de-DE" w:eastAsia="zh-CN"/>
        </w:rPr>
      </w:pPr>
      <w:r w:rsidRPr="00490F11">
        <w:rPr>
          <w:rFonts w:ascii="Arial" w:hAnsi="Arial" w:cs="Arial"/>
          <w:b/>
          <w:bCs/>
          <w:lang w:val="de-DE"/>
        </w:rPr>
        <w:t>3GPP TSG RAN WG1 #1</w:t>
      </w:r>
      <w:r w:rsidR="00BB5983" w:rsidRPr="00490F11">
        <w:rPr>
          <w:rFonts w:ascii="Arial" w:hAnsi="Arial" w:cs="Arial"/>
          <w:b/>
          <w:bCs/>
          <w:lang w:val="de-DE"/>
        </w:rPr>
        <w:t>1</w:t>
      </w:r>
      <w:r w:rsidRPr="00490F11">
        <w:rPr>
          <w:rFonts w:ascii="Arial" w:hAnsi="Arial" w:cs="Arial"/>
          <w:b/>
          <w:bCs/>
          <w:lang w:val="de-DE"/>
        </w:rPr>
        <w:t>0</w:t>
      </w:r>
      <w:r w:rsidR="00027C50" w:rsidRPr="00490F11">
        <w:rPr>
          <w:rFonts w:ascii="Arial" w:hAnsi="Arial" w:cs="Arial"/>
          <w:b/>
          <w:bCs/>
          <w:lang w:val="de-DE"/>
        </w:rPr>
        <w:t>bis-e</w:t>
      </w:r>
      <w:r w:rsidR="00900890" w:rsidRPr="00490F11">
        <w:rPr>
          <w:rFonts w:ascii="Arial" w:hAnsi="Arial" w:cs="Arial"/>
          <w:b/>
          <w:bCs/>
          <w:lang w:val="de-DE"/>
        </w:rPr>
        <w:t xml:space="preserve">   </w:t>
      </w:r>
      <w:r w:rsidRPr="00490F11">
        <w:rPr>
          <w:rFonts w:ascii="Arial" w:hAnsi="Arial" w:cs="Arial"/>
          <w:b/>
          <w:bCs/>
          <w:lang w:val="de-DE"/>
        </w:rPr>
        <w:t xml:space="preserve">                                                          </w:t>
      </w:r>
      <w:r w:rsidR="00070BC6" w:rsidRPr="00490F11">
        <w:rPr>
          <w:rFonts w:ascii="Arial" w:hAnsi="Arial" w:cs="Arial"/>
          <w:b/>
          <w:bCs/>
          <w:lang w:val="de-DE" w:eastAsia="zh-CN"/>
        </w:rPr>
        <w:t xml:space="preserve">     </w:t>
      </w:r>
      <w:r w:rsidR="00CD482C" w:rsidRPr="00490F11">
        <w:rPr>
          <w:rFonts w:ascii="Arial" w:hAnsi="Arial" w:cs="Arial"/>
          <w:b/>
          <w:bCs/>
          <w:lang w:val="de-DE" w:eastAsia="zh-CN"/>
        </w:rPr>
        <w:t xml:space="preserve"> </w:t>
      </w:r>
      <w:r w:rsidR="00F517E4" w:rsidRPr="00490F11">
        <w:rPr>
          <w:rFonts w:ascii="Arial" w:hAnsi="Arial" w:cs="Arial"/>
          <w:b/>
          <w:bCs/>
          <w:lang w:val="de-DE" w:eastAsia="zh-CN"/>
        </w:rPr>
        <w:t xml:space="preserve">     </w:t>
      </w:r>
      <w:r w:rsidR="00027C50" w:rsidRPr="00490F11">
        <w:rPr>
          <w:rFonts w:ascii="Arial" w:hAnsi="Arial" w:cs="Arial"/>
          <w:b/>
          <w:bCs/>
          <w:lang w:val="de-DE" w:eastAsia="zh-CN"/>
        </w:rPr>
        <w:t xml:space="preserve">    </w:t>
      </w:r>
      <w:r w:rsidR="00490F11">
        <w:rPr>
          <w:rFonts w:ascii="Arial" w:hAnsi="Arial" w:cs="Arial"/>
          <w:b/>
          <w:bCs/>
          <w:lang w:val="de-DE" w:eastAsia="zh-CN"/>
        </w:rPr>
        <w:t xml:space="preserve"> </w:t>
      </w:r>
      <w:r w:rsidR="00027C50" w:rsidRPr="00490F11">
        <w:rPr>
          <w:rFonts w:ascii="Arial" w:hAnsi="Arial" w:cs="Arial"/>
          <w:b/>
          <w:bCs/>
          <w:lang w:val="de-DE" w:eastAsia="zh-CN"/>
        </w:rPr>
        <w:t xml:space="preserve"> </w:t>
      </w:r>
      <w:r w:rsidR="00523C2E" w:rsidRPr="00490F11">
        <w:rPr>
          <w:rFonts w:ascii="Arial" w:hAnsi="Arial" w:cs="Arial"/>
          <w:b/>
          <w:bCs/>
          <w:lang w:val="de-DE" w:eastAsia="zh-CN"/>
        </w:rPr>
        <w:t>R1-</w:t>
      </w:r>
      <w:r w:rsidR="00027C50" w:rsidRPr="00490F11">
        <w:rPr>
          <w:rFonts w:ascii="Arial" w:hAnsi="Arial" w:cs="Arial"/>
          <w:b/>
          <w:bCs/>
          <w:lang w:val="de-DE" w:eastAsia="zh-CN"/>
        </w:rPr>
        <w:t>220</w:t>
      </w:r>
      <w:r w:rsidR="00490F11">
        <w:rPr>
          <w:rFonts w:ascii="Arial" w:hAnsi="Arial" w:cs="Arial"/>
          <w:b/>
          <w:bCs/>
          <w:lang w:val="de-DE" w:eastAsia="zh-CN"/>
        </w:rPr>
        <w:t>9301</w:t>
      </w:r>
    </w:p>
    <w:p w14:paraId="2501BD26" w14:textId="7B7F31E9" w:rsidR="00FE7EC6" w:rsidRPr="00111FEE" w:rsidRDefault="00027C50" w:rsidP="00FE7EC6">
      <w:pPr>
        <w:pStyle w:val="Header"/>
        <w:widowControl w:val="0"/>
        <w:rPr>
          <w:rFonts w:ascii="Arial" w:hAnsi="Arial" w:cs="Arial"/>
          <w:b/>
          <w:bCs/>
          <w:lang w:val="en-GB"/>
        </w:rPr>
      </w:pPr>
      <w:bookmarkStart w:id="0" w:name="_Hlk61342301"/>
      <w:r w:rsidRPr="00027C50">
        <w:rPr>
          <w:rFonts w:ascii="Arial" w:eastAsia="MS Mincho" w:hAnsi="Arial" w:cs="Arial"/>
          <w:b/>
          <w:bCs/>
          <w:szCs w:val="18"/>
          <w:lang w:eastAsia="ja-JP"/>
        </w:rPr>
        <w:t>e-Meeting, October 10</w:t>
      </w:r>
      <w:r w:rsidRPr="00027C50">
        <w:rPr>
          <w:rFonts w:ascii="Arial" w:eastAsia="MS Mincho" w:hAnsi="Arial" w:cs="Arial"/>
          <w:b/>
          <w:bCs/>
          <w:szCs w:val="18"/>
          <w:vertAlign w:val="superscript"/>
          <w:lang w:eastAsia="ja-JP"/>
        </w:rPr>
        <w:t>th</w:t>
      </w:r>
      <w:r w:rsidRPr="00027C50">
        <w:rPr>
          <w:rFonts w:ascii="Arial" w:eastAsia="MS Mincho" w:hAnsi="Arial" w:cs="Arial"/>
          <w:b/>
          <w:bCs/>
          <w:szCs w:val="18"/>
          <w:lang w:eastAsia="ja-JP"/>
        </w:rPr>
        <w:t xml:space="preserve"> – 19</w:t>
      </w:r>
      <w:r w:rsidRPr="00027C50">
        <w:rPr>
          <w:rFonts w:ascii="Arial" w:eastAsia="MS Mincho" w:hAnsi="Arial" w:cs="Arial"/>
          <w:b/>
          <w:bCs/>
          <w:szCs w:val="18"/>
          <w:vertAlign w:val="superscript"/>
          <w:lang w:eastAsia="ja-JP"/>
        </w:rPr>
        <w:t>th</w:t>
      </w:r>
      <w:r w:rsidRPr="00027C50">
        <w:rPr>
          <w:rFonts w:ascii="Arial" w:eastAsia="MS Mincho" w:hAnsi="Arial" w:cs="Arial"/>
          <w:b/>
          <w:bCs/>
          <w:szCs w:val="18"/>
          <w:lang w:eastAsia="ja-JP"/>
        </w:rPr>
        <w:t xml:space="preserve">, </w:t>
      </w:r>
      <w:r w:rsidR="00BB5983" w:rsidRPr="00BB5983">
        <w:rPr>
          <w:rFonts w:ascii="Arial" w:eastAsia="MS Mincho" w:hAnsi="Arial" w:cs="Arial"/>
          <w:b/>
          <w:bCs/>
          <w:szCs w:val="18"/>
          <w:lang w:eastAsia="ja-JP"/>
        </w:rPr>
        <w:t>2022</w:t>
      </w:r>
      <w:bookmarkEnd w:id="0"/>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52BD8E1F"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44568" w:rsidRPr="00444568">
        <w:rPr>
          <w:rFonts w:ascii="Arial" w:hAnsi="Arial" w:cs="Arial"/>
          <w:b/>
          <w:bCs/>
          <w:szCs w:val="20"/>
          <w:lang w:val="en-GB"/>
        </w:rPr>
        <w:t>9.4.1.</w:t>
      </w:r>
      <w:r w:rsidR="00380BE5">
        <w:rPr>
          <w:rFonts w:ascii="Arial" w:hAnsi="Arial" w:cs="Arial"/>
          <w:b/>
          <w:bCs/>
          <w:szCs w:val="20"/>
          <w:lang w:val="en-GB"/>
        </w:rPr>
        <w:t>1</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73C999DC"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CF0ECE" w:rsidRPr="00CF0ECE">
        <w:rPr>
          <w:rFonts w:ascii="Arial" w:hAnsi="Arial" w:cs="Arial"/>
          <w:b/>
          <w:bCs/>
          <w:szCs w:val="20"/>
          <w:lang w:val="en-GB"/>
        </w:rPr>
        <w:t>Channel access mechanism for sidelink on FR1 unlicensed spectrum</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49E71BC0" w14:textId="77777777" w:rsidR="00CF0ECE" w:rsidRDefault="00CF0ECE" w:rsidP="00CF0ECE">
      <w:pPr>
        <w:pStyle w:val="BodyText"/>
      </w:pPr>
    </w:p>
    <w:p w14:paraId="00C07A64" w14:textId="6E3ACC96" w:rsidR="00BB5983" w:rsidRPr="00BB5983" w:rsidRDefault="00BB5983" w:rsidP="00CF0ECE">
      <w:pPr>
        <w:pStyle w:val="BodyText"/>
        <w:rPr>
          <w:lang w:val="en-US"/>
        </w:rPr>
      </w:pPr>
      <w:r>
        <w:rPr>
          <w:lang w:val="en-US"/>
        </w:rPr>
        <w:t>In RAN1#1</w:t>
      </w:r>
      <w:r w:rsidR="00027C50">
        <w:rPr>
          <w:lang w:val="en-US"/>
        </w:rPr>
        <w:t>1</w:t>
      </w:r>
      <w:r>
        <w:rPr>
          <w:lang w:val="en-US"/>
        </w:rPr>
        <w:t xml:space="preserve">0 meeting, for Rel-18 NR sidelink transmission on unlicensed spectrum (SL-U), </w:t>
      </w:r>
      <w:r>
        <w:t xml:space="preserve">the </w:t>
      </w:r>
      <w:r>
        <w:rPr>
          <w:lang w:val="en-US"/>
        </w:rPr>
        <w:t xml:space="preserve">relevant </w:t>
      </w:r>
      <w:r>
        <w:t>channel access mechanism</w:t>
      </w:r>
      <w:r>
        <w:rPr>
          <w:lang w:val="en-US"/>
        </w:rPr>
        <w:t>s have been extensively discussed</w:t>
      </w:r>
      <w:r w:rsidR="00F80825">
        <w:rPr>
          <w:lang w:val="en-US"/>
        </w:rPr>
        <w:t xml:space="preserve"> including s</w:t>
      </w:r>
      <w:r>
        <w:rPr>
          <w:lang w:val="en-US"/>
        </w:rPr>
        <w:t xml:space="preserve">ome fundamental issues, e.g., </w:t>
      </w:r>
      <w:r w:rsidR="00027C50">
        <w:rPr>
          <w:lang w:val="en-US"/>
        </w:rPr>
        <w:t xml:space="preserve">evaluation methodologies, CWS adjustment, </w:t>
      </w:r>
      <w:r>
        <w:rPr>
          <w:lang w:val="en-US"/>
        </w:rPr>
        <w:t xml:space="preserve">LBT types and conditions, </w:t>
      </w:r>
      <w:r w:rsidR="00027C50">
        <w:rPr>
          <w:rFonts w:eastAsia="Batang"/>
          <w:lang w:val="en-GB" w:eastAsia="x-none"/>
        </w:rPr>
        <w:t>m</w:t>
      </w:r>
      <w:r w:rsidR="00027C50" w:rsidRPr="00027C50">
        <w:rPr>
          <w:rFonts w:eastAsia="Batang"/>
          <w:lang w:val="en-GB" w:eastAsia="x-none"/>
        </w:rPr>
        <w:t>ulti-consecutive slots transmission</w:t>
      </w:r>
      <w:r w:rsidR="00027C50">
        <w:rPr>
          <w:rFonts w:eastAsia="Batang"/>
          <w:lang w:val="en-GB" w:eastAsia="x-none"/>
        </w:rPr>
        <w:t>,</w:t>
      </w:r>
      <w:r w:rsidR="00027C50" w:rsidRPr="00027C50">
        <w:rPr>
          <w:rFonts w:eastAsia="Batang"/>
          <w:lang w:val="en-GB" w:eastAsia="x-none"/>
        </w:rPr>
        <w:t xml:space="preserve"> </w:t>
      </w:r>
      <w:r>
        <w:rPr>
          <w:lang w:val="en-US"/>
        </w:rPr>
        <w:t xml:space="preserve">UE-to-UE COT sharing </w:t>
      </w:r>
      <w:r w:rsidR="00027C50">
        <w:rPr>
          <w:lang w:val="en-US"/>
        </w:rPr>
        <w:t>details</w:t>
      </w:r>
      <w:r w:rsidR="00F80825">
        <w:rPr>
          <w:lang w:val="en-US"/>
        </w:rPr>
        <w:t>.</w:t>
      </w:r>
      <w:r>
        <w:rPr>
          <w:lang w:val="en-US"/>
        </w:rPr>
        <w:t xml:space="preserve"> </w:t>
      </w:r>
      <w:r w:rsidR="00F80825">
        <w:rPr>
          <w:lang w:val="en-US"/>
        </w:rPr>
        <w:t>T</w:t>
      </w:r>
      <w:r>
        <w:rPr>
          <w:lang w:val="en-US"/>
        </w:rPr>
        <w:t xml:space="preserve">he reached agreements are listed below. </w:t>
      </w:r>
    </w:p>
    <w:p w14:paraId="6921AABE" w14:textId="77777777" w:rsidR="00027C50" w:rsidRPr="00027C50" w:rsidRDefault="00027C50" w:rsidP="00027C50">
      <w:pPr>
        <w:autoSpaceDE w:val="0"/>
        <w:autoSpaceDN w:val="0"/>
        <w:spacing w:after="0" w:line="240" w:lineRule="auto"/>
        <w:jc w:val="both"/>
        <w:rPr>
          <w:rFonts w:ascii="Calibri" w:eastAsia="Batang" w:hAnsi="Calibri" w:cs="Calibri"/>
          <w:sz w:val="20"/>
          <w:szCs w:val="24"/>
          <w:lang w:val="en-GB" w:eastAsia="en-US"/>
        </w:rPr>
      </w:pPr>
      <w:r w:rsidRPr="00027C50">
        <w:rPr>
          <w:rFonts w:ascii="Calibri" w:eastAsia="Batang" w:hAnsi="Calibri" w:cs="Calibri"/>
          <w:b/>
          <w:bCs/>
          <w:sz w:val="20"/>
          <w:szCs w:val="24"/>
          <w:highlight w:val="green"/>
          <w:lang w:val="en-GB" w:eastAsia="en-US"/>
        </w:rPr>
        <w:t>Agreement</w:t>
      </w:r>
    </w:p>
    <w:p w14:paraId="4BA037DB" w14:textId="77777777" w:rsidR="00027C50" w:rsidRPr="00027C50" w:rsidRDefault="00027C50" w:rsidP="00027C50">
      <w:pPr>
        <w:numPr>
          <w:ilvl w:val="0"/>
          <w:numId w:val="22"/>
        </w:numPr>
        <w:autoSpaceDE w:val="0"/>
        <w:autoSpaceDN w:val="0"/>
        <w:spacing w:after="0" w:line="240" w:lineRule="auto"/>
        <w:jc w:val="both"/>
        <w:rPr>
          <w:rFonts w:ascii="Times New Roman" w:eastAsia="Batang" w:hAnsi="Times New Roman" w:cs="Times New Roman"/>
          <w:sz w:val="20"/>
          <w:szCs w:val="24"/>
          <w:lang w:val="en-GB" w:eastAsia="x-none"/>
        </w:rPr>
      </w:pPr>
      <w:r w:rsidRPr="00027C50">
        <w:rPr>
          <w:rFonts w:ascii="Times New Roman" w:eastAsia="Batang" w:hAnsi="Times New Roman" w:cs="Times New Roman"/>
          <w:sz w:val="20"/>
          <w:szCs w:val="24"/>
          <w:lang w:val="en-GB" w:eastAsia="x-none"/>
        </w:rPr>
        <w:t>CW adjustment</w:t>
      </w:r>
    </w:p>
    <w:p w14:paraId="5C8B978F" w14:textId="77777777" w:rsidR="00027C50" w:rsidRPr="00027C50" w:rsidRDefault="00027C50" w:rsidP="00027C50">
      <w:pPr>
        <w:numPr>
          <w:ilvl w:val="1"/>
          <w:numId w:val="22"/>
        </w:numPr>
        <w:autoSpaceDE w:val="0"/>
        <w:autoSpaceDN w:val="0"/>
        <w:spacing w:after="0" w:line="240" w:lineRule="auto"/>
        <w:jc w:val="both"/>
        <w:rPr>
          <w:rFonts w:ascii="Times New Roman" w:eastAsia="Batang" w:hAnsi="Times New Roman" w:cs="Times New Roman"/>
          <w:sz w:val="20"/>
          <w:szCs w:val="24"/>
          <w:lang w:val="en-GB" w:eastAsia="x-none"/>
        </w:rPr>
      </w:pPr>
      <w:r w:rsidRPr="00027C50">
        <w:rPr>
          <w:rFonts w:ascii="Times New Roman" w:eastAsia="Batang" w:hAnsi="Times New Roman" w:cs="Times New Roman"/>
          <w:sz w:val="20"/>
          <w:szCs w:val="24"/>
          <w:lang w:val="en-GB" w:eastAsia="x-none"/>
        </w:rPr>
        <w:t xml:space="preserve">NR-U DL CW adjustment mechanism is used as the baseline for SL-U when SL-HARQ feedback is enabled in SCI for unicast </w:t>
      </w:r>
    </w:p>
    <w:p w14:paraId="72424255" w14:textId="77777777" w:rsidR="00027C50" w:rsidRPr="00027C50" w:rsidRDefault="00027C50" w:rsidP="00027C50">
      <w:pPr>
        <w:numPr>
          <w:ilvl w:val="2"/>
          <w:numId w:val="22"/>
        </w:numPr>
        <w:autoSpaceDE w:val="0"/>
        <w:autoSpaceDN w:val="0"/>
        <w:spacing w:after="0" w:line="240" w:lineRule="auto"/>
        <w:jc w:val="both"/>
        <w:rPr>
          <w:rFonts w:ascii="Times New Roman" w:eastAsia="Batang" w:hAnsi="Times New Roman" w:cs="Times New Roman"/>
          <w:sz w:val="20"/>
          <w:szCs w:val="24"/>
          <w:lang w:val="en-GB" w:eastAsia="x-none"/>
        </w:rPr>
      </w:pPr>
      <w:r w:rsidRPr="00027C50">
        <w:rPr>
          <w:rFonts w:ascii="Times New Roman" w:eastAsia="Batang" w:hAnsi="Times New Roman" w:cs="Times New Roman"/>
          <w:sz w:val="20"/>
          <w:szCs w:val="24"/>
          <w:lang w:val="en-GB" w:eastAsia="x-none"/>
        </w:rPr>
        <w:t>FFS any necessary update for SL-U operation</w:t>
      </w:r>
    </w:p>
    <w:p w14:paraId="72F79A9B" w14:textId="77777777" w:rsidR="00027C50" w:rsidRPr="00027C50" w:rsidRDefault="00027C50" w:rsidP="00027C50">
      <w:pPr>
        <w:numPr>
          <w:ilvl w:val="1"/>
          <w:numId w:val="22"/>
        </w:numPr>
        <w:autoSpaceDE w:val="0"/>
        <w:autoSpaceDN w:val="0"/>
        <w:spacing w:after="0" w:line="240" w:lineRule="auto"/>
        <w:jc w:val="both"/>
        <w:rPr>
          <w:rFonts w:ascii="Times New Roman" w:eastAsia="Batang" w:hAnsi="Times New Roman" w:cs="Times New Roman"/>
          <w:sz w:val="20"/>
          <w:szCs w:val="24"/>
          <w:lang w:val="en-GB" w:eastAsia="x-none"/>
        </w:rPr>
      </w:pPr>
      <w:r w:rsidRPr="00027C50">
        <w:rPr>
          <w:rFonts w:ascii="Times New Roman" w:eastAsia="Batang" w:hAnsi="Times New Roman" w:cs="Times New Roman"/>
          <w:sz w:val="20"/>
          <w:szCs w:val="24"/>
          <w:lang w:val="en-GB" w:eastAsia="x-none"/>
        </w:rPr>
        <w:t>FFS: how to determine CW size when SL-HARQ feedback is disabled in SCI</w:t>
      </w:r>
    </w:p>
    <w:p w14:paraId="1FF32386" w14:textId="77777777" w:rsidR="00027C50" w:rsidRPr="00027C50" w:rsidRDefault="00027C50" w:rsidP="00027C50">
      <w:pPr>
        <w:numPr>
          <w:ilvl w:val="1"/>
          <w:numId w:val="22"/>
        </w:numPr>
        <w:autoSpaceDE w:val="0"/>
        <w:autoSpaceDN w:val="0"/>
        <w:spacing w:after="0" w:line="240" w:lineRule="auto"/>
        <w:jc w:val="both"/>
        <w:rPr>
          <w:rFonts w:ascii="Times New Roman" w:eastAsia="Batang" w:hAnsi="Times New Roman" w:cs="Times New Roman"/>
          <w:sz w:val="20"/>
          <w:szCs w:val="24"/>
          <w:lang w:val="en-GB" w:eastAsia="x-none"/>
        </w:rPr>
      </w:pPr>
      <w:r w:rsidRPr="00027C50">
        <w:rPr>
          <w:rFonts w:ascii="Times New Roman" w:eastAsia="Batang" w:hAnsi="Times New Roman" w:cs="Times New Roman"/>
          <w:sz w:val="20"/>
          <w:szCs w:val="24"/>
          <w:lang w:val="en-AU" w:eastAsia="x-none"/>
        </w:rPr>
        <w:t xml:space="preserve">FFS the case of groupcast option 1 (NACK-only) and </w:t>
      </w:r>
      <w:r w:rsidRPr="00027C50">
        <w:rPr>
          <w:rFonts w:ascii="Times New Roman" w:eastAsia="Batang" w:hAnsi="Times New Roman" w:cs="Times New Roman"/>
          <w:sz w:val="20"/>
          <w:szCs w:val="24"/>
          <w:lang w:val="en-GB" w:eastAsia="x-none"/>
        </w:rPr>
        <w:t>groupcast option 2</w:t>
      </w:r>
    </w:p>
    <w:p w14:paraId="4DA67EDB" w14:textId="77777777" w:rsidR="00027C50" w:rsidRPr="00027C50" w:rsidRDefault="00027C50" w:rsidP="00027C50">
      <w:pPr>
        <w:autoSpaceDE w:val="0"/>
        <w:autoSpaceDN w:val="0"/>
        <w:spacing w:after="0" w:line="240" w:lineRule="auto"/>
        <w:jc w:val="both"/>
        <w:rPr>
          <w:rFonts w:ascii="Calibri" w:eastAsia="Batang" w:hAnsi="Calibri" w:cs="Calibri"/>
          <w:b/>
          <w:bCs/>
          <w:szCs w:val="24"/>
          <w:highlight w:val="yellow"/>
          <w:lang w:val="en-GB" w:eastAsia="en-US"/>
        </w:rPr>
      </w:pPr>
    </w:p>
    <w:p w14:paraId="075D73B9" w14:textId="77777777" w:rsidR="00027C50" w:rsidRPr="00027C50" w:rsidRDefault="00027C50" w:rsidP="00027C50">
      <w:pPr>
        <w:autoSpaceDE w:val="0"/>
        <w:autoSpaceDN w:val="0"/>
        <w:spacing w:after="0" w:line="240" w:lineRule="auto"/>
        <w:jc w:val="both"/>
        <w:rPr>
          <w:rFonts w:ascii="Calibri" w:eastAsia="Batang" w:hAnsi="Calibri" w:cs="Calibri"/>
          <w:sz w:val="20"/>
          <w:szCs w:val="24"/>
          <w:lang w:val="en-GB" w:eastAsia="en-US"/>
        </w:rPr>
      </w:pPr>
      <w:r w:rsidRPr="00027C50">
        <w:rPr>
          <w:rFonts w:ascii="Calibri" w:eastAsia="Batang" w:hAnsi="Calibri" w:cs="Calibri"/>
          <w:b/>
          <w:bCs/>
          <w:sz w:val="20"/>
          <w:szCs w:val="24"/>
          <w:highlight w:val="green"/>
          <w:lang w:val="en-GB" w:eastAsia="en-US"/>
        </w:rPr>
        <w:t>Agreement</w:t>
      </w:r>
    </w:p>
    <w:p w14:paraId="272D43B8" w14:textId="77777777" w:rsidR="00027C50" w:rsidRPr="00027C50" w:rsidRDefault="00027C50" w:rsidP="00027C50">
      <w:pPr>
        <w:numPr>
          <w:ilvl w:val="0"/>
          <w:numId w:val="22"/>
        </w:numPr>
        <w:autoSpaceDE w:val="0"/>
        <w:autoSpaceDN w:val="0"/>
        <w:spacing w:after="0" w:line="240" w:lineRule="auto"/>
        <w:jc w:val="both"/>
        <w:rPr>
          <w:rFonts w:ascii="Times New Roman" w:eastAsia="Batang" w:hAnsi="Times New Roman" w:cs="Times New Roman"/>
          <w:sz w:val="20"/>
          <w:szCs w:val="24"/>
          <w:lang w:val="en-GB" w:eastAsia="x-none"/>
        </w:rPr>
      </w:pPr>
      <w:r w:rsidRPr="00027C50">
        <w:rPr>
          <w:rFonts w:ascii="Times New Roman" w:eastAsia="Batang" w:hAnsi="Times New Roman" w:cs="Times New Roman"/>
          <w:sz w:val="20"/>
          <w:szCs w:val="24"/>
          <w:lang w:val="en-GB" w:eastAsia="x-none"/>
        </w:rPr>
        <w:t>Type 2A/2B/2C SL channel access procedures</w:t>
      </w:r>
    </w:p>
    <w:p w14:paraId="0E8BB693" w14:textId="77777777" w:rsidR="00027C50" w:rsidRPr="00027C50" w:rsidRDefault="00027C50" w:rsidP="00027C50">
      <w:pPr>
        <w:numPr>
          <w:ilvl w:val="1"/>
          <w:numId w:val="22"/>
        </w:numPr>
        <w:autoSpaceDE w:val="0"/>
        <w:autoSpaceDN w:val="0"/>
        <w:spacing w:after="0" w:line="240" w:lineRule="auto"/>
        <w:jc w:val="both"/>
        <w:rPr>
          <w:rFonts w:ascii="Times New Roman" w:eastAsia="Batang" w:hAnsi="Times New Roman" w:cs="Times New Roman"/>
          <w:sz w:val="20"/>
          <w:szCs w:val="24"/>
          <w:lang w:val="en-GB" w:eastAsia="x-none"/>
        </w:rPr>
      </w:pPr>
      <w:r w:rsidRPr="00027C50">
        <w:rPr>
          <w:rFonts w:ascii="Times New Roman" w:eastAsia="Batang" w:hAnsi="Times New Roman" w:cs="Times New Roman"/>
          <w:sz w:val="20"/>
          <w:szCs w:val="24"/>
          <w:lang w:val="en-GB" w:eastAsia="x-none"/>
        </w:rPr>
        <w:t>Type 2A channel access procedure is applicable to the following case:</w:t>
      </w:r>
    </w:p>
    <w:p w14:paraId="20E7D8E1" w14:textId="77777777" w:rsidR="00027C50" w:rsidRPr="00027C50" w:rsidRDefault="00027C50" w:rsidP="00027C50">
      <w:pPr>
        <w:numPr>
          <w:ilvl w:val="2"/>
          <w:numId w:val="22"/>
        </w:numPr>
        <w:autoSpaceDE w:val="0"/>
        <w:autoSpaceDN w:val="0"/>
        <w:spacing w:after="0" w:line="240" w:lineRule="auto"/>
        <w:jc w:val="both"/>
        <w:rPr>
          <w:rFonts w:ascii="Times New Roman" w:eastAsia="Batang" w:hAnsi="Times New Roman" w:cs="Times New Roman"/>
          <w:sz w:val="20"/>
          <w:szCs w:val="24"/>
          <w:lang w:val="en-GB" w:eastAsia="x-none"/>
        </w:rPr>
      </w:pPr>
      <w:r w:rsidRPr="00027C50">
        <w:rPr>
          <w:rFonts w:ascii="Times New Roman" w:eastAsia="Batang" w:hAnsi="Times New Roman" w:cs="Times New Roman"/>
          <w:sz w:val="20"/>
          <w:szCs w:val="24"/>
          <w:lang w:val="en-GB" w:eastAsia="x-none"/>
        </w:rPr>
        <w:t>Transmission(s) by a UE following transmission(s) by another UE for a gap ≥ 25μs in a shared channel occupancy</w:t>
      </w:r>
    </w:p>
    <w:p w14:paraId="79780168" w14:textId="77777777" w:rsidR="00027C50" w:rsidRPr="00027C50" w:rsidRDefault="00027C50" w:rsidP="00027C50">
      <w:pPr>
        <w:numPr>
          <w:ilvl w:val="2"/>
          <w:numId w:val="22"/>
        </w:numPr>
        <w:autoSpaceDE w:val="0"/>
        <w:autoSpaceDN w:val="0"/>
        <w:spacing w:after="0" w:line="240" w:lineRule="auto"/>
        <w:jc w:val="both"/>
        <w:rPr>
          <w:rFonts w:ascii="Times New Roman" w:eastAsia="Batang" w:hAnsi="Times New Roman" w:cs="Times New Roman"/>
          <w:sz w:val="20"/>
          <w:szCs w:val="24"/>
          <w:lang w:val="en-GB" w:eastAsia="x-none"/>
        </w:rPr>
      </w:pPr>
      <w:r w:rsidRPr="00027C50">
        <w:rPr>
          <w:rFonts w:ascii="Times New Roman" w:eastAsia="Batang" w:hAnsi="Times New Roman" w:cs="Times New Roman"/>
          <w:sz w:val="20"/>
          <w:szCs w:val="24"/>
          <w:lang w:val="en-GB" w:eastAsia="x-none"/>
        </w:rPr>
        <w:t>FFS any other transmission by a UE (e.g., other than COT sharing)</w:t>
      </w:r>
    </w:p>
    <w:p w14:paraId="0BDAF28A" w14:textId="77777777" w:rsidR="00027C50" w:rsidRPr="00027C50" w:rsidRDefault="00027C50" w:rsidP="00027C50">
      <w:pPr>
        <w:numPr>
          <w:ilvl w:val="2"/>
          <w:numId w:val="22"/>
        </w:numPr>
        <w:autoSpaceDE w:val="0"/>
        <w:autoSpaceDN w:val="0"/>
        <w:spacing w:after="0" w:line="240" w:lineRule="auto"/>
        <w:jc w:val="both"/>
        <w:rPr>
          <w:rFonts w:ascii="Times New Roman" w:eastAsia="Batang" w:hAnsi="Times New Roman" w:cs="Times New Roman"/>
          <w:sz w:val="20"/>
          <w:szCs w:val="24"/>
          <w:lang w:val="en-GB" w:eastAsia="x-none"/>
        </w:rPr>
      </w:pPr>
      <w:r w:rsidRPr="00027C50">
        <w:rPr>
          <w:rFonts w:ascii="Times New Roman" w:eastAsia="Batang" w:hAnsi="Times New Roman" w:cs="Times New Roman"/>
          <w:sz w:val="20"/>
          <w:szCs w:val="24"/>
          <w:lang w:val="en-GB" w:eastAsia="x-none"/>
        </w:rPr>
        <w:t>FFS whether Type 2A is used also for the case of short control signalling transmission</w:t>
      </w:r>
    </w:p>
    <w:p w14:paraId="69974011" w14:textId="77777777" w:rsidR="00027C50" w:rsidRPr="00027C50" w:rsidRDefault="00027C50" w:rsidP="00027C50">
      <w:pPr>
        <w:numPr>
          <w:ilvl w:val="1"/>
          <w:numId w:val="22"/>
        </w:numPr>
        <w:autoSpaceDE w:val="0"/>
        <w:autoSpaceDN w:val="0"/>
        <w:spacing w:after="0" w:line="240" w:lineRule="auto"/>
        <w:jc w:val="both"/>
        <w:rPr>
          <w:rFonts w:ascii="Times New Roman" w:eastAsia="Batang" w:hAnsi="Times New Roman" w:cs="Times New Roman"/>
          <w:sz w:val="20"/>
          <w:szCs w:val="24"/>
          <w:lang w:val="en-GB" w:eastAsia="x-none"/>
        </w:rPr>
      </w:pPr>
      <w:r w:rsidRPr="00027C50">
        <w:rPr>
          <w:rFonts w:ascii="Times New Roman" w:eastAsia="Batang" w:hAnsi="Times New Roman" w:cs="Times New Roman"/>
          <w:sz w:val="20"/>
          <w:szCs w:val="24"/>
          <w:lang w:val="en-GB" w:eastAsia="x-none"/>
        </w:rPr>
        <w:t>Type 2B channel access procedure is applicable to the following case:</w:t>
      </w:r>
    </w:p>
    <w:p w14:paraId="6A81C542" w14:textId="77777777" w:rsidR="00027C50" w:rsidRPr="00027C50" w:rsidRDefault="00027C50" w:rsidP="00027C50">
      <w:pPr>
        <w:numPr>
          <w:ilvl w:val="2"/>
          <w:numId w:val="22"/>
        </w:numPr>
        <w:autoSpaceDE w:val="0"/>
        <w:autoSpaceDN w:val="0"/>
        <w:spacing w:after="0" w:line="240" w:lineRule="auto"/>
        <w:jc w:val="both"/>
        <w:rPr>
          <w:rFonts w:ascii="Times New Roman" w:eastAsia="Batang" w:hAnsi="Times New Roman" w:cs="Times New Roman"/>
          <w:sz w:val="20"/>
          <w:szCs w:val="24"/>
          <w:lang w:val="en-GB" w:eastAsia="x-none"/>
        </w:rPr>
      </w:pPr>
      <w:r w:rsidRPr="00027C50">
        <w:rPr>
          <w:rFonts w:ascii="Times New Roman" w:eastAsia="Batang" w:hAnsi="Times New Roman" w:cs="Times New Roman"/>
          <w:sz w:val="20"/>
          <w:szCs w:val="24"/>
          <w:lang w:val="en-GB" w:eastAsia="x-none"/>
        </w:rPr>
        <w:t>Transmission(s) by a UE following transmission(s) by another UE at least when the gap is 16μs in a shared channel occupancy</w:t>
      </w:r>
    </w:p>
    <w:p w14:paraId="0F796333" w14:textId="77777777" w:rsidR="00027C50" w:rsidRPr="00027C50" w:rsidRDefault="00027C50" w:rsidP="00027C50">
      <w:pPr>
        <w:numPr>
          <w:ilvl w:val="2"/>
          <w:numId w:val="22"/>
        </w:numPr>
        <w:autoSpaceDE w:val="0"/>
        <w:autoSpaceDN w:val="0"/>
        <w:spacing w:after="0" w:line="240" w:lineRule="auto"/>
        <w:jc w:val="both"/>
        <w:rPr>
          <w:rFonts w:ascii="Times New Roman" w:eastAsia="Batang" w:hAnsi="Times New Roman" w:cs="Times New Roman"/>
          <w:sz w:val="20"/>
          <w:szCs w:val="24"/>
          <w:lang w:val="en-GB" w:eastAsia="x-none"/>
        </w:rPr>
      </w:pPr>
      <w:r w:rsidRPr="00027C50">
        <w:rPr>
          <w:rFonts w:ascii="Times New Roman" w:eastAsia="Batang" w:hAnsi="Times New Roman" w:cs="Times New Roman"/>
          <w:sz w:val="20"/>
          <w:szCs w:val="24"/>
          <w:lang w:val="en-GB" w:eastAsia="x-none"/>
        </w:rPr>
        <w:t>FFS the case when the gap is between 16 and 25us</w:t>
      </w:r>
    </w:p>
    <w:p w14:paraId="3EDF566C" w14:textId="77777777" w:rsidR="00027C50" w:rsidRPr="00027C50" w:rsidRDefault="00027C50" w:rsidP="00027C50">
      <w:pPr>
        <w:numPr>
          <w:ilvl w:val="2"/>
          <w:numId w:val="22"/>
        </w:numPr>
        <w:autoSpaceDE w:val="0"/>
        <w:autoSpaceDN w:val="0"/>
        <w:spacing w:after="0" w:line="240" w:lineRule="auto"/>
        <w:jc w:val="both"/>
        <w:rPr>
          <w:rFonts w:ascii="Times New Roman" w:eastAsia="Batang" w:hAnsi="Times New Roman" w:cs="Times New Roman"/>
          <w:sz w:val="20"/>
          <w:szCs w:val="24"/>
          <w:lang w:val="en-GB" w:eastAsia="x-none"/>
        </w:rPr>
      </w:pPr>
      <w:r w:rsidRPr="00027C50">
        <w:rPr>
          <w:rFonts w:ascii="Times New Roman" w:eastAsia="Batang" w:hAnsi="Times New Roman" w:cs="Times New Roman"/>
          <w:sz w:val="20"/>
          <w:szCs w:val="24"/>
          <w:lang w:val="en-GB" w:eastAsia="x-none"/>
        </w:rPr>
        <w:t>FFS any other transmission by a UE (e.g., other than COT sharing)</w:t>
      </w:r>
    </w:p>
    <w:p w14:paraId="19033E3C" w14:textId="77777777" w:rsidR="00027C50" w:rsidRPr="00027C50" w:rsidRDefault="00027C50" w:rsidP="00027C50">
      <w:pPr>
        <w:numPr>
          <w:ilvl w:val="1"/>
          <w:numId w:val="22"/>
        </w:numPr>
        <w:autoSpaceDE w:val="0"/>
        <w:autoSpaceDN w:val="0"/>
        <w:spacing w:after="0" w:line="240" w:lineRule="auto"/>
        <w:jc w:val="both"/>
        <w:rPr>
          <w:rFonts w:ascii="Times New Roman" w:eastAsia="Batang" w:hAnsi="Times New Roman" w:cs="Times New Roman"/>
          <w:sz w:val="20"/>
          <w:szCs w:val="24"/>
          <w:lang w:val="en-GB" w:eastAsia="x-none"/>
        </w:rPr>
      </w:pPr>
      <w:r w:rsidRPr="00027C50">
        <w:rPr>
          <w:rFonts w:ascii="Times New Roman" w:eastAsia="Batang" w:hAnsi="Times New Roman" w:cs="Times New Roman"/>
          <w:sz w:val="20"/>
          <w:szCs w:val="24"/>
          <w:lang w:val="en-GB" w:eastAsia="x-none"/>
        </w:rPr>
        <w:t>Type 2C channel access procedure is applicable to the following case:</w:t>
      </w:r>
    </w:p>
    <w:p w14:paraId="2C7744D6" w14:textId="77777777" w:rsidR="00027C50" w:rsidRPr="00027C50" w:rsidRDefault="00027C50" w:rsidP="00027C50">
      <w:pPr>
        <w:numPr>
          <w:ilvl w:val="2"/>
          <w:numId w:val="22"/>
        </w:numPr>
        <w:autoSpaceDE w:val="0"/>
        <w:autoSpaceDN w:val="0"/>
        <w:spacing w:after="0" w:line="240" w:lineRule="auto"/>
        <w:jc w:val="both"/>
        <w:rPr>
          <w:rFonts w:ascii="Times New Roman" w:eastAsia="Batang" w:hAnsi="Times New Roman" w:cs="Times New Roman"/>
          <w:sz w:val="20"/>
          <w:szCs w:val="24"/>
          <w:lang w:val="en-GB" w:eastAsia="x-none"/>
        </w:rPr>
      </w:pPr>
      <w:r w:rsidRPr="00027C50">
        <w:rPr>
          <w:rFonts w:ascii="Times New Roman" w:eastAsia="Batang" w:hAnsi="Times New Roman" w:cs="Times New Roman"/>
          <w:sz w:val="20"/>
          <w:szCs w:val="24"/>
          <w:lang w:val="en-GB" w:eastAsia="x-none"/>
        </w:rPr>
        <w:t>Transmission(s) by a UE following transmission(s) by another UE for a gap ≤ 16μs in a shared channel occupancy and the duration of the corresponding transmission is at most 584us.</w:t>
      </w:r>
    </w:p>
    <w:p w14:paraId="769892B1" w14:textId="77777777" w:rsidR="00027C50" w:rsidRPr="00027C50" w:rsidRDefault="00027C50" w:rsidP="00027C50">
      <w:pPr>
        <w:numPr>
          <w:ilvl w:val="2"/>
          <w:numId w:val="22"/>
        </w:numPr>
        <w:autoSpaceDE w:val="0"/>
        <w:autoSpaceDN w:val="0"/>
        <w:spacing w:after="0" w:line="240" w:lineRule="auto"/>
        <w:jc w:val="both"/>
        <w:rPr>
          <w:rFonts w:ascii="Times New Roman" w:eastAsia="Batang" w:hAnsi="Times New Roman" w:cs="Times New Roman"/>
          <w:sz w:val="20"/>
          <w:szCs w:val="24"/>
          <w:lang w:val="en-GB" w:eastAsia="x-none"/>
        </w:rPr>
      </w:pPr>
      <w:r w:rsidRPr="00027C50">
        <w:rPr>
          <w:rFonts w:ascii="Times New Roman" w:eastAsia="Batang" w:hAnsi="Times New Roman" w:cs="Times New Roman"/>
          <w:sz w:val="20"/>
          <w:szCs w:val="24"/>
          <w:lang w:val="en-GB" w:eastAsia="x-none"/>
        </w:rPr>
        <w:t>FFS any other transmission by a UE (e.g., other than COT sharing)</w:t>
      </w:r>
    </w:p>
    <w:p w14:paraId="56407F0B" w14:textId="77777777" w:rsidR="00027C50" w:rsidRPr="00027C50" w:rsidRDefault="00027C50" w:rsidP="00027C50">
      <w:pPr>
        <w:numPr>
          <w:ilvl w:val="2"/>
          <w:numId w:val="22"/>
        </w:numPr>
        <w:autoSpaceDE w:val="0"/>
        <w:autoSpaceDN w:val="0"/>
        <w:spacing w:after="0" w:line="240" w:lineRule="auto"/>
        <w:jc w:val="both"/>
        <w:rPr>
          <w:rFonts w:ascii="Times New Roman" w:eastAsia="Batang" w:hAnsi="Times New Roman" w:cs="Times New Roman"/>
          <w:sz w:val="20"/>
          <w:szCs w:val="24"/>
          <w:lang w:val="en-GB" w:eastAsia="x-none"/>
        </w:rPr>
      </w:pPr>
      <w:r w:rsidRPr="00027C50">
        <w:rPr>
          <w:rFonts w:ascii="Times New Roman" w:eastAsia="Batang" w:hAnsi="Times New Roman" w:cs="Times New Roman"/>
          <w:sz w:val="20"/>
          <w:szCs w:val="24"/>
          <w:lang w:val="en-GB" w:eastAsia="x-none"/>
        </w:rPr>
        <w:t>FFS whether Type 2C is used also for the case of short control signalling transmission</w:t>
      </w:r>
    </w:p>
    <w:p w14:paraId="0356B4D2" w14:textId="77777777" w:rsidR="00027C50" w:rsidRPr="00027C50" w:rsidRDefault="00027C50" w:rsidP="00027C50">
      <w:pPr>
        <w:numPr>
          <w:ilvl w:val="1"/>
          <w:numId w:val="22"/>
        </w:numPr>
        <w:autoSpaceDE w:val="0"/>
        <w:autoSpaceDN w:val="0"/>
        <w:spacing w:after="0" w:line="240" w:lineRule="auto"/>
        <w:jc w:val="both"/>
        <w:rPr>
          <w:rFonts w:ascii="Times New Roman" w:eastAsia="Batang" w:hAnsi="Times New Roman" w:cs="Times New Roman"/>
          <w:sz w:val="20"/>
          <w:szCs w:val="24"/>
          <w:lang w:val="en-GB" w:eastAsia="x-none"/>
        </w:rPr>
      </w:pPr>
      <w:r w:rsidRPr="00027C50">
        <w:rPr>
          <w:rFonts w:ascii="Times New Roman" w:eastAsia="Batang" w:hAnsi="Times New Roman" w:cs="Times New Roman"/>
          <w:sz w:val="20"/>
          <w:szCs w:val="24"/>
          <w:lang w:val="en-GB" w:eastAsia="x-none"/>
        </w:rPr>
        <w:t>FFS under which conditions (other than the gap) UEs can apply the Type 2A/2B/2C SL channel access procedures</w:t>
      </w:r>
    </w:p>
    <w:p w14:paraId="30639E61" w14:textId="77777777" w:rsidR="00027C50" w:rsidRPr="00027C50" w:rsidRDefault="00027C50" w:rsidP="00027C50">
      <w:pPr>
        <w:numPr>
          <w:ilvl w:val="1"/>
          <w:numId w:val="22"/>
        </w:numPr>
        <w:autoSpaceDE w:val="0"/>
        <w:autoSpaceDN w:val="0"/>
        <w:spacing w:after="0" w:line="240" w:lineRule="auto"/>
        <w:jc w:val="both"/>
        <w:rPr>
          <w:rFonts w:ascii="Times New Roman" w:eastAsia="Batang" w:hAnsi="Times New Roman" w:cs="Times New Roman"/>
          <w:sz w:val="20"/>
          <w:szCs w:val="24"/>
          <w:lang w:val="en-GB" w:eastAsia="x-none"/>
        </w:rPr>
      </w:pPr>
      <w:r w:rsidRPr="00027C50">
        <w:rPr>
          <w:rFonts w:ascii="Times New Roman" w:eastAsia="Batang" w:hAnsi="Times New Roman" w:cs="Times New Roman"/>
          <w:sz w:val="20"/>
          <w:szCs w:val="24"/>
          <w:lang w:val="en-GB" w:eastAsia="x-none"/>
        </w:rPr>
        <w:t xml:space="preserve">FFS under which conditions Type 2B or Type 2C is applied in case of a gap of 16 </w:t>
      </w:r>
      <w:proofErr w:type="spellStart"/>
      <w:r w:rsidRPr="00027C50">
        <w:rPr>
          <w:rFonts w:ascii="Times New Roman" w:eastAsia="Batang" w:hAnsi="Times New Roman" w:cs="Times New Roman"/>
          <w:sz w:val="20"/>
          <w:szCs w:val="24"/>
          <w:lang w:val="en-GB" w:eastAsia="x-none"/>
        </w:rPr>
        <w:t>μs</w:t>
      </w:r>
      <w:proofErr w:type="spellEnd"/>
    </w:p>
    <w:p w14:paraId="78BFAAA7" w14:textId="77777777" w:rsidR="00027C50" w:rsidRPr="00027C50" w:rsidRDefault="00027C50" w:rsidP="00027C50">
      <w:pPr>
        <w:spacing w:after="0" w:line="240" w:lineRule="auto"/>
        <w:rPr>
          <w:rFonts w:ascii="Times" w:eastAsia="Batang" w:hAnsi="Times" w:cs="Times New Roman"/>
          <w:sz w:val="20"/>
          <w:szCs w:val="24"/>
          <w:lang w:val="en-GB" w:eastAsia="x-none"/>
        </w:rPr>
      </w:pPr>
    </w:p>
    <w:p w14:paraId="683BD415" w14:textId="77777777" w:rsidR="00027C50" w:rsidRPr="00027C50" w:rsidRDefault="00027C50" w:rsidP="00027C50">
      <w:pPr>
        <w:autoSpaceDE w:val="0"/>
        <w:autoSpaceDN w:val="0"/>
        <w:spacing w:after="0" w:line="240" w:lineRule="auto"/>
        <w:jc w:val="both"/>
        <w:rPr>
          <w:rFonts w:ascii="Calibri" w:eastAsia="Batang" w:hAnsi="Calibri" w:cs="Calibri"/>
          <w:sz w:val="20"/>
          <w:szCs w:val="24"/>
          <w:lang w:val="en-GB" w:eastAsia="en-US"/>
        </w:rPr>
      </w:pPr>
      <w:r w:rsidRPr="00027C50">
        <w:rPr>
          <w:rFonts w:ascii="Calibri" w:eastAsia="Batang" w:hAnsi="Calibri" w:cs="Calibri"/>
          <w:b/>
          <w:bCs/>
          <w:sz w:val="20"/>
          <w:szCs w:val="24"/>
          <w:highlight w:val="green"/>
          <w:lang w:val="en-GB" w:eastAsia="en-US"/>
        </w:rPr>
        <w:t>Agreement</w:t>
      </w:r>
    </w:p>
    <w:p w14:paraId="5A441A8B" w14:textId="77777777" w:rsidR="00027C50" w:rsidRPr="00027C50" w:rsidRDefault="00027C50" w:rsidP="00027C50">
      <w:pPr>
        <w:autoSpaceDE w:val="0"/>
        <w:autoSpaceDN w:val="0"/>
        <w:spacing w:after="0" w:line="240" w:lineRule="auto"/>
        <w:jc w:val="both"/>
        <w:rPr>
          <w:rFonts w:ascii="Times New Roman" w:eastAsia="Batang" w:hAnsi="Times New Roman" w:cs="Times New Roman"/>
          <w:sz w:val="20"/>
          <w:szCs w:val="20"/>
          <w:lang w:val="en-GB" w:eastAsia="x-none"/>
        </w:rPr>
      </w:pPr>
      <w:r w:rsidRPr="00027C50">
        <w:rPr>
          <w:rFonts w:ascii="Times New Roman" w:eastAsia="Batang" w:hAnsi="Times New Roman" w:cs="Times New Roman"/>
          <w:sz w:val="20"/>
          <w:szCs w:val="20"/>
          <w:lang w:val="en-GB" w:eastAsia="x-none"/>
        </w:rPr>
        <w:t>Multi-consecutive slots transmission (</w:t>
      </w:r>
      <w:proofErr w:type="spellStart"/>
      <w:r w:rsidRPr="00027C50">
        <w:rPr>
          <w:rFonts w:ascii="Times New Roman" w:eastAsia="Batang" w:hAnsi="Times New Roman" w:cs="Times New Roman"/>
          <w:sz w:val="20"/>
          <w:szCs w:val="20"/>
          <w:lang w:val="en-GB" w:eastAsia="x-none"/>
        </w:rPr>
        <w:t>MCSt</w:t>
      </w:r>
      <w:proofErr w:type="spellEnd"/>
      <w:r w:rsidRPr="00027C50">
        <w:rPr>
          <w:rFonts w:ascii="Times New Roman" w:eastAsia="Batang" w:hAnsi="Times New Roman" w:cs="Times New Roman"/>
          <w:sz w:val="20"/>
          <w:szCs w:val="20"/>
          <w:lang w:val="en-GB" w:eastAsia="x-none"/>
        </w:rPr>
        <w:t>) is supported for Mode 1 and Mode 2 resource allocation in SL-U.</w:t>
      </w:r>
    </w:p>
    <w:p w14:paraId="01BB3C70" w14:textId="77777777" w:rsidR="00027C50" w:rsidRPr="00027C50" w:rsidRDefault="00027C50" w:rsidP="00027C50">
      <w:pPr>
        <w:numPr>
          <w:ilvl w:val="0"/>
          <w:numId w:val="22"/>
        </w:numPr>
        <w:autoSpaceDE w:val="0"/>
        <w:autoSpaceDN w:val="0"/>
        <w:spacing w:after="0" w:line="240" w:lineRule="auto"/>
        <w:jc w:val="both"/>
        <w:rPr>
          <w:rFonts w:ascii="Times New Roman" w:eastAsia="Batang" w:hAnsi="Times New Roman" w:cs="Times New Roman"/>
          <w:sz w:val="20"/>
          <w:szCs w:val="20"/>
          <w:lang w:val="en-GB" w:eastAsia="x-none"/>
        </w:rPr>
      </w:pPr>
      <w:r w:rsidRPr="00027C50">
        <w:rPr>
          <w:rFonts w:ascii="Times New Roman" w:eastAsia="Batang" w:hAnsi="Times New Roman" w:cs="Times New Roman"/>
          <w:sz w:val="20"/>
          <w:szCs w:val="20"/>
          <w:lang w:val="en-AU" w:eastAsia="x-none"/>
        </w:rPr>
        <w:t>FFS details</w:t>
      </w:r>
    </w:p>
    <w:p w14:paraId="070A446C" w14:textId="77777777" w:rsidR="00027C50" w:rsidRPr="00027C50" w:rsidRDefault="00027C50" w:rsidP="00027C50">
      <w:pPr>
        <w:spacing w:after="0" w:line="240" w:lineRule="auto"/>
        <w:rPr>
          <w:rFonts w:ascii="Times New Roman" w:eastAsia="Batang" w:hAnsi="Times New Roman" w:cs="Times New Roman"/>
          <w:sz w:val="20"/>
          <w:szCs w:val="20"/>
          <w:lang w:val="en-GB" w:eastAsia="x-none"/>
        </w:rPr>
      </w:pPr>
    </w:p>
    <w:p w14:paraId="2FEF8B66" w14:textId="77777777" w:rsidR="00027C50" w:rsidRPr="00027C50" w:rsidRDefault="00027C50" w:rsidP="00027C50">
      <w:pPr>
        <w:spacing w:after="0" w:line="240" w:lineRule="auto"/>
        <w:rPr>
          <w:rFonts w:ascii="Times New Roman" w:eastAsia="Batang" w:hAnsi="Times New Roman" w:cs="Times New Roman"/>
          <w:sz w:val="20"/>
          <w:szCs w:val="20"/>
          <w:lang w:val="en-GB" w:eastAsia="x-none"/>
        </w:rPr>
      </w:pPr>
    </w:p>
    <w:p w14:paraId="13C3A050" w14:textId="77777777" w:rsidR="00027C50" w:rsidRPr="00027C50" w:rsidRDefault="00027C50" w:rsidP="00027C50">
      <w:pPr>
        <w:autoSpaceDE w:val="0"/>
        <w:autoSpaceDN w:val="0"/>
        <w:spacing w:after="0" w:line="240" w:lineRule="auto"/>
        <w:jc w:val="both"/>
        <w:rPr>
          <w:rFonts w:ascii="Times New Roman" w:eastAsia="Batang" w:hAnsi="Times New Roman" w:cs="Times New Roman"/>
          <w:sz w:val="20"/>
          <w:szCs w:val="20"/>
          <w:lang w:val="en-GB" w:eastAsia="en-US"/>
        </w:rPr>
      </w:pPr>
      <w:r w:rsidRPr="00027C50">
        <w:rPr>
          <w:rFonts w:ascii="Times New Roman" w:eastAsia="Batang" w:hAnsi="Times New Roman" w:cs="Times New Roman"/>
          <w:b/>
          <w:bCs/>
          <w:sz w:val="20"/>
          <w:szCs w:val="20"/>
          <w:highlight w:val="green"/>
          <w:lang w:val="en-GB" w:eastAsia="en-US"/>
        </w:rPr>
        <w:t>Agreement</w:t>
      </w:r>
    </w:p>
    <w:p w14:paraId="52E9E69B" w14:textId="77777777" w:rsidR="00027C50" w:rsidRPr="00027C50" w:rsidRDefault="00027C50" w:rsidP="00027C50">
      <w:pPr>
        <w:numPr>
          <w:ilvl w:val="0"/>
          <w:numId w:val="22"/>
        </w:numPr>
        <w:autoSpaceDE w:val="0"/>
        <w:autoSpaceDN w:val="0"/>
        <w:spacing w:after="0" w:line="240" w:lineRule="auto"/>
        <w:jc w:val="both"/>
        <w:rPr>
          <w:rFonts w:ascii="Times New Roman" w:eastAsia="Batang" w:hAnsi="Times New Roman" w:cs="Times New Roman"/>
          <w:sz w:val="20"/>
          <w:szCs w:val="20"/>
          <w:lang w:val="en-GB" w:eastAsia="x-none"/>
        </w:rPr>
      </w:pPr>
      <w:r w:rsidRPr="00027C50">
        <w:rPr>
          <w:rFonts w:ascii="Times New Roman" w:eastAsia="Batang" w:hAnsi="Times New Roman" w:cs="Times New Roman"/>
          <w:sz w:val="20"/>
          <w:szCs w:val="20"/>
          <w:lang w:val="en-GB" w:eastAsia="x-none"/>
        </w:rPr>
        <w:t>For UE-to-UE COT sharing, continue considering the following alternatives:</w:t>
      </w:r>
    </w:p>
    <w:p w14:paraId="724099B7" w14:textId="77777777" w:rsidR="00027C50" w:rsidRPr="00027C50" w:rsidRDefault="00027C50" w:rsidP="00027C50">
      <w:pPr>
        <w:numPr>
          <w:ilvl w:val="1"/>
          <w:numId w:val="22"/>
        </w:numPr>
        <w:autoSpaceDE w:val="0"/>
        <w:autoSpaceDN w:val="0"/>
        <w:spacing w:after="0" w:line="240" w:lineRule="auto"/>
        <w:jc w:val="both"/>
        <w:rPr>
          <w:rFonts w:ascii="Times New Roman" w:eastAsia="Batang" w:hAnsi="Times New Roman" w:cs="Times New Roman"/>
          <w:sz w:val="20"/>
          <w:szCs w:val="20"/>
          <w:lang w:val="en-GB" w:eastAsia="x-none"/>
        </w:rPr>
      </w:pPr>
      <w:r w:rsidRPr="00027C50">
        <w:rPr>
          <w:rFonts w:ascii="Times New Roman" w:eastAsia="Batang" w:hAnsi="Times New Roman" w:cs="Times New Roman"/>
          <w:sz w:val="20"/>
          <w:szCs w:val="20"/>
          <w:lang w:val="en-GB" w:eastAsia="x-none"/>
        </w:rPr>
        <w:lastRenderedPageBreak/>
        <w:t>Alt. 1: A responding SL UE can utilize a COT shared by a COT initiating UE when the responding SL UE is a target receiver of the at least COT initiating UE’s PSSCH data transmission in the COT.</w:t>
      </w:r>
    </w:p>
    <w:p w14:paraId="3355FC10" w14:textId="77777777" w:rsidR="00027C50" w:rsidRPr="00027C50" w:rsidRDefault="00027C50" w:rsidP="00027C50">
      <w:pPr>
        <w:numPr>
          <w:ilvl w:val="2"/>
          <w:numId w:val="22"/>
        </w:numPr>
        <w:autoSpaceDE w:val="0"/>
        <w:autoSpaceDN w:val="0"/>
        <w:spacing w:after="0" w:line="240" w:lineRule="auto"/>
        <w:jc w:val="both"/>
        <w:rPr>
          <w:rFonts w:ascii="Times New Roman" w:eastAsia="Batang" w:hAnsi="Times New Roman" w:cs="Times New Roman"/>
          <w:sz w:val="20"/>
          <w:szCs w:val="20"/>
          <w:lang w:val="en-GB" w:eastAsia="x-none"/>
        </w:rPr>
      </w:pPr>
      <w:r w:rsidRPr="00027C50">
        <w:rPr>
          <w:rFonts w:ascii="Times New Roman" w:eastAsia="Batang" w:hAnsi="Times New Roman" w:cs="Times New Roman"/>
          <w:sz w:val="20"/>
          <w:szCs w:val="20"/>
          <w:lang w:val="en-GB" w:eastAsia="x-none"/>
        </w:rPr>
        <w:t>When the responding UE uses the shared COT for its transmission has an equal or smaller CAPC value than the CAPC value indicated in a shared COT information</w:t>
      </w:r>
    </w:p>
    <w:p w14:paraId="04B3D1F3" w14:textId="77777777" w:rsidR="00027C50" w:rsidRPr="00027C50" w:rsidRDefault="00027C50" w:rsidP="00027C50">
      <w:pPr>
        <w:numPr>
          <w:ilvl w:val="2"/>
          <w:numId w:val="22"/>
        </w:numPr>
        <w:autoSpaceDE w:val="0"/>
        <w:autoSpaceDN w:val="0"/>
        <w:spacing w:after="0" w:line="240" w:lineRule="auto"/>
        <w:jc w:val="both"/>
        <w:rPr>
          <w:rFonts w:ascii="Times New Roman" w:eastAsia="Batang" w:hAnsi="Times New Roman" w:cs="Times New Roman"/>
          <w:sz w:val="20"/>
          <w:szCs w:val="20"/>
          <w:lang w:val="en-GB" w:eastAsia="x-none"/>
        </w:rPr>
      </w:pPr>
      <w:r w:rsidRPr="00027C50">
        <w:rPr>
          <w:rFonts w:ascii="Times New Roman" w:eastAsia="Batang" w:hAnsi="Times New Roman" w:cs="Times New Roman"/>
          <w:sz w:val="20"/>
          <w:szCs w:val="20"/>
          <w:lang w:val="en-GB" w:eastAsia="x-none"/>
        </w:rPr>
        <w:t>FFS any additional conditions</w:t>
      </w:r>
    </w:p>
    <w:p w14:paraId="018A0C7B" w14:textId="77777777" w:rsidR="00027C50" w:rsidRPr="00027C50" w:rsidRDefault="00027C50" w:rsidP="00027C50">
      <w:pPr>
        <w:numPr>
          <w:ilvl w:val="1"/>
          <w:numId w:val="22"/>
        </w:numPr>
        <w:autoSpaceDE w:val="0"/>
        <w:autoSpaceDN w:val="0"/>
        <w:spacing w:after="0" w:line="240" w:lineRule="auto"/>
        <w:jc w:val="both"/>
        <w:rPr>
          <w:rFonts w:ascii="Times New Roman" w:eastAsia="Batang" w:hAnsi="Times New Roman" w:cs="Times New Roman"/>
          <w:sz w:val="20"/>
          <w:szCs w:val="20"/>
          <w:lang w:val="en-GB" w:eastAsia="x-none"/>
        </w:rPr>
      </w:pPr>
      <w:r w:rsidRPr="00027C50">
        <w:rPr>
          <w:rFonts w:ascii="Times New Roman" w:eastAsia="Batang" w:hAnsi="Times New Roman" w:cs="Times New Roman"/>
          <w:sz w:val="20"/>
          <w:szCs w:val="20"/>
          <w:lang w:val="en-GB" w:eastAsia="x-none"/>
        </w:rPr>
        <w:t>Alt. 2: A responding SL UE can utilize a COT shared by a COT initiating UE when the responding SL UE is a target receiver of the COT initiating UE’s transmission in the COT.</w:t>
      </w:r>
    </w:p>
    <w:p w14:paraId="280D7CD0" w14:textId="77777777" w:rsidR="00027C50" w:rsidRPr="00027C50" w:rsidRDefault="00027C50" w:rsidP="00027C50">
      <w:pPr>
        <w:numPr>
          <w:ilvl w:val="2"/>
          <w:numId w:val="22"/>
        </w:numPr>
        <w:autoSpaceDE w:val="0"/>
        <w:autoSpaceDN w:val="0"/>
        <w:spacing w:after="0" w:line="240" w:lineRule="auto"/>
        <w:jc w:val="both"/>
        <w:rPr>
          <w:rFonts w:ascii="Times New Roman" w:eastAsia="Batang" w:hAnsi="Times New Roman" w:cs="Times New Roman"/>
          <w:sz w:val="20"/>
          <w:szCs w:val="20"/>
          <w:lang w:val="en-GB" w:eastAsia="x-none"/>
        </w:rPr>
      </w:pPr>
      <w:r w:rsidRPr="00027C50">
        <w:rPr>
          <w:rFonts w:ascii="Times New Roman" w:eastAsia="Batang" w:hAnsi="Times New Roman" w:cs="Times New Roman"/>
          <w:sz w:val="20"/>
          <w:szCs w:val="20"/>
          <w:lang w:val="en-GB" w:eastAsia="x-none"/>
        </w:rPr>
        <w:t>When the responding UE uses the shared COT for its transmission has an equal or smaller CAPC value than the CAPC value indicated in a shared COT information</w:t>
      </w:r>
    </w:p>
    <w:p w14:paraId="2879FEE6" w14:textId="77777777" w:rsidR="00027C50" w:rsidRPr="00027C50" w:rsidRDefault="00027C50" w:rsidP="00027C50">
      <w:pPr>
        <w:numPr>
          <w:ilvl w:val="2"/>
          <w:numId w:val="22"/>
        </w:numPr>
        <w:autoSpaceDE w:val="0"/>
        <w:autoSpaceDN w:val="0"/>
        <w:spacing w:after="0" w:line="240" w:lineRule="auto"/>
        <w:jc w:val="both"/>
        <w:rPr>
          <w:rFonts w:ascii="Times New Roman" w:eastAsia="Batang" w:hAnsi="Times New Roman" w:cs="Times New Roman"/>
          <w:sz w:val="20"/>
          <w:szCs w:val="20"/>
          <w:lang w:val="en-GB" w:eastAsia="x-none"/>
        </w:rPr>
      </w:pPr>
      <w:r w:rsidRPr="00027C50">
        <w:rPr>
          <w:rFonts w:ascii="Times New Roman" w:eastAsia="Batang" w:hAnsi="Times New Roman" w:cs="Times New Roman"/>
          <w:sz w:val="20"/>
          <w:szCs w:val="20"/>
          <w:lang w:val="en-GB" w:eastAsia="x-none"/>
        </w:rPr>
        <w:t>FFS how to determine a SL UE is a target receiver</w:t>
      </w:r>
    </w:p>
    <w:p w14:paraId="6B347988" w14:textId="77777777" w:rsidR="00027C50" w:rsidRPr="00027C50" w:rsidRDefault="00027C50" w:rsidP="00027C50">
      <w:pPr>
        <w:numPr>
          <w:ilvl w:val="2"/>
          <w:numId w:val="22"/>
        </w:numPr>
        <w:autoSpaceDE w:val="0"/>
        <w:autoSpaceDN w:val="0"/>
        <w:spacing w:after="0" w:line="240" w:lineRule="auto"/>
        <w:jc w:val="both"/>
        <w:rPr>
          <w:rFonts w:ascii="Times New Roman" w:eastAsia="Batang" w:hAnsi="Times New Roman" w:cs="Times New Roman"/>
          <w:sz w:val="20"/>
          <w:szCs w:val="20"/>
          <w:lang w:val="en-GB" w:eastAsia="x-none"/>
        </w:rPr>
      </w:pPr>
      <w:r w:rsidRPr="00027C50">
        <w:rPr>
          <w:rFonts w:ascii="Times New Roman" w:eastAsia="Batang" w:hAnsi="Times New Roman" w:cs="Times New Roman"/>
          <w:sz w:val="20"/>
          <w:szCs w:val="20"/>
          <w:lang w:val="en-GB" w:eastAsia="x-none"/>
        </w:rPr>
        <w:t>FFS: details of the channel type of the COT initiating UE’s transmission</w:t>
      </w:r>
    </w:p>
    <w:p w14:paraId="572752E6" w14:textId="77777777" w:rsidR="00027C50" w:rsidRPr="00027C50" w:rsidRDefault="00027C50" w:rsidP="00027C50">
      <w:pPr>
        <w:numPr>
          <w:ilvl w:val="2"/>
          <w:numId w:val="22"/>
        </w:numPr>
        <w:autoSpaceDE w:val="0"/>
        <w:autoSpaceDN w:val="0"/>
        <w:spacing w:after="0" w:line="240" w:lineRule="auto"/>
        <w:jc w:val="both"/>
        <w:rPr>
          <w:rFonts w:ascii="Times New Roman" w:eastAsia="Batang" w:hAnsi="Times New Roman" w:cs="Times New Roman"/>
          <w:sz w:val="20"/>
          <w:szCs w:val="20"/>
          <w:lang w:val="en-GB" w:eastAsia="x-none"/>
        </w:rPr>
      </w:pPr>
      <w:r w:rsidRPr="00027C50">
        <w:rPr>
          <w:rFonts w:ascii="Times New Roman" w:eastAsia="Batang" w:hAnsi="Times New Roman" w:cs="Times New Roman"/>
          <w:sz w:val="20"/>
          <w:szCs w:val="20"/>
          <w:lang w:val="en-GB" w:eastAsia="x-none"/>
        </w:rPr>
        <w:t>FFS any additional conditions</w:t>
      </w:r>
    </w:p>
    <w:p w14:paraId="1AA426C9" w14:textId="77777777" w:rsidR="00027C50" w:rsidRPr="00027C50" w:rsidRDefault="00027C50" w:rsidP="00027C50">
      <w:pPr>
        <w:numPr>
          <w:ilvl w:val="1"/>
          <w:numId w:val="22"/>
        </w:numPr>
        <w:autoSpaceDE w:val="0"/>
        <w:autoSpaceDN w:val="0"/>
        <w:spacing w:after="0" w:line="240" w:lineRule="auto"/>
        <w:jc w:val="both"/>
        <w:rPr>
          <w:rFonts w:ascii="Times New Roman" w:eastAsia="Batang" w:hAnsi="Times New Roman" w:cs="Times New Roman"/>
          <w:sz w:val="20"/>
          <w:szCs w:val="20"/>
          <w:lang w:val="en-GB" w:eastAsia="x-none"/>
        </w:rPr>
      </w:pPr>
      <w:r w:rsidRPr="00027C50">
        <w:rPr>
          <w:rFonts w:ascii="Times New Roman" w:eastAsia="Batang" w:hAnsi="Times New Roman" w:cs="Times New Roman"/>
          <w:sz w:val="20"/>
          <w:szCs w:val="20"/>
          <w:lang w:val="en-GB" w:eastAsia="x-none"/>
        </w:rPr>
        <w:t>For Alt1 and Alt2: When a responding UE uses a shared COT for its transmission(s), the COT initiating UE is a target receiver of the responding UE’s transmission(s).</w:t>
      </w:r>
    </w:p>
    <w:p w14:paraId="2670AFB5" w14:textId="77777777" w:rsidR="00027C50" w:rsidRPr="00027C50" w:rsidRDefault="00027C50" w:rsidP="00027C50">
      <w:pPr>
        <w:numPr>
          <w:ilvl w:val="2"/>
          <w:numId w:val="22"/>
        </w:numPr>
        <w:autoSpaceDE w:val="0"/>
        <w:autoSpaceDN w:val="0"/>
        <w:spacing w:after="0" w:line="240" w:lineRule="auto"/>
        <w:jc w:val="both"/>
        <w:rPr>
          <w:rFonts w:ascii="Times New Roman" w:eastAsia="Batang" w:hAnsi="Times New Roman" w:cs="Times New Roman"/>
          <w:sz w:val="20"/>
          <w:szCs w:val="20"/>
          <w:lang w:val="en-GB" w:eastAsia="x-none"/>
        </w:rPr>
      </w:pPr>
      <w:r w:rsidRPr="00027C50">
        <w:rPr>
          <w:rFonts w:ascii="Times New Roman" w:eastAsia="Batang" w:hAnsi="Times New Roman" w:cs="Times New Roman"/>
          <w:sz w:val="20"/>
          <w:szCs w:val="20"/>
          <w:lang w:val="en-GB" w:eastAsia="x-none"/>
        </w:rPr>
        <w:t>FFS: details of the channel type of the responding UE’s transmission(s)</w:t>
      </w:r>
    </w:p>
    <w:p w14:paraId="4C117F8E" w14:textId="77777777" w:rsidR="00027C50" w:rsidRPr="00027C50" w:rsidRDefault="00027C50" w:rsidP="00027C50">
      <w:pPr>
        <w:numPr>
          <w:ilvl w:val="0"/>
          <w:numId w:val="22"/>
        </w:numPr>
        <w:autoSpaceDE w:val="0"/>
        <w:autoSpaceDN w:val="0"/>
        <w:spacing w:after="0" w:line="240" w:lineRule="auto"/>
        <w:jc w:val="both"/>
        <w:rPr>
          <w:rFonts w:ascii="Times New Roman" w:eastAsia="Batang" w:hAnsi="Times New Roman" w:cs="Times New Roman"/>
          <w:sz w:val="20"/>
          <w:szCs w:val="20"/>
          <w:lang w:val="en-GB" w:eastAsia="x-none"/>
        </w:rPr>
      </w:pPr>
      <w:r w:rsidRPr="00027C50">
        <w:rPr>
          <w:rFonts w:ascii="Times New Roman" w:eastAsia="Batang" w:hAnsi="Times New Roman" w:cs="Times New Roman"/>
          <w:sz w:val="20"/>
          <w:szCs w:val="20"/>
          <w:lang w:val="en-GB" w:eastAsia="x-none"/>
        </w:rPr>
        <w:t>gNB relaying/forwarding a UE initiated COT to another UE is not supported in Rel-18</w:t>
      </w:r>
    </w:p>
    <w:p w14:paraId="56574B64" w14:textId="77777777" w:rsidR="00027C50" w:rsidRPr="00027C50" w:rsidRDefault="00027C50" w:rsidP="00027C50">
      <w:pPr>
        <w:numPr>
          <w:ilvl w:val="0"/>
          <w:numId w:val="22"/>
        </w:numPr>
        <w:autoSpaceDE w:val="0"/>
        <w:autoSpaceDN w:val="0"/>
        <w:spacing w:after="0" w:line="240" w:lineRule="auto"/>
        <w:jc w:val="both"/>
        <w:rPr>
          <w:rFonts w:ascii="Times New Roman" w:eastAsia="Batang" w:hAnsi="Times New Roman" w:cs="Times New Roman"/>
          <w:sz w:val="20"/>
          <w:szCs w:val="20"/>
          <w:lang w:val="en-GB" w:eastAsia="x-none"/>
        </w:rPr>
      </w:pPr>
      <w:r w:rsidRPr="00027C50">
        <w:rPr>
          <w:rFonts w:ascii="Times New Roman" w:eastAsia="Batang" w:hAnsi="Times New Roman" w:cs="Times New Roman"/>
          <w:sz w:val="20"/>
          <w:szCs w:val="20"/>
          <w:lang w:val="en-GB" w:eastAsia="x-none"/>
        </w:rPr>
        <w:t>FFS whether a Mode 1 UE can report a COT or related information to gNB for aiding Mode 1 RA</w:t>
      </w:r>
    </w:p>
    <w:p w14:paraId="7768C1A6" w14:textId="77777777" w:rsidR="00BB5983" w:rsidRPr="00027C50" w:rsidRDefault="00BB5983" w:rsidP="00CF0ECE">
      <w:pPr>
        <w:pStyle w:val="BodyText"/>
        <w:rPr>
          <w:lang w:val="en-GB"/>
        </w:rPr>
      </w:pPr>
    </w:p>
    <w:p w14:paraId="650A5A97" w14:textId="24A84182" w:rsidR="003F0F8B" w:rsidRDefault="00CF0ECE" w:rsidP="00CF0ECE">
      <w:pPr>
        <w:pStyle w:val="BodyText"/>
      </w:pPr>
      <w:r>
        <w:t>In t</w:t>
      </w:r>
      <w:r w:rsidRPr="00141C62">
        <w:t>his contribution</w:t>
      </w:r>
      <w:r>
        <w:t>, we</w:t>
      </w:r>
      <w:r w:rsidR="00F80825">
        <w:rPr>
          <w:lang w:val="en-US"/>
        </w:rPr>
        <w:t xml:space="preserve"> further elaborate</w:t>
      </w:r>
      <w:r>
        <w:t xml:space="preserve"> our views on</w:t>
      </w:r>
      <w:r w:rsidRPr="00141C62">
        <w:t xml:space="preserve"> </w:t>
      </w:r>
      <w:r>
        <w:t>channel access mechanism and</w:t>
      </w:r>
      <w:r w:rsidRPr="00141C62">
        <w:t xml:space="preserve"> procedure </w:t>
      </w:r>
      <w:r>
        <w:t>for</w:t>
      </w:r>
      <w:r w:rsidRPr="00141C62">
        <w:t xml:space="preserve"> </w:t>
      </w:r>
      <w:r>
        <w:t xml:space="preserve">sidelink transmission on FR1 </w:t>
      </w:r>
      <w:r w:rsidRPr="00141C62">
        <w:t>unlicensed spectrum</w:t>
      </w:r>
      <w:r>
        <w:t>.</w:t>
      </w:r>
    </w:p>
    <w:p w14:paraId="5351584C" w14:textId="77777777" w:rsidR="00940BBC" w:rsidRPr="00D01415" w:rsidRDefault="00940BBC" w:rsidP="000C654B">
      <w:pPr>
        <w:pStyle w:val="BodyText"/>
        <w:rPr>
          <w:lang w:val="en-US"/>
        </w:rPr>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t>Discussion</w:t>
      </w:r>
    </w:p>
    <w:p w14:paraId="1EEFEDCC" w14:textId="71430CE1" w:rsidR="002C46E1" w:rsidRDefault="00940BBC" w:rsidP="002C46E1">
      <w:pPr>
        <w:pStyle w:val="Heading2"/>
        <w:rPr>
          <w:lang w:eastAsia="zh-CN"/>
        </w:rPr>
      </w:pPr>
      <w:r w:rsidRPr="00940BBC">
        <w:rPr>
          <w:lang w:eastAsia="zh-CN"/>
        </w:rPr>
        <w:t>Frame based equipment channel access mechanism</w:t>
      </w:r>
      <w:r w:rsidR="009E1BDD">
        <w:rPr>
          <w:lang w:eastAsia="zh-CN"/>
        </w:rPr>
        <w:t xml:space="preserve"> </w:t>
      </w:r>
    </w:p>
    <w:p w14:paraId="6E278B3A" w14:textId="1EC69A85" w:rsidR="00940BBC" w:rsidRPr="00940BBC" w:rsidRDefault="00015320" w:rsidP="007452EB">
      <w:pPr>
        <w:pStyle w:val="BodyText"/>
        <w:rPr>
          <w:rFonts w:eastAsia="Times New Roman"/>
          <w:lang w:val="en-GB"/>
        </w:rPr>
      </w:pPr>
      <w:r w:rsidRPr="00754B86">
        <w:t xml:space="preserve">Wireless signal transmission on unlicensed spectrum should meet the requirements of regulation subject to the management of the located country/region. </w:t>
      </w:r>
      <w:r w:rsidR="00940BBC" w:rsidRPr="00940BBC">
        <w:rPr>
          <w:rFonts w:eastAsia="Times New Roman"/>
          <w:lang w:val="en-GB"/>
        </w:rPr>
        <w:t>According to the regulation</w:t>
      </w:r>
      <w:r w:rsidR="00940BBC" w:rsidRPr="00940BBC">
        <w:rPr>
          <w:color w:val="000000"/>
        </w:rPr>
        <w:t xml:space="preserve"> </w:t>
      </w:r>
      <w:r w:rsidR="00940BBC">
        <w:rPr>
          <w:color w:val="000000"/>
        </w:rPr>
        <w:t xml:space="preserve">on </w:t>
      </w:r>
      <w:r w:rsidR="00940BBC" w:rsidRPr="00940BBC">
        <w:rPr>
          <w:color w:val="000000"/>
        </w:rPr>
        <w:t>Frame based equipment (FBE) channel access mechanism</w:t>
      </w:r>
      <w:r w:rsidR="00940BBC" w:rsidRPr="00940BBC">
        <w:rPr>
          <w:rFonts w:eastAsia="Times New Roman"/>
          <w:lang w:val="en-GB"/>
        </w:rPr>
        <w:t>, a device where the transmit/receive structure has a periodic timing with a declared periodicity</w:t>
      </w:r>
      <w:r w:rsidR="00940BBC" w:rsidRPr="00940BBC">
        <w:rPr>
          <w:rFonts w:eastAsia="Times New Roman" w:hint="eastAsia"/>
          <w:lang w:val="en-GB"/>
        </w:rPr>
        <w:t xml:space="preserve"> </w:t>
      </w:r>
      <w:r w:rsidR="00940BBC" w:rsidRPr="00940BBC">
        <w:rPr>
          <w:rFonts w:eastAsia="Times New Roman"/>
          <w:lang w:val="en-GB"/>
        </w:rPr>
        <w:t xml:space="preserve">equal to the </w:t>
      </w:r>
      <w:r w:rsidR="00940BBC" w:rsidRPr="00940BBC">
        <w:rPr>
          <w:rFonts w:eastAsia="Times New Roman"/>
          <w:iCs/>
          <w:lang w:val="en-GB"/>
        </w:rPr>
        <w:t>Fixed Frame Period</w:t>
      </w:r>
      <w:r w:rsidR="00940BBC" w:rsidRPr="00940BBC">
        <w:rPr>
          <w:rFonts w:eastAsia="Times New Roman"/>
          <w:lang w:val="en-GB"/>
        </w:rPr>
        <w:t xml:space="preserve"> (FFP) between 1 and 10ms, and a single </w:t>
      </w:r>
      <w:r w:rsidR="00940BBC" w:rsidRPr="00940BBC">
        <w:rPr>
          <w:rFonts w:eastAsia="Times New Roman"/>
          <w:iCs/>
          <w:lang w:val="en-GB"/>
        </w:rPr>
        <w:t>CCA slot, i.e., one-shot CCA with at least 9</w:t>
      </w:r>
      <w:r w:rsidR="00940BBC" w:rsidRPr="00940BBC">
        <w:rPr>
          <w:rFonts w:eastAsia="Times New Roman"/>
          <w:lang w:val="en-GB"/>
        </w:rPr>
        <w:t>μs sensing interval</w:t>
      </w:r>
      <w:r w:rsidR="00940BBC" w:rsidRPr="00940BBC">
        <w:rPr>
          <w:rFonts w:eastAsia="Times New Roman"/>
          <w:iCs/>
          <w:lang w:val="en-GB"/>
        </w:rPr>
        <w:t xml:space="preserve">. </w:t>
      </w:r>
      <w:r w:rsidR="00940BBC" w:rsidRPr="00940BBC">
        <w:rPr>
          <w:rFonts w:eastAsia="Times New Roman"/>
          <w:lang w:val="en-GB"/>
        </w:rPr>
        <w:t xml:space="preserve">Transmissions can start only at the beginning of the FFP immediately following a successful one-shot CCA. If the </w:t>
      </w:r>
      <w:r w:rsidR="00940BBC" w:rsidRPr="00940BBC">
        <w:rPr>
          <w:rFonts w:eastAsia="Times New Roman"/>
          <w:iCs/>
          <w:lang w:val="en-GB"/>
        </w:rPr>
        <w:t xml:space="preserve">FBE device </w:t>
      </w:r>
      <w:r w:rsidR="00940BBC" w:rsidRPr="00940BBC">
        <w:rPr>
          <w:rFonts w:eastAsia="Times New Roman"/>
          <w:lang w:val="en-GB"/>
        </w:rPr>
        <w:t xml:space="preserve">finds </w:t>
      </w:r>
      <w:r w:rsidR="00940BBC" w:rsidRPr="00940BBC">
        <w:rPr>
          <w:rFonts w:eastAsia="Times New Roman"/>
          <w:iCs/>
          <w:lang w:val="en-GB"/>
        </w:rPr>
        <w:t xml:space="preserve">the channel </w:t>
      </w:r>
      <w:r w:rsidR="00940BBC" w:rsidRPr="00940BBC">
        <w:rPr>
          <w:rFonts w:eastAsia="Times New Roman"/>
          <w:lang w:val="en-GB"/>
        </w:rPr>
        <w:t>occupied, no transmission occurs on that</w:t>
      </w:r>
      <w:r w:rsidR="00940BBC" w:rsidRPr="00940BBC">
        <w:rPr>
          <w:rFonts w:eastAsia="Times New Roman" w:hint="eastAsia"/>
          <w:lang w:val="en-GB"/>
        </w:rPr>
        <w:t xml:space="preserve"> c</w:t>
      </w:r>
      <w:r w:rsidR="00940BBC" w:rsidRPr="00940BBC">
        <w:rPr>
          <w:rFonts w:eastAsia="Times New Roman"/>
          <w:lang w:val="en-GB"/>
        </w:rPr>
        <w:t>hannel during the following F</w:t>
      </w:r>
      <w:r w:rsidR="00940BBC" w:rsidRPr="00940BBC">
        <w:rPr>
          <w:rFonts w:eastAsia="Times New Roman"/>
          <w:iCs/>
          <w:lang w:val="en-GB"/>
        </w:rPr>
        <w:t>FP. T</w:t>
      </w:r>
      <w:r w:rsidR="00940BBC" w:rsidRPr="00940BBC">
        <w:rPr>
          <w:rFonts w:eastAsia="Times New Roman"/>
          <w:lang w:val="en-GB"/>
        </w:rPr>
        <w:t>he channel occupancy time (</w:t>
      </w:r>
      <w:r w:rsidR="00940BBC" w:rsidRPr="00940BBC">
        <w:rPr>
          <w:rFonts w:eastAsia="Times New Roman"/>
          <w:iCs/>
          <w:lang w:val="en-GB"/>
        </w:rPr>
        <w:t>COT) can</w:t>
      </w:r>
      <w:r w:rsidR="00940BBC" w:rsidRPr="00940BBC">
        <w:rPr>
          <w:rFonts w:eastAsia="Times New Roman"/>
          <w:lang w:val="en-GB"/>
        </w:rPr>
        <w:t>not be greater than 95% of the F</w:t>
      </w:r>
      <w:r w:rsidR="00940BBC" w:rsidRPr="00940BBC">
        <w:rPr>
          <w:rFonts w:eastAsia="Times New Roman"/>
          <w:iCs/>
          <w:lang w:val="en-GB"/>
        </w:rPr>
        <w:t xml:space="preserve">FP </w:t>
      </w:r>
      <w:r w:rsidR="00940BBC" w:rsidRPr="00940BBC">
        <w:rPr>
          <w:rFonts w:eastAsia="Times New Roman"/>
          <w:lang w:val="en-GB"/>
        </w:rPr>
        <w:t xml:space="preserve">and </w:t>
      </w:r>
      <w:proofErr w:type="gramStart"/>
      <w:r w:rsidR="00940BBC" w:rsidRPr="00940BBC">
        <w:rPr>
          <w:rFonts w:eastAsia="Times New Roman"/>
          <w:lang w:val="en-GB"/>
        </w:rPr>
        <w:t>has to</w:t>
      </w:r>
      <w:proofErr w:type="gramEnd"/>
      <w:r w:rsidR="00940BBC" w:rsidRPr="00940BBC">
        <w:rPr>
          <w:rFonts w:eastAsia="Times New Roman"/>
          <w:lang w:val="en-GB"/>
        </w:rPr>
        <w:t xml:space="preserve"> be followed by an </w:t>
      </w:r>
      <w:r w:rsidR="00940BBC" w:rsidRPr="00940BBC">
        <w:rPr>
          <w:rFonts w:eastAsia="Times New Roman"/>
          <w:iCs/>
          <w:lang w:val="en-GB"/>
        </w:rPr>
        <w:t xml:space="preserve">Idle Period </w:t>
      </w:r>
      <w:r w:rsidR="00940BBC" w:rsidRPr="00940BBC">
        <w:rPr>
          <w:rFonts w:eastAsia="Times New Roman"/>
          <w:lang w:val="en-GB"/>
        </w:rPr>
        <w:t>until the start of the next F</w:t>
      </w:r>
      <w:r w:rsidR="00940BBC" w:rsidRPr="00940BBC">
        <w:rPr>
          <w:rFonts w:eastAsia="Times New Roman"/>
          <w:iCs/>
          <w:lang w:val="en-GB"/>
        </w:rPr>
        <w:t xml:space="preserve">FP </w:t>
      </w:r>
      <w:r w:rsidR="00940BBC" w:rsidRPr="00940BBC">
        <w:rPr>
          <w:rFonts w:eastAsia="Times New Roman"/>
          <w:lang w:val="en-GB"/>
        </w:rPr>
        <w:t xml:space="preserve">such that the </w:t>
      </w:r>
      <w:r w:rsidR="00940BBC" w:rsidRPr="00940BBC">
        <w:rPr>
          <w:rFonts w:eastAsia="Times New Roman"/>
          <w:iCs/>
          <w:lang w:val="en-GB"/>
        </w:rPr>
        <w:t>Idle Period</w:t>
      </w:r>
      <w:r w:rsidR="00940BBC" w:rsidRPr="00940BBC">
        <w:rPr>
          <w:rFonts w:eastAsia="Times New Roman" w:hint="eastAsia"/>
          <w:lang w:val="en-GB"/>
        </w:rPr>
        <w:t xml:space="preserve"> </w:t>
      </w:r>
      <w:r w:rsidR="00940BBC" w:rsidRPr="00940BBC">
        <w:rPr>
          <w:rFonts w:eastAsia="Times New Roman"/>
          <w:lang w:val="en-GB"/>
        </w:rPr>
        <w:t xml:space="preserve">is at least 5% of the </w:t>
      </w:r>
      <w:r w:rsidR="00940BBC" w:rsidRPr="00940BBC">
        <w:rPr>
          <w:rFonts w:eastAsia="Times New Roman"/>
          <w:iCs/>
          <w:lang w:val="en-GB"/>
        </w:rPr>
        <w:t>COT</w:t>
      </w:r>
      <w:r w:rsidR="00940BBC" w:rsidRPr="00940BBC">
        <w:rPr>
          <w:rFonts w:eastAsia="Times New Roman"/>
          <w:lang w:val="en-GB"/>
        </w:rPr>
        <w:t>, with a minimum of 100μs.</w:t>
      </w:r>
      <w:r w:rsidR="00940BBC" w:rsidRPr="00940BBC">
        <w:rPr>
          <w:rFonts w:eastAsia="Times New Roman" w:hint="eastAsia"/>
          <w:lang w:val="en-GB"/>
        </w:rPr>
        <w:t xml:space="preserve"> </w:t>
      </w:r>
      <w:r w:rsidR="00940BBC" w:rsidRPr="00940BBC">
        <w:rPr>
          <w:color w:val="000000"/>
        </w:rPr>
        <w:t xml:space="preserve">An FBE structure with a fixed frame period is shown in </w:t>
      </w:r>
      <w:r w:rsidR="00940BBC" w:rsidRPr="00940BBC">
        <w:rPr>
          <w:color w:val="000000"/>
        </w:rPr>
        <w:fldChar w:fldCharType="begin"/>
      </w:r>
      <w:r w:rsidR="00940BBC" w:rsidRPr="00940BBC">
        <w:rPr>
          <w:color w:val="000000"/>
        </w:rPr>
        <w:instrText xml:space="preserve"> REF _Ref16855523 \h  \* MERGEFORMAT </w:instrText>
      </w:r>
      <w:r w:rsidR="00940BBC" w:rsidRPr="00940BBC">
        <w:rPr>
          <w:color w:val="000000"/>
        </w:rPr>
      </w:r>
      <w:r w:rsidR="00940BBC" w:rsidRPr="00940BBC">
        <w:rPr>
          <w:color w:val="000000"/>
        </w:rPr>
        <w:fldChar w:fldCharType="separate"/>
      </w:r>
      <w:r w:rsidR="00940BBC" w:rsidRPr="00940BBC">
        <w:rPr>
          <w:color w:val="000000"/>
        </w:rPr>
        <w:t>Figure 1</w:t>
      </w:r>
      <w:r w:rsidR="00940BBC" w:rsidRPr="00940BBC">
        <w:rPr>
          <w:color w:val="000000"/>
        </w:rPr>
        <w:fldChar w:fldCharType="end"/>
      </w:r>
      <w:r w:rsidR="00940BBC" w:rsidRPr="00940BBC">
        <w:rPr>
          <w:color w:val="000000"/>
        </w:rPr>
        <w:t>. Additionally, within each COT, the regulation allows multiple DL-to-UL transmission switching subject to a one-shot CCA. There is no requirement of gap between transmission bursts. UEs served by the gNB that wins the contention can transmit within the COT, where the winning gNB is the initiating device and the served UEs are responding devices in FBE. A</w:t>
      </w:r>
      <w:r w:rsidR="00940BBC" w:rsidRPr="00940BBC">
        <w:rPr>
          <w:rFonts w:eastAsia="Times New Roman"/>
          <w:lang w:val="en-GB"/>
        </w:rPr>
        <w:t xml:space="preserve">n FBE </w:t>
      </w:r>
      <w:r w:rsidR="00940BBC" w:rsidRPr="00940BBC">
        <w:rPr>
          <w:color w:val="000000"/>
        </w:rPr>
        <w:t>initiating</w:t>
      </w:r>
      <w:r w:rsidR="00940BBC" w:rsidRPr="00940BBC">
        <w:rPr>
          <w:rFonts w:eastAsia="Times New Roman"/>
          <w:lang w:val="en-GB"/>
        </w:rPr>
        <w:t xml:space="preserve"> device may change its FFP at most every 200ms</w:t>
      </w:r>
      <w:r w:rsidR="00940BBC" w:rsidRPr="00940BBC">
        <w:rPr>
          <w:rFonts w:eastAsia="Times New Roman" w:hint="eastAsia"/>
          <w:lang w:val="en-GB"/>
        </w:rPr>
        <w:t>.</w:t>
      </w:r>
    </w:p>
    <w:p w14:paraId="0D71049D" w14:textId="77777777" w:rsidR="00940BBC" w:rsidRPr="00940BBC" w:rsidRDefault="00940BBC" w:rsidP="00940BBC">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940BBC">
        <w:rPr>
          <w:rFonts w:ascii="Times New Roman" w:eastAsia="Times New Roman" w:hAnsi="Times New Roman" w:cs="Times New Roman"/>
          <w:sz w:val="20"/>
          <w:szCs w:val="20"/>
          <w:lang w:val="en-GB" w:eastAsia="en-US"/>
        </w:rPr>
        <w:object w:dxaOrig="15424" w:dyaOrig="4455" w14:anchorId="1C8D2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35.6pt" o:ole="">
            <v:imagedata r:id="rId7" o:title=""/>
          </v:shape>
          <o:OLEObject Type="Embed" ProgID="Visio.Drawing.11" ShapeID="_x0000_i1025" DrawAspect="Content" ObjectID="_1725992034" r:id="rId8"/>
        </w:object>
      </w:r>
    </w:p>
    <w:p w14:paraId="43CAA25F" w14:textId="77777777" w:rsidR="00940BBC" w:rsidRPr="00940BBC" w:rsidRDefault="00940BBC" w:rsidP="00940BBC">
      <w:pPr>
        <w:spacing w:before="120" w:after="120" w:line="240" w:lineRule="auto"/>
        <w:jc w:val="center"/>
        <w:rPr>
          <w:rFonts w:ascii="Times New Roman" w:eastAsia="Times New Roman" w:hAnsi="Times New Roman" w:cs="Times New Roman"/>
          <w:bCs/>
          <w:noProof/>
          <w:sz w:val="20"/>
          <w:szCs w:val="20"/>
          <w:lang w:val="en-GB" w:eastAsia="en-US"/>
        </w:rPr>
      </w:pPr>
      <w:r w:rsidRPr="00940BBC">
        <w:rPr>
          <w:rFonts w:ascii="Times New Roman" w:eastAsia="Times New Roman" w:hAnsi="Times New Roman" w:cs="Times New Roman"/>
          <w:bCs/>
          <w:sz w:val="20"/>
          <w:szCs w:val="20"/>
          <w:lang w:val="en-GB" w:eastAsia="en-US"/>
        </w:rPr>
        <w:t xml:space="preserve">Figure </w:t>
      </w:r>
      <w:r w:rsidRPr="00940BBC">
        <w:rPr>
          <w:rFonts w:ascii="Times New Roman" w:eastAsia="Times New Roman" w:hAnsi="Times New Roman" w:cs="Times New Roman"/>
          <w:bCs/>
          <w:sz w:val="20"/>
          <w:szCs w:val="20"/>
          <w:lang w:val="en-GB" w:eastAsia="en-US"/>
        </w:rPr>
        <w:fldChar w:fldCharType="begin"/>
      </w:r>
      <w:r w:rsidRPr="00940BBC">
        <w:rPr>
          <w:rFonts w:ascii="Times New Roman" w:eastAsia="Times New Roman" w:hAnsi="Times New Roman" w:cs="Times New Roman"/>
          <w:bCs/>
          <w:sz w:val="20"/>
          <w:szCs w:val="20"/>
          <w:lang w:val="en-GB" w:eastAsia="en-US"/>
        </w:rPr>
        <w:instrText xml:space="preserve"> SEQ Figure \* ARABIC </w:instrText>
      </w:r>
      <w:r w:rsidRPr="00940BBC">
        <w:rPr>
          <w:rFonts w:ascii="Times New Roman" w:eastAsia="Times New Roman" w:hAnsi="Times New Roman" w:cs="Times New Roman"/>
          <w:bCs/>
          <w:sz w:val="20"/>
          <w:szCs w:val="20"/>
          <w:lang w:val="en-GB" w:eastAsia="en-US"/>
        </w:rPr>
        <w:fldChar w:fldCharType="separate"/>
      </w:r>
      <w:r w:rsidRPr="00940BBC">
        <w:rPr>
          <w:rFonts w:ascii="Times New Roman" w:eastAsia="Times New Roman" w:hAnsi="Times New Roman" w:cs="Times New Roman"/>
          <w:bCs/>
          <w:noProof/>
          <w:sz w:val="20"/>
          <w:szCs w:val="20"/>
          <w:lang w:val="en-GB" w:eastAsia="en-US"/>
        </w:rPr>
        <w:t>1</w:t>
      </w:r>
      <w:r w:rsidRPr="00940BBC">
        <w:rPr>
          <w:rFonts w:ascii="Times New Roman" w:eastAsia="Times New Roman" w:hAnsi="Times New Roman" w:cs="Times New Roman"/>
          <w:bCs/>
          <w:sz w:val="20"/>
          <w:szCs w:val="20"/>
          <w:lang w:val="en-GB" w:eastAsia="en-US"/>
        </w:rPr>
        <w:fldChar w:fldCharType="end"/>
      </w:r>
      <w:r w:rsidRPr="00940BBC">
        <w:rPr>
          <w:rFonts w:ascii="Times New Roman" w:eastAsia="Times New Roman" w:hAnsi="Times New Roman" w:cs="Times New Roman"/>
          <w:bCs/>
          <w:sz w:val="20"/>
          <w:szCs w:val="20"/>
          <w:lang w:val="en-GB" w:eastAsia="en-US"/>
        </w:rPr>
        <w:t>: Fixed Frame Period Structure</w:t>
      </w:r>
      <w:r w:rsidRPr="00940BBC">
        <w:rPr>
          <w:rFonts w:ascii="Times New Roman" w:eastAsia="Times New Roman" w:hAnsi="Times New Roman" w:cs="Times New Roman"/>
          <w:bCs/>
          <w:noProof/>
          <w:sz w:val="20"/>
          <w:szCs w:val="20"/>
          <w:lang w:val="en-GB" w:eastAsia="en-US"/>
        </w:rPr>
        <w:t xml:space="preserve"> for FBE </w:t>
      </w:r>
    </w:p>
    <w:p w14:paraId="4FC3FE36" w14:textId="154CCC3B" w:rsidR="00940BBC" w:rsidRDefault="00940BBC" w:rsidP="00940BBC">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lang w:val="en-GB"/>
        </w:rPr>
      </w:pPr>
    </w:p>
    <w:p w14:paraId="638C839C" w14:textId="019F783B" w:rsidR="007452EB" w:rsidRDefault="00940BBC" w:rsidP="00940BBC">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940BBC">
        <w:rPr>
          <w:rFonts w:ascii="Times New Roman" w:eastAsia="宋体" w:hAnsi="Times New Roman" w:cs="Times New Roman"/>
          <w:color w:val="000000"/>
          <w:sz w:val="20"/>
          <w:szCs w:val="20"/>
        </w:rPr>
        <w:t xml:space="preserve">In Rel-16 NR-U, </w:t>
      </w:r>
      <w:r w:rsidR="007452EB">
        <w:rPr>
          <w:rFonts w:ascii="Times New Roman" w:eastAsia="宋体" w:hAnsi="Times New Roman" w:cs="Times New Roman"/>
          <w:color w:val="000000"/>
          <w:sz w:val="20"/>
          <w:szCs w:val="20"/>
        </w:rPr>
        <w:t>FBE based channel access is specified</w:t>
      </w:r>
      <w:r w:rsidR="00A31BBA">
        <w:rPr>
          <w:rFonts w:ascii="Times New Roman" w:eastAsia="宋体" w:hAnsi="Times New Roman" w:cs="Times New Roman"/>
          <w:color w:val="000000"/>
          <w:sz w:val="20"/>
          <w:szCs w:val="20"/>
        </w:rPr>
        <w:t xml:space="preserve"> and named as semi-static channel acess</w:t>
      </w:r>
      <w:r w:rsidRPr="00940BBC">
        <w:rPr>
          <w:rFonts w:ascii="Times New Roman" w:eastAsia="宋体" w:hAnsi="Times New Roman" w:cs="Times New Roman"/>
          <w:color w:val="000000"/>
          <w:sz w:val="20"/>
          <w:szCs w:val="20"/>
        </w:rPr>
        <w:t xml:space="preserve">. </w:t>
      </w:r>
      <w:r w:rsidR="007452EB">
        <w:rPr>
          <w:rFonts w:ascii="Times New Roman" w:eastAsia="宋体" w:hAnsi="Times New Roman" w:cs="Times New Roman"/>
          <w:color w:val="000000"/>
          <w:sz w:val="20"/>
          <w:szCs w:val="20"/>
        </w:rPr>
        <w:t>Even in Rel-17 URLLC, FBE is supported f</w:t>
      </w:r>
      <w:r w:rsidRPr="00940BBC">
        <w:rPr>
          <w:rFonts w:ascii="Times New Roman" w:eastAsia="宋体" w:hAnsi="Times New Roman" w:cs="Times New Roman"/>
          <w:color w:val="000000"/>
          <w:sz w:val="20"/>
          <w:szCs w:val="20"/>
        </w:rPr>
        <w:t>or IIoT use case</w:t>
      </w:r>
      <w:r w:rsidR="007452EB">
        <w:rPr>
          <w:rFonts w:ascii="Times New Roman" w:eastAsia="宋体" w:hAnsi="Times New Roman" w:cs="Times New Roman"/>
          <w:color w:val="000000"/>
          <w:sz w:val="20"/>
          <w:szCs w:val="20"/>
        </w:rPr>
        <w:t>s where</w:t>
      </w:r>
      <w:r w:rsidRPr="00940BBC">
        <w:rPr>
          <w:rFonts w:ascii="Times New Roman" w:eastAsia="宋体" w:hAnsi="Times New Roman" w:cs="Times New Roman"/>
          <w:color w:val="000000"/>
          <w:sz w:val="20"/>
          <w:szCs w:val="20"/>
        </w:rPr>
        <w:t xml:space="preserve"> the operator (the factory) may have the capability to clear the environment to make sure there is no other RAT deployed in the same carrier. </w:t>
      </w:r>
    </w:p>
    <w:p w14:paraId="0257758A" w14:textId="40C82219" w:rsidR="007452EB" w:rsidRDefault="007452EB" w:rsidP="00940BBC">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7452EB">
        <w:rPr>
          <w:rFonts w:ascii="Times New Roman" w:eastAsia="宋体" w:hAnsi="Times New Roman" w:cs="Times New Roman"/>
          <w:color w:val="000000"/>
          <w:sz w:val="20"/>
          <w:szCs w:val="20"/>
        </w:rPr>
        <w:lastRenderedPageBreak/>
        <w:t>When unlicensed spectrum is used for sidelink transmission</w:t>
      </w:r>
      <w:r>
        <w:rPr>
          <w:rFonts w:ascii="Times New Roman" w:eastAsia="宋体" w:hAnsi="Times New Roman" w:cs="Times New Roman"/>
          <w:color w:val="000000"/>
          <w:sz w:val="20"/>
          <w:szCs w:val="20"/>
        </w:rPr>
        <w:t xml:space="preserve">, FBE should be considered as one channel access mechanism for sidelink transmission so as to exploit the benefit of avoidance of inter-UE blocking. </w:t>
      </w:r>
      <w:r w:rsidRPr="007452EB">
        <w:rPr>
          <w:rFonts w:ascii="Times New Roman" w:eastAsia="宋体" w:hAnsi="Times New Roman" w:cs="Times New Roman"/>
          <w:color w:val="000000"/>
          <w:sz w:val="20"/>
          <w:szCs w:val="20"/>
        </w:rPr>
        <w:t xml:space="preserve"> </w:t>
      </w:r>
    </w:p>
    <w:p w14:paraId="08B1011B" w14:textId="77777777" w:rsidR="007452EB" w:rsidRPr="002C7D5F" w:rsidRDefault="007452EB" w:rsidP="007452EB">
      <w:pPr>
        <w:pStyle w:val="BodyText"/>
      </w:pPr>
      <w:r w:rsidRPr="002C7D5F">
        <w:t>Based on above analysis, we have below proposals:</w:t>
      </w:r>
    </w:p>
    <w:p w14:paraId="09842FEB" w14:textId="2A5DCB63" w:rsidR="007452EB" w:rsidRDefault="007452EB" w:rsidP="007452E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1: </w:t>
      </w:r>
      <w:r>
        <w:rPr>
          <w:rFonts w:ascii="Times New Roman" w:eastAsia="+mn-ea" w:hAnsi="Times New Roman" w:cs="Times New Roman"/>
          <w:b/>
          <w:bCs/>
          <w:i/>
          <w:iCs/>
          <w:color w:val="000000"/>
          <w:kern w:val="24"/>
          <w:sz w:val="20"/>
          <w:szCs w:val="20"/>
          <w:u w:val="single"/>
        </w:rPr>
        <w:t>FBE-based channel access</w:t>
      </w:r>
      <w:r w:rsidRPr="002023FC">
        <w:rPr>
          <w:rFonts w:ascii="Times New Roman" w:eastAsia="+mn-ea" w:hAnsi="Times New Roman" w:cs="Times New Roman"/>
          <w:b/>
          <w:bCs/>
          <w:i/>
          <w:iCs/>
          <w:color w:val="000000"/>
          <w:kern w:val="24"/>
          <w:sz w:val="20"/>
          <w:szCs w:val="20"/>
          <w:u w:val="single"/>
        </w:rPr>
        <w:t xml:space="preserve"> is supported for </w:t>
      </w:r>
      <w:r>
        <w:rPr>
          <w:rFonts w:ascii="Times New Roman" w:eastAsia="+mn-ea" w:hAnsi="Times New Roman" w:cs="Times New Roman"/>
          <w:b/>
          <w:bCs/>
          <w:i/>
          <w:iCs/>
          <w:color w:val="000000"/>
          <w:kern w:val="24"/>
          <w:sz w:val="20"/>
          <w:szCs w:val="20"/>
          <w:u w:val="single"/>
        </w:rPr>
        <w:t>sidelink transmissions in FR1 unlicensed spectrum.</w:t>
      </w:r>
    </w:p>
    <w:p w14:paraId="640FA03A" w14:textId="294A18CA" w:rsidR="00940BBC" w:rsidRDefault="00940BBC" w:rsidP="002C7D5F">
      <w:pPr>
        <w:pStyle w:val="BodyText"/>
      </w:pPr>
    </w:p>
    <w:p w14:paraId="1AA5BDF9" w14:textId="77777777" w:rsidR="00A31BBA" w:rsidRDefault="00A31BBA" w:rsidP="002C7D5F">
      <w:pPr>
        <w:pStyle w:val="BodyText"/>
      </w:pPr>
    </w:p>
    <w:p w14:paraId="19842397" w14:textId="7465B78F" w:rsidR="00940BBC" w:rsidRDefault="00940BBC" w:rsidP="00940BBC">
      <w:pPr>
        <w:pStyle w:val="Heading2"/>
        <w:rPr>
          <w:lang w:eastAsia="zh-CN"/>
        </w:rPr>
      </w:pPr>
      <w:r>
        <w:rPr>
          <w:lang w:eastAsia="zh-CN"/>
        </w:rPr>
        <w:t>Load</w:t>
      </w:r>
      <w:r w:rsidRPr="00940BBC">
        <w:rPr>
          <w:lang w:eastAsia="zh-CN"/>
        </w:rPr>
        <w:t xml:space="preserve"> based equipment channel access mechanism</w:t>
      </w:r>
      <w:r>
        <w:rPr>
          <w:lang w:eastAsia="zh-CN"/>
        </w:rPr>
        <w:t xml:space="preserve"> </w:t>
      </w:r>
    </w:p>
    <w:p w14:paraId="222D8CEB" w14:textId="1E62416F" w:rsidR="00940BBC" w:rsidRDefault="00940BBC" w:rsidP="002C7D5F">
      <w:pPr>
        <w:pStyle w:val="BodyText"/>
      </w:pPr>
    </w:p>
    <w:p w14:paraId="3A74F43A" w14:textId="5C77A2FE" w:rsidR="007452EB" w:rsidRPr="00940BBC" w:rsidRDefault="00A31BBA" w:rsidP="002C7D5F">
      <w:pPr>
        <w:pStyle w:val="BodyText"/>
        <w:rPr>
          <w:lang w:val="en-GB"/>
        </w:rPr>
      </w:pPr>
      <w:r>
        <w:t xml:space="preserve">Compared with FBE, load-based equipment (LBE) channel access procedure is more complicated, such as generation of random backoff counter, contention window size update, channel access priority class and maximum channel occupancy. In Rel-16 NR-U, several types of channel access procedures are specified: Type-1, Type-2A/2B/2C. </w:t>
      </w:r>
      <w:r w:rsidR="00882723">
        <w:t xml:space="preserve">Different channel access types can be applied for different cases. </w:t>
      </w:r>
      <w:r w:rsidR="00373420">
        <w:t>The detailed description is listed in TS37.213 and not repeated here.</w:t>
      </w:r>
    </w:p>
    <w:p w14:paraId="022B479D" w14:textId="482EF4D2" w:rsidR="00940BBC" w:rsidRDefault="00373420" w:rsidP="002C7D5F">
      <w:pPr>
        <w:pStyle w:val="BodyText"/>
      </w:pPr>
      <w:r>
        <w:t xml:space="preserve">In TS37.213, there are two CAPC tables defined separately for DL and UL with differences on the values of </w:t>
      </w:r>
      <w:r w:rsidRPr="001A7C01">
        <w:rPr>
          <w:position w:val="-14"/>
        </w:rPr>
        <w:object w:dxaOrig="340" w:dyaOrig="380" w14:anchorId="76A5D3A4">
          <v:shape id="_x0000_i1026" type="#_x0000_t75" style="width:16.4pt;height:18.8pt" o:ole="">
            <v:imagedata r:id="rId9" o:title=""/>
          </v:shape>
          <o:OLEObject Type="Embed" ProgID="Equation.3" ShapeID="_x0000_i1026" DrawAspect="Content" ObjectID="_1725992035" r:id="rId10"/>
        </w:object>
      </w:r>
      <w:r>
        <w:t xml:space="preserve">, </w:t>
      </w:r>
      <w:r w:rsidRPr="001A7C01">
        <w:rPr>
          <w:position w:val="-14"/>
        </w:rPr>
        <w:object w:dxaOrig="800" w:dyaOrig="380" w14:anchorId="50D5E5D4">
          <v:shape id="_x0000_i1027" type="#_x0000_t75" style="width:40.4pt;height:19.6pt" o:ole="">
            <v:imagedata r:id="rId11" o:title=""/>
          </v:shape>
          <o:OLEObject Type="Embed" ProgID="Equation.3" ShapeID="_x0000_i1027" DrawAspect="Content" ObjectID="_1725992036" r:id="rId12"/>
        </w:object>
      </w:r>
      <w:r>
        <w:t xml:space="preserve">, </w:t>
      </w:r>
      <w:r w:rsidRPr="001A7C01">
        <w:rPr>
          <w:position w:val="-14"/>
        </w:rPr>
        <w:object w:dxaOrig="720" w:dyaOrig="380" w14:anchorId="63E30465">
          <v:shape id="_x0000_i1028" type="#_x0000_t75" style="width:36.8pt;height:19.6pt" o:ole="">
            <v:imagedata r:id="rId13" o:title=""/>
          </v:shape>
          <o:OLEObject Type="Embed" ProgID="Equation.3" ShapeID="_x0000_i1028" DrawAspect="Content" ObjectID="_1725992037" r:id="rId14"/>
        </w:object>
      </w:r>
      <w:r>
        <w:t xml:space="preserve">, and </w:t>
      </w:r>
      <w:r w:rsidRPr="001A7C01">
        <w:t xml:space="preserve">allowed </w:t>
      </w:r>
      <w:r w:rsidRPr="001A7C01">
        <w:rPr>
          <w:position w:val="-14"/>
        </w:rPr>
        <w:object w:dxaOrig="520" w:dyaOrig="380" w14:anchorId="41C679BE">
          <v:shape id="_x0000_i1029" type="#_x0000_t75" style="width:25.6pt;height:19.6pt" o:ole="">
            <v:imagedata r:id="rId15" o:title=""/>
          </v:shape>
          <o:OLEObject Type="Embed" ProgID="Equation.3" ShapeID="_x0000_i1029" DrawAspect="Content" ObjectID="_1725992038" r:id="rId16"/>
        </w:object>
      </w:r>
      <w:r w:rsidRPr="001A7C01">
        <w:t>sizes</w:t>
      </w:r>
      <w:r>
        <w:t>.</w:t>
      </w:r>
      <w:r w:rsidR="00882723">
        <w:t xml:space="preserve"> When gNB intends to initiate a COT for DL transmission, it shall determine a CAPC value according to Table 4.1.1-1 before performing Type-1 channel access procedure; correspondingly, when a UE intends to initiate a COT for UL transmission, it shall determine a CAPC value according to Table 4.2.1-1 before performing Type-1 channel access procedure.</w:t>
      </w:r>
    </w:p>
    <w:p w14:paraId="4C72FB86" w14:textId="77777777" w:rsidR="00681730" w:rsidRDefault="00681730" w:rsidP="002C7D5F">
      <w:pPr>
        <w:pStyle w:val="BodyText"/>
      </w:pPr>
    </w:p>
    <w:p w14:paraId="723BFE8E" w14:textId="12930F8B" w:rsidR="00373420" w:rsidRPr="001A7C01" w:rsidRDefault="00373420" w:rsidP="00373420">
      <w:pPr>
        <w:pStyle w:val="TH"/>
      </w:pPr>
      <w:r w:rsidRPr="001A7C01">
        <w:lastRenderedPageBreak/>
        <w:t xml:space="preserve">Table </w:t>
      </w:r>
      <w:r>
        <w:t>4</w:t>
      </w:r>
      <w:r w:rsidRPr="001A7C01">
        <w:t>.1.1-1: Channel Access Priority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900"/>
        <w:gridCol w:w="1080"/>
        <w:gridCol w:w="1080"/>
        <w:gridCol w:w="1170"/>
        <w:gridCol w:w="2692"/>
      </w:tblGrid>
      <w:tr w:rsidR="00373420" w:rsidRPr="001A7C01" w14:paraId="5780A3C2" w14:textId="77777777" w:rsidTr="00AF62A4">
        <w:trPr>
          <w:trHeight w:val="554"/>
          <w:jc w:val="center"/>
        </w:trPr>
        <w:tc>
          <w:tcPr>
            <w:tcW w:w="1500" w:type="dxa"/>
            <w:shd w:val="clear" w:color="auto" w:fill="E0E0E0"/>
            <w:vAlign w:val="center"/>
          </w:tcPr>
          <w:p w14:paraId="02A17EE2" w14:textId="77777777" w:rsidR="00373420" w:rsidRPr="001A7C01" w:rsidRDefault="00373420" w:rsidP="00AF62A4">
            <w:pPr>
              <w:pStyle w:val="TAH"/>
            </w:pPr>
            <w:r w:rsidRPr="001A7C01">
              <w:t>Channel Access Priority Class (</w:t>
            </w:r>
            <w:r w:rsidRPr="001A7C01">
              <w:rPr>
                <w:position w:val="-10"/>
              </w:rPr>
              <w:object w:dxaOrig="240" w:dyaOrig="260" w14:anchorId="1CEA0FC6">
                <v:shape id="_x0000_i1030" type="#_x0000_t75" style="width:12pt;height:13.6pt" o:ole="">
                  <v:imagedata r:id="rId17" o:title=""/>
                </v:shape>
                <o:OLEObject Type="Embed" ProgID="Equation.3" ShapeID="_x0000_i1030" DrawAspect="Content" ObjectID="_1725992039" r:id="rId18"/>
              </w:object>
            </w:r>
            <w:r w:rsidRPr="001A7C01">
              <w:t>)</w:t>
            </w:r>
          </w:p>
        </w:tc>
        <w:tc>
          <w:tcPr>
            <w:tcW w:w="900" w:type="dxa"/>
            <w:shd w:val="clear" w:color="auto" w:fill="E0E0E0"/>
            <w:vAlign w:val="center"/>
          </w:tcPr>
          <w:p w14:paraId="088D49CB" w14:textId="77777777" w:rsidR="00373420" w:rsidRPr="001A7C01" w:rsidRDefault="00373420" w:rsidP="00AF62A4">
            <w:pPr>
              <w:pStyle w:val="TAH"/>
            </w:pPr>
            <w:r w:rsidRPr="001A7C01">
              <w:rPr>
                <w:position w:val="-14"/>
              </w:rPr>
              <w:object w:dxaOrig="340" w:dyaOrig="380" w14:anchorId="5A6BE702">
                <v:shape id="_x0000_i1031" type="#_x0000_t75" style="width:16.4pt;height:18.8pt" o:ole="">
                  <v:imagedata r:id="rId9" o:title=""/>
                </v:shape>
                <o:OLEObject Type="Embed" ProgID="Equation.3" ShapeID="_x0000_i1031" DrawAspect="Content" ObjectID="_1725992040" r:id="rId19"/>
              </w:object>
            </w:r>
          </w:p>
        </w:tc>
        <w:tc>
          <w:tcPr>
            <w:tcW w:w="1080" w:type="dxa"/>
            <w:shd w:val="clear" w:color="auto" w:fill="E0E0E0"/>
            <w:vAlign w:val="center"/>
          </w:tcPr>
          <w:p w14:paraId="2F54B23D" w14:textId="77777777" w:rsidR="00373420" w:rsidRPr="001A7C01" w:rsidRDefault="00373420" w:rsidP="00AF62A4">
            <w:pPr>
              <w:pStyle w:val="TAH"/>
            </w:pPr>
            <w:r w:rsidRPr="001A7C01">
              <w:rPr>
                <w:position w:val="-14"/>
              </w:rPr>
              <w:object w:dxaOrig="760" w:dyaOrig="380" w14:anchorId="788A2DE3">
                <v:shape id="_x0000_i1032" type="#_x0000_t75" style="width:38.4pt;height:18.8pt" o:ole="">
                  <v:imagedata r:id="rId20" o:title=""/>
                </v:shape>
                <o:OLEObject Type="Embed" ProgID="Equation.3" ShapeID="_x0000_i1032" DrawAspect="Content" ObjectID="_1725992041" r:id="rId21"/>
              </w:object>
            </w:r>
          </w:p>
        </w:tc>
        <w:tc>
          <w:tcPr>
            <w:tcW w:w="1080" w:type="dxa"/>
            <w:shd w:val="clear" w:color="auto" w:fill="E0E0E0"/>
            <w:vAlign w:val="center"/>
          </w:tcPr>
          <w:p w14:paraId="5F468F30" w14:textId="77777777" w:rsidR="00373420" w:rsidRPr="001A7C01" w:rsidRDefault="00373420" w:rsidP="00AF62A4">
            <w:pPr>
              <w:pStyle w:val="TAH"/>
            </w:pPr>
            <w:r w:rsidRPr="001A7C01">
              <w:rPr>
                <w:position w:val="-14"/>
              </w:rPr>
              <w:object w:dxaOrig="800" w:dyaOrig="380" w14:anchorId="680F4876">
                <v:shape id="_x0000_i1033" type="#_x0000_t75" style="width:40.4pt;height:18.8pt" o:ole="">
                  <v:imagedata r:id="rId11" o:title=""/>
                </v:shape>
                <o:OLEObject Type="Embed" ProgID="Equation.3" ShapeID="_x0000_i1033" DrawAspect="Content" ObjectID="_1725992042" r:id="rId22"/>
              </w:object>
            </w:r>
          </w:p>
        </w:tc>
        <w:tc>
          <w:tcPr>
            <w:tcW w:w="1170" w:type="dxa"/>
            <w:shd w:val="clear" w:color="auto" w:fill="E0E0E0"/>
            <w:vAlign w:val="center"/>
          </w:tcPr>
          <w:p w14:paraId="30F00881" w14:textId="77777777" w:rsidR="00373420" w:rsidRPr="001A7C01" w:rsidRDefault="00373420" w:rsidP="00AF62A4">
            <w:pPr>
              <w:pStyle w:val="TAH"/>
            </w:pPr>
            <w:r w:rsidRPr="001A7C01">
              <w:rPr>
                <w:position w:val="-14"/>
              </w:rPr>
              <w:object w:dxaOrig="600" w:dyaOrig="380" w14:anchorId="2D5BBF65">
                <v:shape id="_x0000_i1034" type="#_x0000_t75" style="width:30.8pt;height:18.8pt" o:ole="">
                  <v:imagedata r:id="rId23" o:title=""/>
                </v:shape>
                <o:OLEObject Type="Embed" ProgID="Equation.3" ShapeID="_x0000_i1034" DrawAspect="Content" ObjectID="_1725992043" r:id="rId24"/>
              </w:object>
            </w:r>
          </w:p>
        </w:tc>
        <w:tc>
          <w:tcPr>
            <w:tcW w:w="2692" w:type="dxa"/>
            <w:shd w:val="clear" w:color="auto" w:fill="E0E0E0"/>
            <w:vAlign w:val="center"/>
          </w:tcPr>
          <w:p w14:paraId="038319C7" w14:textId="77777777" w:rsidR="00373420" w:rsidRPr="001A7C01" w:rsidRDefault="00373420" w:rsidP="00AF62A4">
            <w:pPr>
              <w:pStyle w:val="TAH"/>
            </w:pPr>
            <w:r w:rsidRPr="001A7C01">
              <w:t xml:space="preserve">allowed </w:t>
            </w:r>
            <w:r w:rsidRPr="001A7C01">
              <w:rPr>
                <w:position w:val="-14"/>
              </w:rPr>
              <w:object w:dxaOrig="520" w:dyaOrig="380" w14:anchorId="33CA4814">
                <v:shape id="_x0000_i1035" type="#_x0000_t75" style="width:25.6pt;height:18.8pt" o:ole="">
                  <v:imagedata r:id="rId15" o:title=""/>
                </v:shape>
                <o:OLEObject Type="Embed" ProgID="Equation.3" ShapeID="_x0000_i1035" DrawAspect="Content" ObjectID="_1725992044" r:id="rId25"/>
              </w:object>
            </w:r>
            <w:r w:rsidRPr="001A7C01">
              <w:t>sizes</w:t>
            </w:r>
          </w:p>
        </w:tc>
      </w:tr>
      <w:tr w:rsidR="00373420" w:rsidRPr="001A7C01" w14:paraId="6005E0E9" w14:textId="77777777" w:rsidTr="00AF62A4">
        <w:trPr>
          <w:trHeight w:val="376"/>
          <w:jc w:val="center"/>
        </w:trPr>
        <w:tc>
          <w:tcPr>
            <w:tcW w:w="1500" w:type="dxa"/>
            <w:shd w:val="clear" w:color="auto" w:fill="auto"/>
            <w:vAlign w:val="center"/>
          </w:tcPr>
          <w:p w14:paraId="7D1739B7" w14:textId="77777777" w:rsidR="00373420" w:rsidRPr="001A7C01" w:rsidRDefault="00373420" w:rsidP="00AF62A4">
            <w:pPr>
              <w:pStyle w:val="TAC"/>
            </w:pPr>
            <w:r w:rsidRPr="001A7C01">
              <w:t>1</w:t>
            </w:r>
          </w:p>
        </w:tc>
        <w:tc>
          <w:tcPr>
            <w:tcW w:w="900" w:type="dxa"/>
            <w:shd w:val="clear" w:color="auto" w:fill="auto"/>
            <w:vAlign w:val="center"/>
          </w:tcPr>
          <w:p w14:paraId="7F0E256D" w14:textId="77777777" w:rsidR="00373420" w:rsidRPr="001A7C01" w:rsidRDefault="00373420" w:rsidP="00AF62A4">
            <w:pPr>
              <w:pStyle w:val="TAC"/>
            </w:pPr>
            <w:r w:rsidRPr="001A7C01">
              <w:t>1</w:t>
            </w:r>
          </w:p>
        </w:tc>
        <w:tc>
          <w:tcPr>
            <w:tcW w:w="1080" w:type="dxa"/>
            <w:vAlign w:val="center"/>
          </w:tcPr>
          <w:p w14:paraId="5CBEC1DA" w14:textId="77777777" w:rsidR="00373420" w:rsidRPr="001A7C01" w:rsidRDefault="00373420" w:rsidP="00AF62A4">
            <w:pPr>
              <w:pStyle w:val="TAC"/>
            </w:pPr>
            <w:r w:rsidRPr="001A7C01">
              <w:t>3</w:t>
            </w:r>
          </w:p>
        </w:tc>
        <w:tc>
          <w:tcPr>
            <w:tcW w:w="1080" w:type="dxa"/>
            <w:vAlign w:val="center"/>
          </w:tcPr>
          <w:p w14:paraId="1D1FC0C2" w14:textId="77777777" w:rsidR="00373420" w:rsidRPr="001A7C01" w:rsidRDefault="00373420" w:rsidP="00AF62A4">
            <w:pPr>
              <w:pStyle w:val="TAC"/>
            </w:pPr>
            <w:r w:rsidRPr="001A7C01">
              <w:t>7</w:t>
            </w:r>
          </w:p>
        </w:tc>
        <w:tc>
          <w:tcPr>
            <w:tcW w:w="1170" w:type="dxa"/>
            <w:vAlign w:val="center"/>
          </w:tcPr>
          <w:p w14:paraId="66328FEA" w14:textId="77777777" w:rsidR="00373420" w:rsidRPr="001A7C01" w:rsidRDefault="00373420" w:rsidP="00AF62A4">
            <w:pPr>
              <w:pStyle w:val="TAC"/>
            </w:pPr>
            <w:r w:rsidRPr="001A7C01">
              <w:t>2 ms</w:t>
            </w:r>
          </w:p>
        </w:tc>
        <w:tc>
          <w:tcPr>
            <w:tcW w:w="2692" w:type="dxa"/>
            <w:vAlign w:val="center"/>
          </w:tcPr>
          <w:p w14:paraId="3CC8021D" w14:textId="77777777" w:rsidR="00373420" w:rsidRPr="001A7C01" w:rsidRDefault="00373420" w:rsidP="00AF62A4">
            <w:pPr>
              <w:pStyle w:val="TAC"/>
            </w:pPr>
            <w:r w:rsidRPr="001A7C01">
              <w:t>{3,7}</w:t>
            </w:r>
          </w:p>
        </w:tc>
      </w:tr>
      <w:tr w:rsidR="00373420" w:rsidRPr="001A7C01" w14:paraId="454C2840" w14:textId="77777777" w:rsidTr="00AF62A4">
        <w:trPr>
          <w:trHeight w:val="376"/>
          <w:jc w:val="center"/>
        </w:trPr>
        <w:tc>
          <w:tcPr>
            <w:tcW w:w="1500" w:type="dxa"/>
            <w:shd w:val="clear" w:color="auto" w:fill="auto"/>
            <w:vAlign w:val="center"/>
          </w:tcPr>
          <w:p w14:paraId="5C922455" w14:textId="77777777" w:rsidR="00373420" w:rsidRPr="001A7C01" w:rsidRDefault="00373420" w:rsidP="00AF62A4">
            <w:pPr>
              <w:pStyle w:val="TAC"/>
            </w:pPr>
            <w:r w:rsidRPr="001A7C01">
              <w:t>2</w:t>
            </w:r>
          </w:p>
        </w:tc>
        <w:tc>
          <w:tcPr>
            <w:tcW w:w="900" w:type="dxa"/>
            <w:shd w:val="clear" w:color="auto" w:fill="auto"/>
            <w:vAlign w:val="center"/>
          </w:tcPr>
          <w:p w14:paraId="6D88BAFA" w14:textId="77777777" w:rsidR="00373420" w:rsidRPr="001A7C01" w:rsidRDefault="00373420" w:rsidP="00AF62A4">
            <w:pPr>
              <w:pStyle w:val="TAC"/>
            </w:pPr>
            <w:r w:rsidRPr="001A7C01">
              <w:t>1</w:t>
            </w:r>
          </w:p>
        </w:tc>
        <w:tc>
          <w:tcPr>
            <w:tcW w:w="1080" w:type="dxa"/>
            <w:vAlign w:val="center"/>
          </w:tcPr>
          <w:p w14:paraId="3179EA74" w14:textId="77777777" w:rsidR="00373420" w:rsidRPr="001A7C01" w:rsidRDefault="00373420" w:rsidP="00AF62A4">
            <w:pPr>
              <w:pStyle w:val="TAC"/>
            </w:pPr>
            <w:r w:rsidRPr="001A7C01">
              <w:t>7</w:t>
            </w:r>
          </w:p>
        </w:tc>
        <w:tc>
          <w:tcPr>
            <w:tcW w:w="1080" w:type="dxa"/>
            <w:vAlign w:val="center"/>
          </w:tcPr>
          <w:p w14:paraId="2D2431B1" w14:textId="77777777" w:rsidR="00373420" w:rsidRPr="001A7C01" w:rsidRDefault="00373420" w:rsidP="00AF62A4">
            <w:pPr>
              <w:pStyle w:val="TAC"/>
            </w:pPr>
            <w:r w:rsidRPr="001A7C01">
              <w:t>15</w:t>
            </w:r>
          </w:p>
        </w:tc>
        <w:tc>
          <w:tcPr>
            <w:tcW w:w="1170" w:type="dxa"/>
            <w:vAlign w:val="center"/>
          </w:tcPr>
          <w:p w14:paraId="60932D10" w14:textId="77777777" w:rsidR="00373420" w:rsidRPr="001A7C01" w:rsidRDefault="00373420" w:rsidP="00AF62A4">
            <w:pPr>
              <w:pStyle w:val="TAC"/>
            </w:pPr>
            <w:r w:rsidRPr="001A7C01">
              <w:t>3 ms</w:t>
            </w:r>
          </w:p>
        </w:tc>
        <w:tc>
          <w:tcPr>
            <w:tcW w:w="2692" w:type="dxa"/>
            <w:vAlign w:val="center"/>
          </w:tcPr>
          <w:p w14:paraId="0934AFE2" w14:textId="77777777" w:rsidR="00373420" w:rsidRPr="001A7C01" w:rsidRDefault="00373420" w:rsidP="00AF62A4">
            <w:pPr>
              <w:pStyle w:val="TAC"/>
            </w:pPr>
            <w:r w:rsidRPr="001A7C01">
              <w:t>{7,15}</w:t>
            </w:r>
          </w:p>
        </w:tc>
      </w:tr>
      <w:tr w:rsidR="00373420" w:rsidRPr="001A7C01" w14:paraId="6478F2C7" w14:textId="77777777" w:rsidTr="00AF62A4">
        <w:trPr>
          <w:trHeight w:val="376"/>
          <w:jc w:val="center"/>
        </w:trPr>
        <w:tc>
          <w:tcPr>
            <w:tcW w:w="1500" w:type="dxa"/>
            <w:shd w:val="clear" w:color="auto" w:fill="auto"/>
            <w:vAlign w:val="center"/>
          </w:tcPr>
          <w:p w14:paraId="15B0ED1A" w14:textId="77777777" w:rsidR="00373420" w:rsidRPr="001A7C01" w:rsidRDefault="00373420" w:rsidP="00AF62A4">
            <w:pPr>
              <w:pStyle w:val="TAC"/>
            </w:pPr>
            <w:r w:rsidRPr="001A7C01">
              <w:t>3</w:t>
            </w:r>
          </w:p>
        </w:tc>
        <w:tc>
          <w:tcPr>
            <w:tcW w:w="900" w:type="dxa"/>
            <w:shd w:val="clear" w:color="auto" w:fill="auto"/>
            <w:vAlign w:val="center"/>
          </w:tcPr>
          <w:p w14:paraId="3F84CDB8" w14:textId="77777777" w:rsidR="00373420" w:rsidRPr="001A7C01" w:rsidRDefault="00373420" w:rsidP="00AF62A4">
            <w:pPr>
              <w:pStyle w:val="TAC"/>
            </w:pPr>
            <w:r w:rsidRPr="001A7C01">
              <w:t>3</w:t>
            </w:r>
          </w:p>
        </w:tc>
        <w:tc>
          <w:tcPr>
            <w:tcW w:w="1080" w:type="dxa"/>
            <w:vAlign w:val="center"/>
          </w:tcPr>
          <w:p w14:paraId="64D4EC6D" w14:textId="77777777" w:rsidR="00373420" w:rsidRPr="001A7C01" w:rsidRDefault="00373420" w:rsidP="00AF62A4">
            <w:pPr>
              <w:pStyle w:val="TAC"/>
            </w:pPr>
            <w:r w:rsidRPr="001A7C01">
              <w:t>15</w:t>
            </w:r>
          </w:p>
        </w:tc>
        <w:tc>
          <w:tcPr>
            <w:tcW w:w="1080" w:type="dxa"/>
            <w:vAlign w:val="center"/>
          </w:tcPr>
          <w:p w14:paraId="577EF09B" w14:textId="77777777" w:rsidR="00373420" w:rsidRPr="001A7C01" w:rsidRDefault="00373420" w:rsidP="00AF62A4">
            <w:pPr>
              <w:pStyle w:val="TAC"/>
            </w:pPr>
            <w:r w:rsidRPr="001A7C01">
              <w:t>63</w:t>
            </w:r>
          </w:p>
        </w:tc>
        <w:tc>
          <w:tcPr>
            <w:tcW w:w="1170" w:type="dxa"/>
            <w:vAlign w:val="center"/>
          </w:tcPr>
          <w:p w14:paraId="3BE15070" w14:textId="77777777" w:rsidR="00373420" w:rsidRPr="001A7C01" w:rsidRDefault="00373420" w:rsidP="00AF62A4">
            <w:pPr>
              <w:pStyle w:val="TAC"/>
            </w:pPr>
            <w:r w:rsidRPr="001A7C01">
              <w:t>8 or 10 ms</w:t>
            </w:r>
          </w:p>
        </w:tc>
        <w:tc>
          <w:tcPr>
            <w:tcW w:w="2692" w:type="dxa"/>
            <w:vAlign w:val="center"/>
          </w:tcPr>
          <w:p w14:paraId="4DD7A244" w14:textId="77777777" w:rsidR="00373420" w:rsidRPr="001A7C01" w:rsidRDefault="00373420" w:rsidP="00AF62A4">
            <w:pPr>
              <w:pStyle w:val="TAC"/>
            </w:pPr>
            <w:r w:rsidRPr="001A7C01">
              <w:t>{15,31,63}</w:t>
            </w:r>
          </w:p>
        </w:tc>
      </w:tr>
      <w:tr w:rsidR="00373420" w:rsidRPr="001A7C01" w14:paraId="24842933" w14:textId="77777777" w:rsidTr="00AF62A4">
        <w:trPr>
          <w:trHeight w:val="376"/>
          <w:jc w:val="center"/>
        </w:trPr>
        <w:tc>
          <w:tcPr>
            <w:tcW w:w="1500" w:type="dxa"/>
            <w:shd w:val="clear" w:color="auto" w:fill="auto"/>
            <w:vAlign w:val="center"/>
          </w:tcPr>
          <w:p w14:paraId="0F06A199" w14:textId="77777777" w:rsidR="00373420" w:rsidRPr="001A7C01" w:rsidRDefault="00373420" w:rsidP="00AF62A4">
            <w:pPr>
              <w:pStyle w:val="TAC"/>
            </w:pPr>
            <w:r w:rsidRPr="001A7C01">
              <w:t>4</w:t>
            </w:r>
          </w:p>
        </w:tc>
        <w:tc>
          <w:tcPr>
            <w:tcW w:w="900" w:type="dxa"/>
            <w:shd w:val="clear" w:color="auto" w:fill="auto"/>
            <w:vAlign w:val="center"/>
          </w:tcPr>
          <w:p w14:paraId="0C72343D" w14:textId="77777777" w:rsidR="00373420" w:rsidRPr="001A7C01" w:rsidRDefault="00373420" w:rsidP="00AF62A4">
            <w:pPr>
              <w:pStyle w:val="TAC"/>
            </w:pPr>
            <w:r w:rsidRPr="001A7C01">
              <w:t>7</w:t>
            </w:r>
          </w:p>
        </w:tc>
        <w:tc>
          <w:tcPr>
            <w:tcW w:w="1080" w:type="dxa"/>
            <w:vAlign w:val="center"/>
          </w:tcPr>
          <w:p w14:paraId="144AD0D8" w14:textId="77777777" w:rsidR="00373420" w:rsidRPr="001A7C01" w:rsidRDefault="00373420" w:rsidP="00AF62A4">
            <w:pPr>
              <w:pStyle w:val="TAC"/>
            </w:pPr>
            <w:r w:rsidRPr="001A7C01">
              <w:t>15</w:t>
            </w:r>
          </w:p>
        </w:tc>
        <w:tc>
          <w:tcPr>
            <w:tcW w:w="1080" w:type="dxa"/>
            <w:vAlign w:val="center"/>
          </w:tcPr>
          <w:p w14:paraId="153AA94A" w14:textId="77777777" w:rsidR="00373420" w:rsidRPr="001A7C01" w:rsidRDefault="00373420" w:rsidP="00AF62A4">
            <w:pPr>
              <w:pStyle w:val="TAC"/>
            </w:pPr>
            <w:r w:rsidRPr="001A7C01">
              <w:t>1023</w:t>
            </w:r>
          </w:p>
        </w:tc>
        <w:tc>
          <w:tcPr>
            <w:tcW w:w="1170" w:type="dxa"/>
            <w:vAlign w:val="center"/>
          </w:tcPr>
          <w:p w14:paraId="067D45EA" w14:textId="77777777" w:rsidR="00373420" w:rsidRPr="001A7C01" w:rsidRDefault="00373420" w:rsidP="00AF62A4">
            <w:pPr>
              <w:pStyle w:val="TAC"/>
            </w:pPr>
            <w:r w:rsidRPr="001A7C01">
              <w:t>8 or 10 ms</w:t>
            </w:r>
          </w:p>
        </w:tc>
        <w:tc>
          <w:tcPr>
            <w:tcW w:w="2692" w:type="dxa"/>
            <w:vAlign w:val="center"/>
          </w:tcPr>
          <w:p w14:paraId="0EEFE72C" w14:textId="77777777" w:rsidR="00373420" w:rsidRPr="001A7C01" w:rsidRDefault="00373420" w:rsidP="00AF62A4">
            <w:pPr>
              <w:pStyle w:val="TAC"/>
            </w:pPr>
            <w:r w:rsidRPr="001A7C01">
              <w:t>{15,31,63,127,255,511,1023}</w:t>
            </w:r>
          </w:p>
        </w:tc>
      </w:tr>
    </w:tbl>
    <w:p w14:paraId="7D2D556D" w14:textId="77777777" w:rsidR="00373420" w:rsidRDefault="00373420" w:rsidP="00373420">
      <w:pPr>
        <w:pStyle w:val="TH"/>
      </w:pPr>
    </w:p>
    <w:p w14:paraId="69256510" w14:textId="2EC7F9D9" w:rsidR="00373420" w:rsidRPr="001A7C01" w:rsidRDefault="00373420" w:rsidP="00373420">
      <w:pPr>
        <w:pStyle w:val="TH"/>
      </w:pPr>
      <w:r w:rsidRPr="001A7C01">
        <w:t xml:space="preserve">Table </w:t>
      </w:r>
      <w:r>
        <w:t>4</w:t>
      </w:r>
      <w:r w:rsidRPr="001A7C01">
        <w:t xml:space="preserve">.2.1-1: Channel Access Priority Class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373420" w:rsidRPr="001A7C01" w14:paraId="5E2E7203" w14:textId="77777777" w:rsidTr="00AF62A4">
        <w:trPr>
          <w:trHeight w:val="554"/>
          <w:jc w:val="center"/>
        </w:trPr>
        <w:tc>
          <w:tcPr>
            <w:tcW w:w="1371" w:type="dxa"/>
            <w:shd w:val="clear" w:color="auto" w:fill="E0E0E0"/>
            <w:vAlign w:val="center"/>
          </w:tcPr>
          <w:p w14:paraId="5AA30C86" w14:textId="77777777" w:rsidR="00373420" w:rsidRPr="001A7C01" w:rsidRDefault="00373420" w:rsidP="00AF62A4">
            <w:pPr>
              <w:pStyle w:val="TAH"/>
            </w:pPr>
            <w:r w:rsidRPr="001A7C01">
              <w:t>Channel Access Priority Class (</w:t>
            </w:r>
            <w:r w:rsidRPr="001A7C01">
              <w:rPr>
                <w:position w:val="-10"/>
              </w:rPr>
              <w:object w:dxaOrig="240" w:dyaOrig="260" w14:anchorId="34AEA5A6">
                <v:shape id="_x0000_i1036" type="#_x0000_t75" style="width:12pt;height:13.6pt" o:ole="">
                  <v:imagedata r:id="rId17" o:title=""/>
                </v:shape>
                <o:OLEObject Type="Embed" ProgID="Equation.3" ShapeID="_x0000_i1036" DrawAspect="Content" ObjectID="_1725992045" r:id="rId26"/>
              </w:object>
            </w:r>
            <w:r w:rsidRPr="001A7C01">
              <w:t>)</w:t>
            </w:r>
          </w:p>
        </w:tc>
        <w:tc>
          <w:tcPr>
            <w:tcW w:w="630" w:type="dxa"/>
            <w:shd w:val="clear" w:color="auto" w:fill="E0E0E0"/>
            <w:vAlign w:val="center"/>
          </w:tcPr>
          <w:p w14:paraId="3C24583B" w14:textId="77777777" w:rsidR="00373420" w:rsidRPr="001A7C01" w:rsidRDefault="00373420" w:rsidP="00AF62A4">
            <w:pPr>
              <w:pStyle w:val="TAH"/>
            </w:pPr>
            <w:r w:rsidRPr="001A7C01">
              <w:rPr>
                <w:position w:val="-14"/>
              </w:rPr>
              <w:object w:dxaOrig="340" w:dyaOrig="380" w14:anchorId="2B15A440">
                <v:shape id="_x0000_i1037" type="#_x0000_t75" style="width:16.4pt;height:18.8pt" o:ole="">
                  <v:imagedata r:id="rId9" o:title=""/>
                </v:shape>
                <o:OLEObject Type="Embed" ProgID="Equation.3" ShapeID="_x0000_i1037" DrawAspect="Content" ObjectID="_1725992046" r:id="rId27"/>
              </w:object>
            </w:r>
          </w:p>
        </w:tc>
        <w:tc>
          <w:tcPr>
            <w:tcW w:w="990" w:type="dxa"/>
            <w:shd w:val="clear" w:color="auto" w:fill="E0E0E0"/>
            <w:vAlign w:val="center"/>
          </w:tcPr>
          <w:p w14:paraId="5959AA52" w14:textId="77777777" w:rsidR="00373420" w:rsidRPr="001A7C01" w:rsidRDefault="00373420" w:rsidP="00AF62A4">
            <w:pPr>
              <w:pStyle w:val="TAH"/>
            </w:pPr>
            <w:r w:rsidRPr="001A7C01">
              <w:rPr>
                <w:position w:val="-14"/>
              </w:rPr>
              <w:object w:dxaOrig="760" w:dyaOrig="380" w14:anchorId="784B0802">
                <v:shape id="_x0000_i1038" type="#_x0000_t75" style="width:38.4pt;height:19.6pt" o:ole="">
                  <v:imagedata r:id="rId20" o:title=""/>
                </v:shape>
                <o:OLEObject Type="Embed" ProgID="Equation.3" ShapeID="_x0000_i1038" DrawAspect="Content" ObjectID="_1725992047" r:id="rId28"/>
              </w:object>
            </w:r>
          </w:p>
        </w:tc>
        <w:tc>
          <w:tcPr>
            <w:tcW w:w="990" w:type="dxa"/>
            <w:shd w:val="clear" w:color="auto" w:fill="E0E0E0"/>
            <w:vAlign w:val="center"/>
          </w:tcPr>
          <w:p w14:paraId="5FE7F24A" w14:textId="77777777" w:rsidR="00373420" w:rsidRPr="001A7C01" w:rsidRDefault="00373420" w:rsidP="00AF62A4">
            <w:pPr>
              <w:pStyle w:val="TAH"/>
            </w:pPr>
            <w:r w:rsidRPr="001A7C01">
              <w:rPr>
                <w:position w:val="-14"/>
              </w:rPr>
              <w:object w:dxaOrig="800" w:dyaOrig="380" w14:anchorId="717F2FFB">
                <v:shape id="_x0000_i1039" type="#_x0000_t75" style="width:40.4pt;height:19.6pt" o:ole="">
                  <v:imagedata r:id="rId11" o:title=""/>
                </v:shape>
                <o:OLEObject Type="Embed" ProgID="Equation.3" ShapeID="_x0000_i1039" DrawAspect="Content" ObjectID="_1725992048" r:id="rId29"/>
              </w:object>
            </w:r>
          </w:p>
        </w:tc>
        <w:tc>
          <w:tcPr>
            <w:tcW w:w="1890" w:type="dxa"/>
            <w:shd w:val="clear" w:color="auto" w:fill="E0E0E0"/>
            <w:vAlign w:val="center"/>
          </w:tcPr>
          <w:p w14:paraId="6046ED4D" w14:textId="77777777" w:rsidR="00373420" w:rsidRPr="001A7C01" w:rsidRDefault="00373420" w:rsidP="00AF62A4">
            <w:pPr>
              <w:pStyle w:val="TAH"/>
            </w:pPr>
            <w:r w:rsidRPr="001A7C01">
              <w:rPr>
                <w:position w:val="-14"/>
              </w:rPr>
              <w:object w:dxaOrig="720" w:dyaOrig="380" w14:anchorId="3760A8BE">
                <v:shape id="_x0000_i1040" type="#_x0000_t75" style="width:36.8pt;height:19.6pt" o:ole="">
                  <v:imagedata r:id="rId13" o:title=""/>
                </v:shape>
                <o:OLEObject Type="Embed" ProgID="Equation.3" ShapeID="_x0000_i1040" DrawAspect="Content" ObjectID="_1725992049" r:id="rId30"/>
              </w:object>
            </w:r>
          </w:p>
        </w:tc>
        <w:tc>
          <w:tcPr>
            <w:tcW w:w="2700" w:type="dxa"/>
            <w:shd w:val="clear" w:color="auto" w:fill="E0E0E0"/>
            <w:vAlign w:val="center"/>
          </w:tcPr>
          <w:p w14:paraId="1C0A9CCF" w14:textId="77777777" w:rsidR="00373420" w:rsidRPr="001A7C01" w:rsidRDefault="00373420" w:rsidP="00AF62A4">
            <w:pPr>
              <w:pStyle w:val="TAH"/>
            </w:pPr>
            <w:r w:rsidRPr="001A7C01">
              <w:t xml:space="preserve">allowed </w:t>
            </w:r>
            <w:r w:rsidRPr="001A7C01">
              <w:rPr>
                <w:position w:val="-14"/>
              </w:rPr>
              <w:object w:dxaOrig="520" w:dyaOrig="380" w14:anchorId="123664E8">
                <v:shape id="_x0000_i1041" type="#_x0000_t75" style="width:25.6pt;height:19.6pt" o:ole="">
                  <v:imagedata r:id="rId15" o:title=""/>
                </v:shape>
                <o:OLEObject Type="Embed" ProgID="Equation.3" ShapeID="_x0000_i1041" DrawAspect="Content" ObjectID="_1725992050" r:id="rId31"/>
              </w:object>
            </w:r>
            <w:r w:rsidRPr="001A7C01">
              <w:t>sizes</w:t>
            </w:r>
          </w:p>
        </w:tc>
      </w:tr>
      <w:tr w:rsidR="00373420" w:rsidRPr="001A7C01" w14:paraId="21360EE9" w14:textId="77777777" w:rsidTr="00AF62A4">
        <w:trPr>
          <w:trHeight w:val="376"/>
          <w:jc w:val="center"/>
        </w:trPr>
        <w:tc>
          <w:tcPr>
            <w:tcW w:w="1371" w:type="dxa"/>
            <w:shd w:val="clear" w:color="auto" w:fill="auto"/>
            <w:vAlign w:val="center"/>
          </w:tcPr>
          <w:p w14:paraId="36D8BB80"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1</w:t>
            </w:r>
          </w:p>
        </w:tc>
        <w:tc>
          <w:tcPr>
            <w:tcW w:w="630" w:type="dxa"/>
            <w:shd w:val="clear" w:color="auto" w:fill="auto"/>
            <w:vAlign w:val="center"/>
          </w:tcPr>
          <w:p w14:paraId="339DF23F"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2</w:t>
            </w:r>
          </w:p>
        </w:tc>
        <w:tc>
          <w:tcPr>
            <w:tcW w:w="990" w:type="dxa"/>
            <w:vAlign w:val="center"/>
          </w:tcPr>
          <w:p w14:paraId="4D631F12"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3</w:t>
            </w:r>
          </w:p>
        </w:tc>
        <w:tc>
          <w:tcPr>
            <w:tcW w:w="990" w:type="dxa"/>
            <w:vAlign w:val="center"/>
          </w:tcPr>
          <w:p w14:paraId="6EABDA9D"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7</w:t>
            </w:r>
          </w:p>
        </w:tc>
        <w:tc>
          <w:tcPr>
            <w:tcW w:w="1890" w:type="dxa"/>
            <w:vAlign w:val="center"/>
          </w:tcPr>
          <w:p w14:paraId="51EEBA83"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2 ms</w:t>
            </w:r>
          </w:p>
        </w:tc>
        <w:tc>
          <w:tcPr>
            <w:tcW w:w="2700" w:type="dxa"/>
            <w:vAlign w:val="center"/>
          </w:tcPr>
          <w:p w14:paraId="4E7608A2"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{3,7}</w:t>
            </w:r>
          </w:p>
        </w:tc>
      </w:tr>
      <w:tr w:rsidR="00373420" w:rsidRPr="001A7C01" w14:paraId="4AEEE3BF" w14:textId="77777777" w:rsidTr="00AF62A4">
        <w:trPr>
          <w:trHeight w:val="376"/>
          <w:jc w:val="center"/>
        </w:trPr>
        <w:tc>
          <w:tcPr>
            <w:tcW w:w="1371" w:type="dxa"/>
            <w:shd w:val="clear" w:color="auto" w:fill="auto"/>
            <w:vAlign w:val="center"/>
          </w:tcPr>
          <w:p w14:paraId="31E6D53D"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2</w:t>
            </w:r>
          </w:p>
        </w:tc>
        <w:tc>
          <w:tcPr>
            <w:tcW w:w="630" w:type="dxa"/>
            <w:shd w:val="clear" w:color="auto" w:fill="auto"/>
            <w:vAlign w:val="center"/>
          </w:tcPr>
          <w:p w14:paraId="7F8F61C5"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2</w:t>
            </w:r>
          </w:p>
        </w:tc>
        <w:tc>
          <w:tcPr>
            <w:tcW w:w="990" w:type="dxa"/>
            <w:vAlign w:val="center"/>
          </w:tcPr>
          <w:p w14:paraId="3AA6AFE3"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7</w:t>
            </w:r>
          </w:p>
        </w:tc>
        <w:tc>
          <w:tcPr>
            <w:tcW w:w="990" w:type="dxa"/>
            <w:vAlign w:val="center"/>
          </w:tcPr>
          <w:p w14:paraId="27B671E8"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15</w:t>
            </w:r>
          </w:p>
        </w:tc>
        <w:tc>
          <w:tcPr>
            <w:tcW w:w="1890" w:type="dxa"/>
            <w:vAlign w:val="center"/>
          </w:tcPr>
          <w:p w14:paraId="1D3C8DFA"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4 ms</w:t>
            </w:r>
          </w:p>
        </w:tc>
        <w:tc>
          <w:tcPr>
            <w:tcW w:w="2700" w:type="dxa"/>
            <w:vAlign w:val="center"/>
          </w:tcPr>
          <w:p w14:paraId="371F683E"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{7,15}</w:t>
            </w:r>
          </w:p>
        </w:tc>
      </w:tr>
      <w:tr w:rsidR="00373420" w:rsidRPr="001A7C01" w14:paraId="15EF9608" w14:textId="77777777" w:rsidTr="00AF62A4">
        <w:trPr>
          <w:trHeight w:val="376"/>
          <w:jc w:val="center"/>
        </w:trPr>
        <w:tc>
          <w:tcPr>
            <w:tcW w:w="1371" w:type="dxa"/>
            <w:shd w:val="clear" w:color="auto" w:fill="auto"/>
            <w:vAlign w:val="center"/>
          </w:tcPr>
          <w:p w14:paraId="49A3EC54"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3</w:t>
            </w:r>
          </w:p>
        </w:tc>
        <w:tc>
          <w:tcPr>
            <w:tcW w:w="630" w:type="dxa"/>
            <w:shd w:val="clear" w:color="auto" w:fill="auto"/>
            <w:vAlign w:val="center"/>
          </w:tcPr>
          <w:p w14:paraId="30AE3978"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3</w:t>
            </w:r>
          </w:p>
        </w:tc>
        <w:tc>
          <w:tcPr>
            <w:tcW w:w="990" w:type="dxa"/>
            <w:vAlign w:val="center"/>
          </w:tcPr>
          <w:p w14:paraId="26DF7A1A"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15</w:t>
            </w:r>
          </w:p>
        </w:tc>
        <w:tc>
          <w:tcPr>
            <w:tcW w:w="990" w:type="dxa"/>
            <w:vAlign w:val="center"/>
          </w:tcPr>
          <w:p w14:paraId="665BF230"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706704DC"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 xml:space="preserve">6ms or 10 ms </w:t>
            </w:r>
          </w:p>
        </w:tc>
        <w:tc>
          <w:tcPr>
            <w:tcW w:w="2700" w:type="dxa"/>
            <w:vAlign w:val="center"/>
          </w:tcPr>
          <w:p w14:paraId="3B325B91"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{15,31,63,127,255,511,1023}</w:t>
            </w:r>
          </w:p>
        </w:tc>
      </w:tr>
      <w:tr w:rsidR="00373420" w:rsidRPr="001A7C01" w14:paraId="3908BD13" w14:textId="77777777" w:rsidTr="00AF62A4">
        <w:trPr>
          <w:trHeight w:val="376"/>
          <w:jc w:val="center"/>
        </w:trPr>
        <w:tc>
          <w:tcPr>
            <w:tcW w:w="1371" w:type="dxa"/>
            <w:shd w:val="clear" w:color="auto" w:fill="auto"/>
            <w:vAlign w:val="center"/>
          </w:tcPr>
          <w:p w14:paraId="235B67E8"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4</w:t>
            </w:r>
          </w:p>
        </w:tc>
        <w:tc>
          <w:tcPr>
            <w:tcW w:w="630" w:type="dxa"/>
            <w:shd w:val="clear" w:color="auto" w:fill="auto"/>
            <w:vAlign w:val="center"/>
          </w:tcPr>
          <w:p w14:paraId="04ADEF33"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7</w:t>
            </w:r>
          </w:p>
        </w:tc>
        <w:tc>
          <w:tcPr>
            <w:tcW w:w="990" w:type="dxa"/>
            <w:vAlign w:val="center"/>
          </w:tcPr>
          <w:p w14:paraId="1FBE28AF"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15</w:t>
            </w:r>
          </w:p>
        </w:tc>
        <w:tc>
          <w:tcPr>
            <w:tcW w:w="990" w:type="dxa"/>
            <w:vAlign w:val="center"/>
          </w:tcPr>
          <w:p w14:paraId="5D2B7B0B"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681C3B0C"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6ms or 10 ms</w:t>
            </w:r>
          </w:p>
        </w:tc>
        <w:tc>
          <w:tcPr>
            <w:tcW w:w="2700" w:type="dxa"/>
            <w:vAlign w:val="center"/>
          </w:tcPr>
          <w:p w14:paraId="1E122456" w14:textId="77777777" w:rsidR="00373420" w:rsidRPr="001A7C01" w:rsidRDefault="00373420" w:rsidP="00AF62A4">
            <w:pPr>
              <w:pStyle w:val="TAC"/>
              <w:rPr>
                <w:rFonts w:ascii="Times New Roman" w:hAnsi="Times New Roman"/>
                <w:sz w:val="20"/>
              </w:rPr>
            </w:pPr>
            <w:r w:rsidRPr="001A7C01">
              <w:rPr>
                <w:rFonts w:ascii="Times New Roman" w:hAnsi="Times New Roman"/>
                <w:sz w:val="20"/>
              </w:rPr>
              <w:t>{15,31,63,127,255,511,1023}</w:t>
            </w:r>
          </w:p>
        </w:tc>
      </w:tr>
      <w:tr w:rsidR="00373420" w:rsidRPr="001A7C01" w14:paraId="366912DF" w14:textId="77777777" w:rsidTr="00AF62A4">
        <w:trPr>
          <w:trHeight w:val="376"/>
          <w:jc w:val="center"/>
        </w:trPr>
        <w:tc>
          <w:tcPr>
            <w:tcW w:w="8571" w:type="dxa"/>
            <w:gridSpan w:val="6"/>
            <w:shd w:val="clear" w:color="auto" w:fill="auto"/>
            <w:vAlign w:val="center"/>
          </w:tcPr>
          <w:p w14:paraId="1F4A66D5" w14:textId="77777777" w:rsidR="00373420" w:rsidRPr="00373420" w:rsidRDefault="00373420" w:rsidP="00AF62A4">
            <w:pPr>
              <w:pStyle w:val="TAC"/>
              <w:jc w:val="left"/>
              <w:rPr>
                <w:rFonts w:ascii="Times New Roman" w:hAnsi="Times New Roman"/>
                <w:sz w:val="20"/>
                <w:lang w:val="en-US"/>
              </w:rPr>
            </w:pPr>
            <w:r w:rsidRPr="00373420">
              <w:rPr>
                <w:rFonts w:ascii="Times New Roman" w:hAnsi="Times New Roman"/>
                <w:sz w:val="20"/>
                <w:lang w:val="en-AU"/>
              </w:rPr>
              <w:t xml:space="preserve">NOTE1: </w:t>
            </w:r>
            <w:r w:rsidRPr="00373420">
              <w:rPr>
                <w:rFonts w:ascii="Times New Roman" w:hAnsi="Times New Roman"/>
                <w:sz w:val="20"/>
                <w:lang w:val="en-US"/>
              </w:rPr>
              <w:t xml:space="preserve">For </w:t>
            </w:r>
            <w:r w:rsidRPr="00373420">
              <w:rPr>
                <w:rFonts w:ascii="Times New Roman" w:hAnsi="Times New Roman"/>
                <w:position w:val="-10"/>
                <w:sz w:val="20"/>
              </w:rPr>
              <w:object w:dxaOrig="760" w:dyaOrig="320" w14:anchorId="4BC9D0A0">
                <v:shape id="_x0000_i1042" type="#_x0000_t75" style="width:38.4pt;height:16.4pt" o:ole="">
                  <v:imagedata r:id="rId32" o:title=""/>
                </v:shape>
                <o:OLEObject Type="Embed" ProgID="Equation.3" ShapeID="_x0000_i1042" DrawAspect="Content" ObjectID="_1725992051" r:id="rId33"/>
              </w:object>
            </w:r>
            <w:r w:rsidRPr="00373420">
              <w:rPr>
                <w:rFonts w:ascii="Times New Roman" w:hAnsi="Times New Roman"/>
                <w:sz w:val="20"/>
              </w:rPr>
              <w:t xml:space="preserve">, </w:t>
            </w:r>
            <w:r w:rsidRPr="00373420">
              <w:rPr>
                <w:rFonts w:ascii="Times New Roman" w:hAnsi="Times New Roman"/>
                <w:position w:val="-14"/>
                <w:sz w:val="20"/>
              </w:rPr>
              <w:object w:dxaOrig="720" w:dyaOrig="380" w14:anchorId="18557ABF">
                <v:shape id="_x0000_i1043" type="#_x0000_t75" style="width:36.8pt;height:19.6pt" o:ole="">
                  <v:imagedata r:id="rId34" o:title=""/>
                </v:shape>
                <o:OLEObject Type="Embed" ProgID="Equation.3" ShapeID="_x0000_i1043" DrawAspect="Content" ObjectID="_1725992052" r:id="rId35"/>
              </w:object>
            </w:r>
            <w:r w:rsidRPr="00373420">
              <w:rPr>
                <w:rFonts w:ascii="Times New Roman" w:hAnsi="Times New Roman"/>
                <w:sz w:val="20"/>
                <w:lang w:val="en-US"/>
              </w:rPr>
              <w:t xml:space="preserve"> =10ms if the higher layer parameter '</w:t>
            </w:r>
            <w:r w:rsidRPr="00373420">
              <w:rPr>
                <w:rFonts w:ascii="Times New Roman" w:hAnsi="Times New Roman"/>
                <w:i/>
                <w:sz w:val="20"/>
                <w:lang w:val="en-US"/>
              </w:rPr>
              <w:t xml:space="preserve">absenceOfAnyOtherTechnology-r14' </w:t>
            </w:r>
            <w:r w:rsidRPr="00373420">
              <w:rPr>
                <w:rFonts w:ascii="Times New Roman" w:hAnsi="Times New Roman"/>
                <w:sz w:val="20"/>
                <w:lang w:val="en-US"/>
              </w:rPr>
              <w:t xml:space="preserve">indicates TRUE, otherwise, </w:t>
            </w:r>
            <w:r w:rsidRPr="00373420">
              <w:rPr>
                <w:rFonts w:ascii="Times New Roman" w:hAnsi="Times New Roman"/>
                <w:position w:val="-14"/>
                <w:sz w:val="20"/>
              </w:rPr>
              <w:object w:dxaOrig="720" w:dyaOrig="380" w14:anchorId="2252A517">
                <v:shape id="_x0000_i1044" type="#_x0000_t75" style="width:36.8pt;height:19.6pt" o:ole="">
                  <v:imagedata r:id="rId36" o:title=""/>
                </v:shape>
                <o:OLEObject Type="Embed" ProgID="Equation.3" ShapeID="_x0000_i1044" DrawAspect="Content" ObjectID="_1725992053" r:id="rId37"/>
              </w:object>
            </w:r>
            <w:r w:rsidRPr="00373420">
              <w:rPr>
                <w:rFonts w:ascii="Times New Roman" w:hAnsi="Times New Roman"/>
                <w:sz w:val="20"/>
                <w:lang w:val="en-US"/>
              </w:rPr>
              <w:t xml:space="preserve"> =6ms. </w:t>
            </w:r>
          </w:p>
          <w:p w14:paraId="0457C68F" w14:textId="77777777" w:rsidR="00373420" w:rsidRPr="00373420" w:rsidRDefault="00373420" w:rsidP="00AF62A4">
            <w:pPr>
              <w:rPr>
                <w:rFonts w:ascii="Times New Roman" w:hAnsi="Times New Roman" w:cs="Times New Roman"/>
              </w:rPr>
            </w:pPr>
            <w:r w:rsidRPr="00373420">
              <w:rPr>
                <w:rFonts w:ascii="Times New Roman" w:hAnsi="Times New Roman" w:cs="Times New Roman"/>
                <w:sz w:val="20"/>
                <w:szCs w:val="20"/>
                <w:lang w:val="en-AU"/>
              </w:rPr>
              <w:t xml:space="preserve">NOTE 2: When </w:t>
            </w:r>
            <w:r w:rsidRPr="00373420">
              <w:rPr>
                <w:rFonts w:ascii="Times New Roman" w:hAnsi="Times New Roman" w:cs="Times New Roman"/>
                <w:position w:val="-14"/>
                <w:sz w:val="20"/>
                <w:szCs w:val="20"/>
              </w:rPr>
              <w:object w:dxaOrig="720" w:dyaOrig="380" w14:anchorId="57942391">
                <v:shape id="_x0000_i1045" type="#_x0000_t75" style="width:36.8pt;height:19.6pt" o:ole="">
                  <v:imagedata r:id="rId36" o:title=""/>
                </v:shape>
                <o:OLEObject Type="Embed" ProgID="Equation.3" ShapeID="_x0000_i1045" DrawAspect="Content" ObjectID="_1725992054" r:id="rId38"/>
              </w:object>
            </w:r>
            <w:r w:rsidRPr="00373420">
              <w:rPr>
                <w:rFonts w:ascii="Times New Roman" w:hAnsi="Times New Roman" w:cs="Times New Roman"/>
                <w:sz w:val="20"/>
                <w:szCs w:val="20"/>
              </w:rPr>
              <w:t xml:space="preserve">=6ms it </w:t>
            </w:r>
            <w:r w:rsidRPr="00373420">
              <w:rPr>
                <w:rFonts w:ascii="Times New Roman" w:hAnsi="Times New Roman" w:cs="Times New Roman"/>
                <w:sz w:val="20"/>
                <w:szCs w:val="20"/>
                <w:lang w:val="en-AU"/>
              </w:rPr>
              <w:t>may be increased to 8 ms by inserting one or more gaps. The minimum duration of a gap shall be 100 µs. The maximum duration before including any such gap shall be 6 ms.</w:t>
            </w:r>
            <w:r w:rsidRPr="00373420">
              <w:rPr>
                <w:rFonts w:ascii="Times New Roman" w:hAnsi="Times New Roman" w:cs="Times New Roman"/>
                <w:lang w:val="en-AU"/>
              </w:rPr>
              <w:t xml:space="preserve"> </w:t>
            </w:r>
          </w:p>
        </w:tc>
      </w:tr>
    </w:tbl>
    <w:p w14:paraId="7805D451" w14:textId="77777777" w:rsidR="00373420" w:rsidRPr="00D37F0F" w:rsidRDefault="00373420" w:rsidP="00373420">
      <w:pPr>
        <w:jc w:val="both"/>
        <w:rPr>
          <w:color w:val="000000" w:themeColor="text1"/>
        </w:rPr>
      </w:pPr>
    </w:p>
    <w:p w14:paraId="43F4C594" w14:textId="77777777" w:rsidR="00296DB6" w:rsidRDefault="00882723" w:rsidP="00882723">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7452EB">
        <w:rPr>
          <w:rFonts w:ascii="Times New Roman" w:eastAsia="宋体" w:hAnsi="Times New Roman" w:cs="Times New Roman"/>
          <w:color w:val="000000"/>
          <w:sz w:val="20"/>
          <w:szCs w:val="20"/>
        </w:rPr>
        <w:t>When unlicensed spectrum is used for sidelink transmission</w:t>
      </w:r>
      <w:r>
        <w:rPr>
          <w:rFonts w:ascii="Times New Roman" w:eastAsia="宋体" w:hAnsi="Times New Roman" w:cs="Times New Roman"/>
          <w:color w:val="000000"/>
          <w:sz w:val="20"/>
          <w:szCs w:val="20"/>
        </w:rPr>
        <w:t xml:space="preserve">, it is straightforward to </w:t>
      </w:r>
      <w:r w:rsidR="009820F2">
        <w:rPr>
          <w:rFonts w:ascii="Times New Roman" w:eastAsia="宋体" w:hAnsi="Times New Roman" w:cs="Times New Roman"/>
          <w:color w:val="000000"/>
          <w:sz w:val="20"/>
          <w:szCs w:val="20"/>
        </w:rPr>
        <w:t>reuse</w:t>
      </w:r>
      <w:r>
        <w:rPr>
          <w:rFonts w:ascii="Times New Roman" w:eastAsia="宋体" w:hAnsi="Times New Roman" w:cs="Times New Roman"/>
          <w:color w:val="000000"/>
          <w:sz w:val="20"/>
          <w:szCs w:val="20"/>
        </w:rPr>
        <w:t xml:space="preserve"> </w:t>
      </w:r>
      <w:r w:rsidR="009820F2">
        <w:rPr>
          <w:rFonts w:ascii="Times New Roman" w:eastAsia="宋体" w:hAnsi="Times New Roman" w:cs="Times New Roman"/>
          <w:color w:val="000000"/>
          <w:sz w:val="20"/>
          <w:szCs w:val="20"/>
        </w:rPr>
        <w:t>both Type-1 and Type 2A/2B/2C</w:t>
      </w:r>
      <w:r>
        <w:rPr>
          <w:rFonts w:ascii="Times New Roman" w:eastAsia="宋体" w:hAnsi="Times New Roman" w:cs="Times New Roman"/>
          <w:color w:val="000000"/>
          <w:sz w:val="20"/>
          <w:szCs w:val="20"/>
        </w:rPr>
        <w:t xml:space="preserve"> channel access types for </w:t>
      </w:r>
      <w:r w:rsidR="009820F2">
        <w:rPr>
          <w:rFonts w:ascii="Times New Roman" w:eastAsia="宋体" w:hAnsi="Times New Roman" w:cs="Times New Roman"/>
          <w:color w:val="000000"/>
          <w:sz w:val="20"/>
          <w:szCs w:val="20"/>
        </w:rPr>
        <w:t xml:space="preserve">sidelink transmissions. For </w:t>
      </w:r>
      <w:r>
        <w:rPr>
          <w:rFonts w:ascii="Times New Roman" w:eastAsia="宋体" w:hAnsi="Times New Roman" w:cs="Times New Roman"/>
          <w:color w:val="000000"/>
          <w:sz w:val="20"/>
          <w:szCs w:val="20"/>
        </w:rPr>
        <w:t>a UE intending to initiate a COT for sidelink transmission</w:t>
      </w:r>
      <w:r w:rsidR="009820F2">
        <w:rPr>
          <w:rFonts w:ascii="Times New Roman" w:eastAsia="宋体" w:hAnsi="Times New Roman" w:cs="Times New Roman"/>
          <w:color w:val="000000"/>
          <w:sz w:val="20"/>
          <w:szCs w:val="20"/>
        </w:rPr>
        <w:t xml:space="preserve"> over unlicensed spectrum</w:t>
      </w:r>
      <w:r>
        <w:rPr>
          <w:rFonts w:ascii="Times New Roman" w:eastAsia="宋体" w:hAnsi="Times New Roman" w:cs="Times New Roman"/>
          <w:color w:val="000000"/>
          <w:sz w:val="20"/>
          <w:szCs w:val="20"/>
        </w:rPr>
        <w:t xml:space="preserve">, a CAPC should be determined before performing Type-1 channel access procedure. Since there are two tables specified in TS37.213 as shown above, </w:t>
      </w:r>
      <w:r w:rsidRPr="00882723">
        <w:rPr>
          <w:rFonts w:ascii="Times New Roman" w:eastAsia="宋体" w:hAnsi="Times New Roman" w:cs="Times New Roman"/>
          <w:color w:val="000000"/>
          <w:sz w:val="20"/>
          <w:szCs w:val="20"/>
        </w:rPr>
        <w:t xml:space="preserve">Table 4.2.1-1 </w:t>
      </w:r>
      <w:r>
        <w:rPr>
          <w:rFonts w:ascii="Times New Roman" w:eastAsia="宋体" w:hAnsi="Times New Roman" w:cs="Times New Roman"/>
          <w:color w:val="000000"/>
          <w:sz w:val="20"/>
          <w:szCs w:val="20"/>
        </w:rPr>
        <w:t>defined for UL transmission can be reused for sidelink transmission to determine a CAPC.</w:t>
      </w:r>
    </w:p>
    <w:p w14:paraId="19984500" w14:textId="031B428B" w:rsidR="00882723" w:rsidRDefault="003901A6" w:rsidP="00A33E8C">
      <w:pPr>
        <w:overflowPunct w:val="0"/>
        <w:autoSpaceDE w:val="0"/>
        <w:autoSpaceDN w:val="0"/>
        <w:adjustRightInd w:val="0"/>
        <w:spacing w:before="60" w:after="120" w:line="240" w:lineRule="auto"/>
        <w:jc w:val="both"/>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 xml:space="preserve">According to the objective of the Rel-18, </w:t>
      </w:r>
      <w:r w:rsidR="0022007B">
        <w:rPr>
          <w:rFonts w:ascii="Times New Roman" w:eastAsia="宋体" w:hAnsi="Times New Roman" w:cs="Times New Roman"/>
          <w:color w:val="000000"/>
          <w:sz w:val="20"/>
          <w:szCs w:val="20"/>
        </w:rPr>
        <w:t xml:space="preserve">gNB initiated </w:t>
      </w:r>
      <w:r>
        <w:rPr>
          <w:rFonts w:ascii="Times New Roman" w:eastAsia="宋体" w:hAnsi="Times New Roman" w:cs="Times New Roman"/>
          <w:color w:val="000000"/>
          <w:sz w:val="20"/>
          <w:szCs w:val="20"/>
        </w:rPr>
        <w:t xml:space="preserve">channel occupancy </w:t>
      </w:r>
      <w:r w:rsidR="0022007B">
        <w:rPr>
          <w:rFonts w:ascii="Times New Roman" w:eastAsia="宋体" w:hAnsi="Times New Roman" w:cs="Times New Roman"/>
          <w:color w:val="000000"/>
          <w:sz w:val="20"/>
          <w:szCs w:val="20"/>
        </w:rPr>
        <w:t xml:space="preserve">cannot be shared with </w:t>
      </w:r>
      <w:r>
        <w:rPr>
          <w:rFonts w:ascii="Times New Roman" w:eastAsia="宋体" w:hAnsi="Times New Roman" w:cs="Times New Roman"/>
          <w:color w:val="000000"/>
          <w:sz w:val="20"/>
          <w:szCs w:val="20"/>
        </w:rPr>
        <w:t>sidelink</w:t>
      </w:r>
      <w:r w:rsidR="0022007B">
        <w:rPr>
          <w:rFonts w:ascii="Times New Roman" w:eastAsia="宋体" w:hAnsi="Times New Roman" w:cs="Times New Roman"/>
          <w:color w:val="000000"/>
          <w:sz w:val="20"/>
          <w:szCs w:val="20"/>
        </w:rPr>
        <w:t xml:space="preserve">, however the WID does not specify whether uplink and sidelink transmission </w:t>
      </w:r>
      <w:r>
        <w:rPr>
          <w:rFonts w:ascii="Times New Roman" w:eastAsia="宋体" w:hAnsi="Times New Roman" w:cs="Times New Roman"/>
          <w:color w:val="000000"/>
          <w:sz w:val="20"/>
          <w:szCs w:val="20"/>
        </w:rPr>
        <w:t xml:space="preserve">can share the same </w:t>
      </w:r>
      <w:r w:rsidR="0022007B">
        <w:rPr>
          <w:rFonts w:ascii="Times New Roman" w:eastAsia="宋体" w:hAnsi="Times New Roman" w:cs="Times New Roman"/>
          <w:color w:val="000000"/>
          <w:sz w:val="20"/>
          <w:szCs w:val="20"/>
        </w:rPr>
        <w:t xml:space="preserve">UE initiated </w:t>
      </w:r>
      <w:r>
        <w:rPr>
          <w:rFonts w:ascii="Times New Roman" w:eastAsia="宋体" w:hAnsi="Times New Roman" w:cs="Times New Roman"/>
          <w:color w:val="000000"/>
          <w:sz w:val="20"/>
          <w:szCs w:val="20"/>
        </w:rPr>
        <w:t>channel occupancy duration</w:t>
      </w:r>
      <w:r w:rsidR="0022007B">
        <w:rPr>
          <w:rFonts w:ascii="Times New Roman" w:eastAsia="宋体" w:hAnsi="Times New Roman" w:cs="Times New Roman"/>
          <w:color w:val="000000"/>
          <w:sz w:val="20"/>
          <w:szCs w:val="20"/>
        </w:rPr>
        <w:t xml:space="preserve">. </w:t>
      </w:r>
      <w:r>
        <w:rPr>
          <w:rFonts w:ascii="Times New Roman" w:eastAsia="宋体" w:hAnsi="Times New Roman" w:cs="Times New Roman"/>
          <w:color w:val="000000"/>
          <w:sz w:val="20"/>
          <w:szCs w:val="20"/>
        </w:rPr>
        <w:t>Similar</w:t>
      </w:r>
      <w:r w:rsidR="000420C4">
        <w:rPr>
          <w:rFonts w:ascii="Times New Roman" w:eastAsia="宋体" w:hAnsi="Times New Roman" w:cs="Times New Roman"/>
          <w:color w:val="000000"/>
          <w:sz w:val="20"/>
          <w:szCs w:val="20"/>
        </w:rPr>
        <w:t xml:space="preserve">ly, </w:t>
      </w:r>
      <w:r w:rsidR="0022007B">
        <w:rPr>
          <w:rFonts w:ascii="Times New Roman" w:eastAsia="宋体" w:hAnsi="Times New Roman" w:cs="Times New Roman"/>
          <w:color w:val="000000"/>
          <w:sz w:val="20"/>
          <w:szCs w:val="20"/>
        </w:rPr>
        <w:t>it is rather ea</w:t>
      </w:r>
      <w:r w:rsidR="00296DB6">
        <w:rPr>
          <w:rFonts w:ascii="Times New Roman" w:eastAsia="宋体" w:hAnsi="Times New Roman" w:cs="Times New Roman"/>
          <w:color w:val="000000"/>
          <w:sz w:val="20"/>
          <w:szCs w:val="20"/>
        </w:rPr>
        <w:t xml:space="preserve">sier to define separate </w:t>
      </w:r>
      <w:bookmarkStart w:id="3" w:name="_Hlk110979967"/>
      <w:r w:rsidR="0022007B">
        <w:rPr>
          <w:rFonts w:ascii="Times New Roman" w:eastAsia="宋体" w:hAnsi="Times New Roman" w:cs="Times New Roman"/>
          <w:color w:val="000000"/>
          <w:sz w:val="20"/>
          <w:szCs w:val="20"/>
        </w:rPr>
        <w:t>uplink</w:t>
      </w:r>
      <w:r w:rsidR="00296DB6">
        <w:rPr>
          <w:rFonts w:ascii="Times New Roman" w:eastAsia="宋体" w:hAnsi="Times New Roman" w:cs="Times New Roman"/>
          <w:color w:val="000000"/>
          <w:sz w:val="20"/>
          <w:szCs w:val="20"/>
        </w:rPr>
        <w:t xml:space="preserve"> and </w:t>
      </w:r>
      <w:r w:rsidR="0022007B">
        <w:rPr>
          <w:rFonts w:ascii="Times New Roman" w:eastAsia="宋体" w:hAnsi="Times New Roman" w:cs="Times New Roman"/>
          <w:color w:val="000000"/>
          <w:sz w:val="20"/>
          <w:szCs w:val="20"/>
        </w:rPr>
        <w:t>sidelink</w:t>
      </w:r>
      <w:bookmarkEnd w:id="3"/>
      <w:r w:rsidR="00296DB6">
        <w:rPr>
          <w:rFonts w:ascii="Times New Roman" w:eastAsia="宋体" w:hAnsi="Times New Roman" w:cs="Times New Roman"/>
          <w:color w:val="000000"/>
          <w:sz w:val="20"/>
          <w:szCs w:val="20"/>
        </w:rPr>
        <w:t xml:space="preserve"> </w:t>
      </w:r>
      <w:r w:rsidR="000420C4">
        <w:rPr>
          <w:rFonts w:ascii="Times New Roman" w:eastAsia="宋体" w:hAnsi="Times New Roman" w:cs="Times New Roman"/>
          <w:color w:val="000000"/>
          <w:sz w:val="20"/>
          <w:szCs w:val="20"/>
        </w:rPr>
        <w:t xml:space="preserve">type-1 </w:t>
      </w:r>
      <w:r w:rsidR="0022007B">
        <w:rPr>
          <w:rFonts w:ascii="Times New Roman" w:eastAsia="宋体" w:hAnsi="Times New Roman" w:cs="Times New Roman"/>
          <w:color w:val="000000"/>
          <w:sz w:val="20"/>
          <w:szCs w:val="20"/>
        </w:rPr>
        <w:t xml:space="preserve">channel access procedure </w:t>
      </w:r>
      <w:r w:rsidR="000420C4">
        <w:rPr>
          <w:rFonts w:ascii="Times New Roman" w:eastAsia="宋体" w:hAnsi="Times New Roman" w:cs="Times New Roman"/>
          <w:color w:val="000000"/>
          <w:sz w:val="20"/>
          <w:szCs w:val="20"/>
        </w:rPr>
        <w:t xml:space="preserve">within the Rel-18 time frame </w:t>
      </w:r>
      <w:r w:rsidR="0022007B">
        <w:rPr>
          <w:rFonts w:ascii="Times New Roman" w:eastAsia="宋体" w:hAnsi="Times New Roman" w:cs="Times New Roman"/>
          <w:color w:val="000000"/>
          <w:sz w:val="20"/>
          <w:szCs w:val="20"/>
        </w:rPr>
        <w:t xml:space="preserve">which means </w:t>
      </w:r>
      <w:bookmarkStart w:id="4" w:name="_Hlk110980065"/>
      <w:r w:rsidR="0022007B">
        <w:rPr>
          <w:rFonts w:ascii="Times New Roman" w:eastAsia="宋体" w:hAnsi="Times New Roman" w:cs="Times New Roman"/>
          <w:color w:val="000000"/>
          <w:sz w:val="20"/>
          <w:szCs w:val="20"/>
        </w:rPr>
        <w:t>uplink and sidelink does not share the</w:t>
      </w:r>
      <w:r w:rsidR="00296DB6">
        <w:rPr>
          <w:rFonts w:ascii="Times New Roman" w:eastAsia="宋体" w:hAnsi="Times New Roman" w:cs="Times New Roman"/>
          <w:color w:val="000000"/>
          <w:sz w:val="20"/>
          <w:szCs w:val="20"/>
        </w:rPr>
        <w:t xml:space="preserve"> same </w:t>
      </w:r>
      <w:r w:rsidR="000420C4">
        <w:rPr>
          <w:rFonts w:ascii="Times New Roman" w:eastAsia="宋体" w:hAnsi="Times New Roman" w:cs="Times New Roman"/>
          <w:color w:val="000000"/>
          <w:sz w:val="20"/>
          <w:szCs w:val="20"/>
        </w:rPr>
        <w:t xml:space="preserve">UE initiated </w:t>
      </w:r>
      <w:r w:rsidR="00296DB6">
        <w:rPr>
          <w:rFonts w:ascii="Times New Roman" w:eastAsia="宋体" w:hAnsi="Times New Roman" w:cs="Times New Roman"/>
          <w:color w:val="000000"/>
          <w:sz w:val="20"/>
          <w:szCs w:val="20"/>
        </w:rPr>
        <w:t>COT</w:t>
      </w:r>
      <w:bookmarkEnd w:id="4"/>
      <w:r w:rsidR="000420C4">
        <w:rPr>
          <w:rFonts w:ascii="Times New Roman" w:eastAsia="宋体" w:hAnsi="Times New Roman" w:cs="Times New Roman"/>
          <w:color w:val="000000"/>
          <w:sz w:val="20"/>
          <w:szCs w:val="20"/>
        </w:rPr>
        <w:t xml:space="preserve">. </w:t>
      </w:r>
      <w:r w:rsidR="00296DB6">
        <w:rPr>
          <w:rFonts w:ascii="Times New Roman" w:eastAsia="宋体" w:hAnsi="Times New Roman" w:cs="Times New Roman"/>
          <w:color w:val="000000"/>
          <w:sz w:val="20"/>
          <w:szCs w:val="20"/>
        </w:rPr>
        <w:t xml:space="preserve"> </w:t>
      </w:r>
      <w:r w:rsidR="00882723">
        <w:rPr>
          <w:rFonts w:ascii="Times New Roman" w:eastAsia="宋体" w:hAnsi="Times New Roman" w:cs="Times New Roman"/>
          <w:color w:val="000000"/>
          <w:sz w:val="20"/>
          <w:szCs w:val="20"/>
        </w:rPr>
        <w:t xml:space="preserve"> </w:t>
      </w:r>
    </w:p>
    <w:p w14:paraId="2478560C" w14:textId="72281859" w:rsidR="00296DB6" w:rsidRPr="00A33E8C" w:rsidRDefault="00296DB6" w:rsidP="00A33E8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880669" w:rsidRPr="00A33E8C">
        <w:rPr>
          <w:rFonts w:ascii="Times New Roman" w:eastAsia="+mn-ea" w:hAnsi="Times New Roman" w:cs="Times New Roman"/>
          <w:b/>
          <w:bCs/>
          <w:i/>
          <w:iCs/>
          <w:color w:val="000000"/>
          <w:kern w:val="24"/>
          <w:sz w:val="20"/>
          <w:szCs w:val="20"/>
          <w:u w:val="single"/>
        </w:rPr>
        <w:t>2</w:t>
      </w:r>
      <w:r w:rsidRPr="00A33E8C">
        <w:rPr>
          <w:rFonts w:ascii="Times New Roman" w:eastAsia="+mn-ea" w:hAnsi="Times New Roman" w:cs="Times New Roman"/>
          <w:b/>
          <w:bCs/>
          <w:i/>
          <w:iCs/>
          <w:color w:val="000000"/>
          <w:kern w:val="24"/>
          <w:sz w:val="20"/>
          <w:szCs w:val="20"/>
          <w:u w:val="single"/>
        </w:rPr>
        <w:t xml:space="preserve">: </w:t>
      </w:r>
      <w:r w:rsidR="0022007B" w:rsidRPr="00A33E8C">
        <w:rPr>
          <w:rFonts w:ascii="Times New Roman" w:eastAsia="+mn-ea" w:hAnsi="Times New Roman" w:cs="Times New Roman"/>
          <w:b/>
          <w:bCs/>
          <w:i/>
          <w:iCs/>
          <w:color w:val="000000"/>
          <w:kern w:val="24"/>
          <w:sz w:val="20"/>
          <w:szCs w:val="20"/>
          <w:u w:val="single"/>
        </w:rPr>
        <w:t>Support s</w:t>
      </w:r>
      <w:r w:rsidRPr="00A33E8C">
        <w:rPr>
          <w:rFonts w:ascii="Times New Roman" w:eastAsia="+mn-ea" w:hAnsi="Times New Roman" w:cs="Times New Roman"/>
          <w:b/>
          <w:bCs/>
          <w:i/>
          <w:iCs/>
          <w:color w:val="000000"/>
          <w:kern w:val="24"/>
          <w:sz w:val="20"/>
          <w:szCs w:val="20"/>
          <w:u w:val="single"/>
        </w:rPr>
        <w:t xml:space="preserve">eparate channel access procedure for uplink and sidelink </w:t>
      </w:r>
      <w:r w:rsidR="0022007B" w:rsidRPr="00A33E8C">
        <w:rPr>
          <w:rFonts w:ascii="Times New Roman" w:eastAsia="+mn-ea" w:hAnsi="Times New Roman" w:cs="Times New Roman"/>
          <w:b/>
          <w:bCs/>
          <w:i/>
          <w:iCs/>
          <w:color w:val="000000"/>
          <w:kern w:val="24"/>
          <w:sz w:val="20"/>
          <w:szCs w:val="20"/>
          <w:u w:val="single"/>
        </w:rPr>
        <w:t>in Rel</w:t>
      </w:r>
      <w:r w:rsidR="00C05F99" w:rsidRPr="00A33E8C">
        <w:rPr>
          <w:rFonts w:ascii="Times New Roman" w:eastAsia="+mn-ea" w:hAnsi="Times New Roman" w:cs="Times New Roman"/>
          <w:b/>
          <w:bCs/>
          <w:i/>
          <w:iCs/>
          <w:color w:val="000000"/>
          <w:kern w:val="24"/>
          <w:sz w:val="20"/>
          <w:szCs w:val="20"/>
          <w:u w:val="single"/>
        </w:rPr>
        <w:t>-</w:t>
      </w:r>
      <w:r w:rsidR="0022007B" w:rsidRPr="00A33E8C">
        <w:rPr>
          <w:rFonts w:ascii="Times New Roman" w:eastAsia="+mn-ea" w:hAnsi="Times New Roman" w:cs="Times New Roman"/>
          <w:b/>
          <w:bCs/>
          <w:i/>
          <w:iCs/>
          <w:color w:val="000000"/>
          <w:kern w:val="24"/>
          <w:sz w:val="20"/>
          <w:szCs w:val="20"/>
          <w:u w:val="single"/>
        </w:rPr>
        <w:t>18 i.e., uplink and sidelink does not share the same</w:t>
      </w:r>
      <w:r w:rsidR="000976D7" w:rsidRPr="00A33E8C">
        <w:rPr>
          <w:rFonts w:ascii="Times New Roman" w:eastAsia="+mn-ea" w:hAnsi="Times New Roman" w:cs="Times New Roman"/>
          <w:b/>
          <w:bCs/>
          <w:i/>
          <w:iCs/>
          <w:color w:val="000000"/>
          <w:kern w:val="24"/>
          <w:sz w:val="20"/>
          <w:szCs w:val="20"/>
          <w:u w:val="single"/>
        </w:rPr>
        <w:t xml:space="preserve"> UE initiated</w:t>
      </w:r>
      <w:r w:rsidR="0022007B" w:rsidRPr="00A33E8C">
        <w:rPr>
          <w:rFonts w:ascii="Times New Roman" w:eastAsia="+mn-ea" w:hAnsi="Times New Roman" w:cs="Times New Roman"/>
          <w:b/>
          <w:bCs/>
          <w:i/>
          <w:iCs/>
          <w:color w:val="000000"/>
          <w:kern w:val="24"/>
          <w:sz w:val="20"/>
          <w:szCs w:val="20"/>
          <w:u w:val="single"/>
        </w:rPr>
        <w:t xml:space="preserve"> COT</w:t>
      </w:r>
      <w:r w:rsidR="00681730">
        <w:rPr>
          <w:rFonts w:ascii="Times New Roman" w:eastAsia="+mn-ea" w:hAnsi="Times New Roman" w:cs="Times New Roman"/>
          <w:b/>
          <w:bCs/>
          <w:i/>
          <w:iCs/>
          <w:color w:val="000000"/>
          <w:kern w:val="24"/>
          <w:sz w:val="20"/>
          <w:szCs w:val="20"/>
          <w:u w:val="single"/>
        </w:rPr>
        <w:t>.</w:t>
      </w:r>
      <w:r w:rsidR="0022007B" w:rsidRPr="00A33E8C">
        <w:rPr>
          <w:rFonts w:ascii="Times New Roman" w:eastAsia="+mn-ea" w:hAnsi="Times New Roman" w:cs="Times New Roman"/>
          <w:b/>
          <w:bCs/>
          <w:i/>
          <w:iCs/>
          <w:color w:val="000000"/>
          <w:kern w:val="24"/>
          <w:sz w:val="20"/>
          <w:szCs w:val="20"/>
          <w:u w:val="single"/>
        </w:rPr>
        <w:t xml:space="preserve"> </w:t>
      </w:r>
    </w:p>
    <w:p w14:paraId="75D4349E" w14:textId="77777777" w:rsidR="00880669" w:rsidRDefault="00880669" w:rsidP="00882723">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7486B804" w14:textId="0A40D5CB" w:rsidR="004C3128" w:rsidRPr="00A33E8C" w:rsidRDefault="004C3128" w:rsidP="00A33E8C">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Pr>
          <w:rFonts w:ascii="Times New Roman" w:eastAsia="宋体" w:hAnsi="Times New Roman" w:cs="Times New Roman"/>
          <w:color w:val="000000"/>
          <w:sz w:val="20"/>
          <w:szCs w:val="20"/>
        </w:rPr>
        <w:t>Furthermore</w:t>
      </w:r>
      <w:r w:rsidR="00CC11BC">
        <w:rPr>
          <w:rFonts w:ascii="Times New Roman" w:eastAsia="宋体" w:hAnsi="Times New Roman" w:cs="Times New Roman"/>
          <w:color w:val="000000"/>
          <w:sz w:val="20"/>
          <w:szCs w:val="20"/>
        </w:rPr>
        <w:t>,</w:t>
      </w:r>
      <w:r>
        <w:rPr>
          <w:rFonts w:ascii="Times New Roman" w:eastAsia="宋体" w:hAnsi="Times New Roman" w:cs="Times New Roman"/>
          <w:color w:val="000000"/>
          <w:sz w:val="20"/>
          <w:szCs w:val="20"/>
        </w:rPr>
        <w:t xml:space="preserve"> </w:t>
      </w:r>
      <w:r w:rsidR="00CC11BC">
        <w:rPr>
          <w:rFonts w:ascii="Times New Roman" w:eastAsia="宋体" w:hAnsi="Times New Roman" w:cs="Times New Roman"/>
          <w:color w:val="000000"/>
          <w:sz w:val="20"/>
          <w:szCs w:val="20"/>
        </w:rPr>
        <w:t>s</w:t>
      </w:r>
      <w:r>
        <w:rPr>
          <w:rFonts w:ascii="Times New Roman" w:eastAsia="宋体" w:hAnsi="Times New Roman" w:cs="Times New Roman"/>
          <w:color w:val="000000"/>
          <w:sz w:val="20"/>
          <w:szCs w:val="20"/>
        </w:rPr>
        <w:t xml:space="preserve">ince there are 4 channel access priority classes </w:t>
      </w:r>
      <w:r>
        <w:rPr>
          <w:rFonts w:ascii="Times New Roman" w:eastAsia="宋体" w:hAnsi="Times New Roman" w:cs="Times New Roman" w:hint="eastAsia"/>
          <w:color w:val="000000"/>
          <w:sz w:val="20"/>
          <w:szCs w:val="20"/>
        </w:rPr>
        <w:t>defined</w:t>
      </w:r>
      <w:r>
        <w:rPr>
          <w:rFonts w:ascii="Times New Roman" w:eastAsia="宋体" w:hAnsi="Times New Roman" w:cs="Times New Roman"/>
          <w:color w:val="000000"/>
          <w:sz w:val="20"/>
          <w:szCs w:val="20"/>
        </w:rPr>
        <w:t xml:space="preserve"> for </w:t>
      </w:r>
      <w:r w:rsidR="00CC11BC">
        <w:rPr>
          <w:rFonts w:ascii="Times New Roman" w:eastAsia="宋体" w:hAnsi="Times New Roman" w:cs="Times New Roman"/>
          <w:color w:val="000000"/>
          <w:sz w:val="20"/>
          <w:szCs w:val="20"/>
        </w:rPr>
        <w:t xml:space="preserve">channel access procedure </w:t>
      </w:r>
      <w:r>
        <w:rPr>
          <w:rFonts w:ascii="Times New Roman" w:eastAsia="宋体" w:hAnsi="Times New Roman" w:cs="Times New Roman"/>
          <w:color w:val="000000"/>
          <w:sz w:val="20"/>
          <w:szCs w:val="20"/>
        </w:rPr>
        <w:t xml:space="preserve">while 8 L1 priorities </w:t>
      </w:r>
      <w:r w:rsidR="00CC11BC">
        <w:rPr>
          <w:rFonts w:ascii="Times New Roman" w:eastAsia="宋体" w:hAnsi="Times New Roman" w:cs="Times New Roman"/>
          <w:color w:val="000000"/>
          <w:sz w:val="20"/>
          <w:szCs w:val="20"/>
        </w:rPr>
        <w:t xml:space="preserve">included </w:t>
      </w:r>
      <w:r>
        <w:rPr>
          <w:rFonts w:ascii="Times New Roman" w:eastAsia="宋体" w:hAnsi="Times New Roman" w:cs="Times New Roman"/>
          <w:color w:val="000000"/>
          <w:sz w:val="20"/>
          <w:szCs w:val="20"/>
        </w:rPr>
        <w:t xml:space="preserve">in SCI, a L1 priority to channel access priority class mapping needs to be defined. </w:t>
      </w:r>
      <w:r w:rsidRPr="00A33E8C">
        <w:rPr>
          <w:rFonts w:ascii="Times New Roman" w:eastAsia="宋体" w:hAnsi="Times New Roman" w:cs="Times New Roman"/>
          <w:color w:val="000000"/>
          <w:sz w:val="20"/>
          <w:szCs w:val="20"/>
        </w:rPr>
        <w:t xml:space="preserve">A </w:t>
      </w:r>
      <w:r>
        <w:rPr>
          <w:rFonts w:ascii="Times New Roman" w:eastAsia="宋体" w:hAnsi="Times New Roman" w:cs="Times New Roman"/>
          <w:color w:val="000000"/>
          <w:sz w:val="20"/>
          <w:szCs w:val="20"/>
        </w:rPr>
        <w:t xml:space="preserve">simplest way is to map every two consecutive L1 priorities to one channel access priority class so as to establish a </w:t>
      </w:r>
      <w:r w:rsidRPr="00A33E8C">
        <w:rPr>
          <w:rFonts w:ascii="Times New Roman" w:eastAsia="宋体" w:hAnsi="Times New Roman" w:cs="Times New Roman"/>
          <w:color w:val="000000"/>
          <w:sz w:val="20"/>
          <w:szCs w:val="20"/>
        </w:rPr>
        <w:t>link</w:t>
      </w:r>
      <w:r>
        <w:rPr>
          <w:rFonts w:ascii="Times New Roman" w:eastAsia="宋体" w:hAnsi="Times New Roman" w:cs="Times New Roman"/>
          <w:color w:val="000000"/>
          <w:sz w:val="20"/>
          <w:szCs w:val="20"/>
        </w:rPr>
        <w:t>age between</w:t>
      </w:r>
      <w:r w:rsidRPr="00A33E8C">
        <w:rPr>
          <w:rFonts w:ascii="Times New Roman" w:eastAsia="宋体" w:hAnsi="Times New Roman" w:cs="Times New Roman"/>
          <w:color w:val="000000"/>
          <w:sz w:val="20"/>
          <w:szCs w:val="20"/>
        </w:rPr>
        <w:t xml:space="preserve"> 8 </w:t>
      </w:r>
      <w:r>
        <w:rPr>
          <w:rFonts w:ascii="Times New Roman" w:eastAsia="宋体" w:hAnsi="Times New Roman" w:cs="Times New Roman"/>
          <w:color w:val="000000"/>
          <w:sz w:val="20"/>
          <w:szCs w:val="20"/>
        </w:rPr>
        <w:t xml:space="preserve">L1 </w:t>
      </w:r>
      <w:r w:rsidRPr="00A33E8C">
        <w:rPr>
          <w:rFonts w:ascii="Times New Roman" w:eastAsia="宋体" w:hAnsi="Times New Roman" w:cs="Times New Roman"/>
          <w:color w:val="000000"/>
          <w:sz w:val="20"/>
          <w:szCs w:val="20"/>
        </w:rPr>
        <w:t>priorit</w:t>
      </w:r>
      <w:r>
        <w:rPr>
          <w:rFonts w:ascii="Times New Roman" w:eastAsia="宋体" w:hAnsi="Times New Roman" w:cs="Times New Roman"/>
          <w:color w:val="000000"/>
          <w:sz w:val="20"/>
          <w:szCs w:val="20"/>
        </w:rPr>
        <w:t>ies</w:t>
      </w:r>
      <w:r w:rsidRPr="00A33E8C">
        <w:rPr>
          <w:rFonts w:ascii="Times New Roman" w:eastAsia="宋体" w:hAnsi="Times New Roman" w:cs="Times New Roman"/>
          <w:color w:val="000000"/>
          <w:sz w:val="20"/>
          <w:szCs w:val="20"/>
        </w:rPr>
        <w:t xml:space="preserve"> to 4 UL CAPC values defined in Table 4.2.1-1 in TS37.213. One example is shown in </w:t>
      </w:r>
      <w:r>
        <w:rPr>
          <w:rFonts w:ascii="Times New Roman" w:eastAsia="宋体" w:hAnsi="Times New Roman" w:cs="Times New Roman"/>
          <w:color w:val="000000"/>
          <w:sz w:val="20"/>
          <w:szCs w:val="20"/>
        </w:rPr>
        <w:t xml:space="preserve">below </w:t>
      </w:r>
      <w:r w:rsidRPr="00A33E8C">
        <w:rPr>
          <w:rFonts w:ascii="Times New Roman" w:eastAsia="宋体" w:hAnsi="Times New Roman" w:cs="Times New Roman"/>
          <w:color w:val="000000"/>
          <w:sz w:val="20"/>
          <w:szCs w:val="20"/>
        </w:rPr>
        <w:t xml:space="preserve">Table </w:t>
      </w:r>
      <w:r>
        <w:rPr>
          <w:rFonts w:ascii="Times New Roman" w:eastAsia="宋体" w:hAnsi="Times New Roman" w:cs="Times New Roman"/>
          <w:color w:val="000000"/>
          <w:sz w:val="20"/>
          <w:szCs w:val="20"/>
        </w:rPr>
        <w:t>1</w:t>
      </w:r>
      <w:r w:rsidRPr="00A33E8C">
        <w:rPr>
          <w:rFonts w:ascii="Times New Roman" w:eastAsia="宋体" w:hAnsi="Times New Roman" w:cs="Times New Roman"/>
          <w:color w:val="000000"/>
          <w:sz w:val="20"/>
          <w:szCs w:val="20"/>
        </w:rPr>
        <w:t xml:space="preserve"> by </w:t>
      </w:r>
      <w:r>
        <w:rPr>
          <w:rFonts w:ascii="Times New Roman" w:eastAsia="宋体" w:hAnsi="Times New Roman" w:cs="Times New Roman"/>
          <w:color w:val="000000"/>
          <w:sz w:val="20"/>
          <w:szCs w:val="20"/>
        </w:rPr>
        <w:t>mapp</w:t>
      </w:r>
      <w:r w:rsidRPr="00A33E8C">
        <w:rPr>
          <w:rFonts w:ascii="Times New Roman" w:eastAsia="宋体" w:hAnsi="Times New Roman" w:cs="Times New Roman"/>
          <w:color w:val="000000"/>
          <w:sz w:val="20"/>
          <w:szCs w:val="20"/>
        </w:rPr>
        <w:t xml:space="preserve">ing </w:t>
      </w:r>
      <w:r w:rsidRPr="00711713">
        <w:rPr>
          <w:rFonts w:ascii="Times New Roman" w:eastAsia="宋体" w:hAnsi="Times New Roman" w:cs="Times New Roman"/>
          <w:color w:val="000000"/>
          <w:sz w:val="20"/>
          <w:szCs w:val="20"/>
        </w:rPr>
        <w:t xml:space="preserve">8 </w:t>
      </w:r>
      <w:r>
        <w:rPr>
          <w:rFonts w:ascii="Times New Roman" w:eastAsia="宋体" w:hAnsi="Times New Roman" w:cs="Times New Roman"/>
          <w:color w:val="000000"/>
          <w:sz w:val="20"/>
          <w:szCs w:val="20"/>
        </w:rPr>
        <w:t>L1</w:t>
      </w:r>
      <w:r w:rsidRPr="00711713">
        <w:rPr>
          <w:rFonts w:ascii="Times New Roman" w:eastAsia="宋体" w:hAnsi="Times New Roman" w:cs="Times New Roman"/>
          <w:color w:val="000000"/>
          <w:sz w:val="20"/>
          <w:szCs w:val="20"/>
        </w:rPr>
        <w:t xml:space="preserve"> priority levels</w:t>
      </w:r>
      <w:r>
        <w:rPr>
          <w:rFonts w:ascii="Times New Roman" w:eastAsia="宋体" w:hAnsi="Times New Roman" w:cs="Times New Roman"/>
          <w:color w:val="000000"/>
          <w:sz w:val="20"/>
          <w:szCs w:val="20"/>
        </w:rPr>
        <w:t xml:space="preserve"> </w:t>
      </w:r>
      <w:r w:rsidRPr="00A33E8C">
        <w:rPr>
          <w:rFonts w:ascii="Times New Roman" w:eastAsia="宋体" w:hAnsi="Times New Roman" w:cs="Times New Roman"/>
          <w:color w:val="000000"/>
          <w:sz w:val="20"/>
          <w:szCs w:val="20"/>
        </w:rPr>
        <w:t>to</w:t>
      </w:r>
      <w:r>
        <w:rPr>
          <w:rFonts w:ascii="Times New Roman" w:eastAsia="宋体" w:hAnsi="Times New Roman" w:cs="Times New Roman"/>
          <w:color w:val="000000"/>
          <w:sz w:val="20"/>
          <w:szCs w:val="20"/>
        </w:rPr>
        <w:t>4 U</w:t>
      </w:r>
      <w:r w:rsidRPr="009B3FF7">
        <w:rPr>
          <w:rFonts w:ascii="Times New Roman" w:eastAsia="宋体" w:hAnsi="Times New Roman" w:cs="Times New Roman"/>
          <w:color w:val="000000"/>
          <w:sz w:val="20"/>
          <w:szCs w:val="20"/>
        </w:rPr>
        <w:t>L CAPC values</w:t>
      </w:r>
      <w:r w:rsidRPr="00A33E8C">
        <w:rPr>
          <w:rFonts w:ascii="Times New Roman" w:eastAsia="宋体" w:hAnsi="Times New Roman" w:cs="Times New Roman"/>
          <w:color w:val="000000"/>
          <w:sz w:val="20"/>
          <w:szCs w:val="20"/>
        </w:rPr>
        <w:t xml:space="preserve">. </w:t>
      </w:r>
    </w:p>
    <w:p w14:paraId="5CB89DED" w14:textId="6A991205" w:rsidR="004C3128" w:rsidRPr="001A7C01" w:rsidRDefault="004C3128" w:rsidP="004C3128">
      <w:pPr>
        <w:pStyle w:val="TH"/>
        <w:ind w:left="720"/>
      </w:pPr>
      <w:r w:rsidRPr="001A7C01">
        <w:lastRenderedPageBreak/>
        <w:t xml:space="preserve">Table </w:t>
      </w:r>
      <w:r>
        <w:t>1: Mapping from traffic priority level to sidelink CAPC value by reusing 4 UL CAPC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0"/>
        <w:gridCol w:w="1500"/>
      </w:tblGrid>
      <w:tr w:rsidR="004C3128" w:rsidRPr="001A7C01" w14:paraId="3086791F" w14:textId="77777777" w:rsidTr="00A24F97">
        <w:trPr>
          <w:trHeight w:val="554"/>
          <w:jc w:val="center"/>
        </w:trPr>
        <w:tc>
          <w:tcPr>
            <w:tcW w:w="1500" w:type="dxa"/>
            <w:shd w:val="clear" w:color="auto" w:fill="E0E0E0"/>
          </w:tcPr>
          <w:p w14:paraId="318F7FBD" w14:textId="77777777" w:rsidR="004C3128" w:rsidRDefault="004C3128" w:rsidP="00A24F97">
            <w:pPr>
              <w:pStyle w:val="TAH"/>
            </w:pPr>
            <w:r>
              <w:t>Traffic priority level</w:t>
            </w:r>
          </w:p>
        </w:tc>
        <w:tc>
          <w:tcPr>
            <w:tcW w:w="1500" w:type="dxa"/>
            <w:shd w:val="clear" w:color="auto" w:fill="E0E0E0"/>
            <w:vAlign w:val="center"/>
          </w:tcPr>
          <w:p w14:paraId="69244C0D" w14:textId="77777777" w:rsidR="004C3128" w:rsidRPr="001A7C01" w:rsidRDefault="004C3128" w:rsidP="00A24F97">
            <w:pPr>
              <w:pStyle w:val="TAH"/>
            </w:pPr>
            <w:r>
              <w:t>CAPC</w:t>
            </w:r>
            <w:r w:rsidRPr="001A7C01">
              <w:t xml:space="preserve"> (</w:t>
            </w:r>
            <w:r w:rsidRPr="001A7C01">
              <w:rPr>
                <w:position w:val="-10"/>
              </w:rPr>
              <w:object w:dxaOrig="240" w:dyaOrig="260" w14:anchorId="394DB0DC">
                <v:shape id="_x0000_i1046" type="#_x0000_t75" style="width:12pt;height:13.6pt" o:ole="">
                  <v:imagedata r:id="rId17" o:title=""/>
                </v:shape>
                <o:OLEObject Type="Embed" ProgID="Equation.3" ShapeID="_x0000_i1046" DrawAspect="Content" ObjectID="_1725992055" r:id="rId39"/>
              </w:object>
            </w:r>
            <w:r w:rsidRPr="001A7C01">
              <w:t>)</w:t>
            </w:r>
          </w:p>
        </w:tc>
      </w:tr>
      <w:tr w:rsidR="00880669" w:rsidRPr="001A7C01" w14:paraId="120F033A" w14:textId="77777777" w:rsidTr="00A24F97">
        <w:trPr>
          <w:trHeight w:val="376"/>
          <w:jc w:val="center"/>
        </w:trPr>
        <w:tc>
          <w:tcPr>
            <w:tcW w:w="1500" w:type="dxa"/>
          </w:tcPr>
          <w:p w14:paraId="31E17168" w14:textId="15D356C4" w:rsidR="00880669" w:rsidRPr="001A7C01" w:rsidRDefault="00880669" w:rsidP="00880669">
            <w:pPr>
              <w:pStyle w:val="TAC"/>
            </w:pPr>
            <w:r>
              <w:t>1</w:t>
            </w:r>
          </w:p>
        </w:tc>
        <w:tc>
          <w:tcPr>
            <w:tcW w:w="1500" w:type="dxa"/>
            <w:shd w:val="clear" w:color="auto" w:fill="auto"/>
            <w:vAlign w:val="center"/>
          </w:tcPr>
          <w:p w14:paraId="30C85FC6" w14:textId="77777777" w:rsidR="00880669" w:rsidRPr="001A7C01" w:rsidRDefault="00880669" w:rsidP="00880669">
            <w:pPr>
              <w:pStyle w:val="TAC"/>
            </w:pPr>
            <w:r w:rsidRPr="001A7C01">
              <w:t>1</w:t>
            </w:r>
          </w:p>
        </w:tc>
      </w:tr>
      <w:tr w:rsidR="00880669" w:rsidRPr="001A7C01" w14:paraId="71A22071" w14:textId="77777777" w:rsidTr="00A24F97">
        <w:trPr>
          <w:trHeight w:val="376"/>
          <w:jc w:val="center"/>
        </w:trPr>
        <w:tc>
          <w:tcPr>
            <w:tcW w:w="1500" w:type="dxa"/>
          </w:tcPr>
          <w:p w14:paraId="64FB88CE" w14:textId="67B451BA" w:rsidR="00880669" w:rsidRPr="001A7C01" w:rsidRDefault="00880669" w:rsidP="00880669">
            <w:pPr>
              <w:pStyle w:val="TAC"/>
            </w:pPr>
            <w:r>
              <w:t>2</w:t>
            </w:r>
          </w:p>
        </w:tc>
        <w:tc>
          <w:tcPr>
            <w:tcW w:w="1500" w:type="dxa"/>
            <w:shd w:val="clear" w:color="auto" w:fill="auto"/>
            <w:vAlign w:val="center"/>
          </w:tcPr>
          <w:p w14:paraId="20BC44A5" w14:textId="77777777" w:rsidR="00880669" w:rsidRPr="001A7C01" w:rsidRDefault="00880669" w:rsidP="00880669">
            <w:pPr>
              <w:pStyle w:val="TAC"/>
            </w:pPr>
            <w:r>
              <w:t>1</w:t>
            </w:r>
          </w:p>
        </w:tc>
      </w:tr>
      <w:tr w:rsidR="00880669" w:rsidRPr="001A7C01" w14:paraId="1CC74801" w14:textId="77777777" w:rsidTr="00A24F97">
        <w:trPr>
          <w:trHeight w:val="376"/>
          <w:jc w:val="center"/>
        </w:trPr>
        <w:tc>
          <w:tcPr>
            <w:tcW w:w="1500" w:type="dxa"/>
          </w:tcPr>
          <w:p w14:paraId="73C37939" w14:textId="0BB03313" w:rsidR="00880669" w:rsidRPr="001A7C01" w:rsidRDefault="00880669" w:rsidP="00880669">
            <w:pPr>
              <w:pStyle w:val="TAC"/>
            </w:pPr>
            <w:r>
              <w:t>3</w:t>
            </w:r>
          </w:p>
        </w:tc>
        <w:tc>
          <w:tcPr>
            <w:tcW w:w="1500" w:type="dxa"/>
            <w:shd w:val="clear" w:color="auto" w:fill="auto"/>
            <w:vAlign w:val="center"/>
          </w:tcPr>
          <w:p w14:paraId="2D0E6862" w14:textId="77777777" w:rsidR="00880669" w:rsidRPr="001A7C01" w:rsidRDefault="00880669" w:rsidP="00880669">
            <w:pPr>
              <w:pStyle w:val="TAC"/>
            </w:pPr>
            <w:r>
              <w:t>2</w:t>
            </w:r>
          </w:p>
        </w:tc>
      </w:tr>
      <w:tr w:rsidR="00880669" w:rsidRPr="001A7C01" w14:paraId="6A45A142" w14:textId="77777777" w:rsidTr="00A24F97">
        <w:trPr>
          <w:trHeight w:val="376"/>
          <w:jc w:val="center"/>
        </w:trPr>
        <w:tc>
          <w:tcPr>
            <w:tcW w:w="1500" w:type="dxa"/>
          </w:tcPr>
          <w:p w14:paraId="2421FE05" w14:textId="01A425F7" w:rsidR="00880669" w:rsidRPr="001A7C01" w:rsidRDefault="00880669" w:rsidP="00880669">
            <w:pPr>
              <w:pStyle w:val="TAC"/>
            </w:pPr>
            <w:r>
              <w:t>4</w:t>
            </w:r>
          </w:p>
        </w:tc>
        <w:tc>
          <w:tcPr>
            <w:tcW w:w="1500" w:type="dxa"/>
            <w:shd w:val="clear" w:color="auto" w:fill="auto"/>
            <w:vAlign w:val="center"/>
          </w:tcPr>
          <w:p w14:paraId="471ACD5F" w14:textId="77777777" w:rsidR="00880669" w:rsidRPr="001A7C01" w:rsidRDefault="00880669" w:rsidP="00880669">
            <w:pPr>
              <w:pStyle w:val="TAC"/>
            </w:pPr>
            <w:r>
              <w:t>2</w:t>
            </w:r>
          </w:p>
        </w:tc>
      </w:tr>
      <w:tr w:rsidR="00880669" w:rsidRPr="001A7C01" w14:paraId="34F438D2" w14:textId="77777777" w:rsidTr="00A24F97">
        <w:trPr>
          <w:trHeight w:val="376"/>
          <w:jc w:val="center"/>
        </w:trPr>
        <w:tc>
          <w:tcPr>
            <w:tcW w:w="1500" w:type="dxa"/>
          </w:tcPr>
          <w:p w14:paraId="0C484276" w14:textId="115121D7" w:rsidR="00880669" w:rsidRPr="001A7C01" w:rsidRDefault="00880669" w:rsidP="00880669">
            <w:pPr>
              <w:pStyle w:val="TAC"/>
            </w:pPr>
            <w:r>
              <w:t>5</w:t>
            </w:r>
          </w:p>
        </w:tc>
        <w:tc>
          <w:tcPr>
            <w:tcW w:w="1500" w:type="dxa"/>
            <w:shd w:val="clear" w:color="auto" w:fill="auto"/>
            <w:vAlign w:val="center"/>
          </w:tcPr>
          <w:p w14:paraId="4B2A6868" w14:textId="77777777" w:rsidR="00880669" w:rsidRPr="001A7C01" w:rsidRDefault="00880669" w:rsidP="00880669">
            <w:pPr>
              <w:pStyle w:val="TAC"/>
            </w:pPr>
            <w:r>
              <w:t>3</w:t>
            </w:r>
          </w:p>
        </w:tc>
      </w:tr>
      <w:tr w:rsidR="00880669" w:rsidRPr="001A7C01" w14:paraId="2B388CF4" w14:textId="77777777" w:rsidTr="00A24F97">
        <w:trPr>
          <w:trHeight w:val="376"/>
          <w:jc w:val="center"/>
        </w:trPr>
        <w:tc>
          <w:tcPr>
            <w:tcW w:w="1500" w:type="dxa"/>
          </w:tcPr>
          <w:p w14:paraId="18349E5E" w14:textId="708BF5EB" w:rsidR="00880669" w:rsidRPr="001A7C01" w:rsidRDefault="00880669" w:rsidP="00880669">
            <w:pPr>
              <w:pStyle w:val="TAC"/>
            </w:pPr>
            <w:r>
              <w:t>6</w:t>
            </w:r>
          </w:p>
        </w:tc>
        <w:tc>
          <w:tcPr>
            <w:tcW w:w="1500" w:type="dxa"/>
            <w:shd w:val="clear" w:color="auto" w:fill="auto"/>
            <w:vAlign w:val="center"/>
          </w:tcPr>
          <w:p w14:paraId="35AC39F7" w14:textId="77777777" w:rsidR="00880669" w:rsidRPr="001A7C01" w:rsidRDefault="00880669" w:rsidP="00880669">
            <w:pPr>
              <w:pStyle w:val="TAC"/>
            </w:pPr>
            <w:r>
              <w:t>3</w:t>
            </w:r>
          </w:p>
        </w:tc>
      </w:tr>
      <w:tr w:rsidR="00880669" w:rsidRPr="001A7C01" w14:paraId="0FC4A93F" w14:textId="77777777" w:rsidTr="00A24F97">
        <w:trPr>
          <w:trHeight w:val="376"/>
          <w:jc w:val="center"/>
        </w:trPr>
        <w:tc>
          <w:tcPr>
            <w:tcW w:w="1500" w:type="dxa"/>
          </w:tcPr>
          <w:p w14:paraId="33842669" w14:textId="44662248" w:rsidR="00880669" w:rsidRPr="001A7C01" w:rsidRDefault="00880669" w:rsidP="00880669">
            <w:pPr>
              <w:pStyle w:val="TAC"/>
            </w:pPr>
            <w:r>
              <w:t>7</w:t>
            </w:r>
          </w:p>
        </w:tc>
        <w:tc>
          <w:tcPr>
            <w:tcW w:w="1500" w:type="dxa"/>
            <w:shd w:val="clear" w:color="auto" w:fill="auto"/>
            <w:vAlign w:val="center"/>
          </w:tcPr>
          <w:p w14:paraId="6FC265B4" w14:textId="77777777" w:rsidR="00880669" w:rsidRPr="001A7C01" w:rsidRDefault="00880669" w:rsidP="00880669">
            <w:pPr>
              <w:pStyle w:val="TAC"/>
            </w:pPr>
            <w:r>
              <w:t>4</w:t>
            </w:r>
          </w:p>
        </w:tc>
      </w:tr>
      <w:tr w:rsidR="00880669" w:rsidRPr="001A7C01" w14:paraId="387C16CF" w14:textId="77777777" w:rsidTr="00A24F97">
        <w:trPr>
          <w:trHeight w:val="376"/>
          <w:jc w:val="center"/>
        </w:trPr>
        <w:tc>
          <w:tcPr>
            <w:tcW w:w="1500" w:type="dxa"/>
          </w:tcPr>
          <w:p w14:paraId="069D9D4C" w14:textId="1D3E0797" w:rsidR="00880669" w:rsidRPr="001A7C01" w:rsidRDefault="00880669" w:rsidP="00880669">
            <w:pPr>
              <w:pStyle w:val="TAC"/>
            </w:pPr>
            <w:r>
              <w:t>8</w:t>
            </w:r>
          </w:p>
        </w:tc>
        <w:tc>
          <w:tcPr>
            <w:tcW w:w="1500" w:type="dxa"/>
            <w:shd w:val="clear" w:color="auto" w:fill="auto"/>
            <w:vAlign w:val="center"/>
          </w:tcPr>
          <w:p w14:paraId="67A8240E" w14:textId="77777777" w:rsidR="00880669" w:rsidRPr="001A7C01" w:rsidRDefault="00880669" w:rsidP="00880669">
            <w:pPr>
              <w:pStyle w:val="TAC"/>
            </w:pPr>
            <w:r>
              <w:t>4</w:t>
            </w:r>
          </w:p>
        </w:tc>
      </w:tr>
    </w:tbl>
    <w:p w14:paraId="1EBF22A8" w14:textId="77777777" w:rsidR="004C3128" w:rsidRDefault="004C3128" w:rsidP="00882723">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1D3620DB" w14:textId="5EEFD30D" w:rsidR="002C7D5F" w:rsidRPr="002C7D5F" w:rsidRDefault="002C7D5F" w:rsidP="002C7D5F">
      <w:pPr>
        <w:pStyle w:val="BodyText"/>
      </w:pPr>
      <w:r w:rsidRPr="002C7D5F">
        <w:t>Based on above analysis, we have below proposals:</w:t>
      </w:r>
    </w:p>
    <w:p w14:paraId="3E78380A" w14:textId="45569CD5" w:rsidR="002C7D5F" w:rsidRDefault="002C7D5F" w:rsidP="002C7D5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3</w:t>
      </w:r>
      <w:r w:rsidRPr="002023FC">
        <w:rPr>
          <w:rFonts w:ascii="Times New Roman" w:eastAsia="+mn-ea" w:hAnsi="Times New Roman" w:cs="Times New Roman"/>
          <w:b/>
          <w:bCs/>
          <w:i/>
          <w:iCs/>
          <w:color w:val="000000"/>
          <w:kern w:val="24"/>
          <w:sz w:val="20"/>
          <w:szCs w:val="20"/>
          <w:u w:val="single"/>
        </w:rPr>
        <w:t xml:space="preserve">: </w:t>
      </w:r>
      <w:r w:rsidR="00882723" w:rsidRPr="00882723">
        <w:rPr>
          <w:rFonts w:ascii="Times New Roman" w:eastAsia="+mn-ea" w:hAnsi="Times New Roman" w:cs="Times New Roman"/>
          <w:b/>
          <w:bCs/>
          <w:i/>
          <w:iCs/>
          <w:color w:val="000000"/>
          <w:kern w:val="24"/>
          <w:sz w:val="20"/>
          <w:szCs w:val="20"/>
          <w:u w:val="single"/>
        </w:rPr>
        <w:t xml:space="preserve">Table 4.2.1-1 </w:t>
      </w:r>
      <w:r w:rsidR="00882723">
        <w:rPr>
          <w:rFonts w:ascii="Times New Roman" w:eastAsia="+mn-ea" w:hAnsi="Times New Roman" w:cs="Times New Roman"/>
          <w:b/>
          <w:bCs/>
          <w:i/>
          <w:iCs/>
          <w:color w:val="000000"/>
          <w:kern w:val="24"/>
          <w:sz w:val="20"/>
          <w:szCs w:val="20"/>
          <w:u w:val="single"/>
        </w:rPr>
        <w:t xml:space="preserve">in TS37.213 </w:t>
      </w:r>
      <w:r w:rsidRPr="002023FC">
        <w:rPr>
          <w:rFonts w:ascii="Times New Roman" w:eastAsia="+mn-ea" w:hAnsi="Times New Roman" w:cs="Times New Roman"/>
          <w:b/>
          <w:bCs/>
          <w:i/>
          <w:iCs/>
          <w:color w:val="000000"/>
          <w:kern w:val="24"/>
          <w:sz w:val="20"/>
          <w:szCs w:val="20"/>
          <w:u w:val="single"/>
        </w:rPr>
        <w:t xml:space="preserve">is </w:t>
      </w:r>
      <w:r w:rsidR="00882723">
        <w:rPr>
          <w:rFonts w:ascii="Times New Roman" w:eastAsia="+mn-ea" w:hAnsi="Times New Roman" w:cs="Times New Roman"/>
          <w:b/>
          <w:bCs/>
          <w:i/>
          <w:iCs/>
          <w:color w:val="000000"/>
          <w:kern w:val="24"/>
          <w:sz w:val="20"/>
          <w:szCs w:val="20"/>
          <w:u w:val="single"/>
        </w:rPr>
        <w:t xml:space="preserve">reused for </w:t>
      </w:r>
      <w:r>
        <w:rPr>
          <w:rFonts w:ascii="Times New Roman" w:eastAsia="+mn-ea" w:hAnsi="Times New Roman" w:cs="Times New Roman"/>
          <w:b/>
          <w:bCs/>
          <w:i/>
          <w:iCs/>
          <w:color w:val="000000"/>
          <w:kern w:val="24"/>
          <w:sz w:val="20"/>
          <w:szCs w:val="20"/>
          <w:u w:val="single"/>
        </w:rPr>
        <w:t xml:space="preserve">sidelink </w:t>
      </w:r>
      <w:r w:rsidR="00FE4286">
        <w:rPr>
          <w:rFonts w:ascii="Times New Roman" w:eastAsia="+mn-ea" w:hAnsi="Times New Roman" w:cs="Times New Roman"/>
          <w:b/>
          <w:bCs/>
          <w:i/>
          <w:iCs/>
          <w:color w:val="000000"/>
          <w:kern w:val="24"/>
          <w:sz w:val="20"/>
          <w:szCs w:val="20"/>
          <w:u w:val="single"/>
        </w:rPr>
        <w:t>transmission</w:t>
      </w:r>
      <w:r>
        <w:rPr>
          <w:rFonts w:ascii="Times New Roman" w:eastAsia="+mn-ea" w:hAnsi="Times New Roman" w:cs="Times New Roman"/>
          <w:b/>
          <w:bCs/>
          <w:i/>
          <w:iCs/>
          <w:color w:val="000000"/>
          <w:kern w:val="24"/>
          <w:sz w:val="20"/>
          <w:szCs w:val="20"/>
          <w:u w:val="single"/>
        </w:rPr>
        <w:t>s in FR1 unlicensed spectrum.</w:t>
      </w:r>
    </w:p>
    <w:p w14:paraId="31AC7A10" w14:textId="67698087" w:rsidR="00882723" w:rsidRDefault="00882723" w:rsidP="0088272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4</w:t>
      </w:r>
      <w:r w:rsidRPr="002023FC">
        <w:rPr>
          <w:rFonts w:ascii="Times New Roman" w:eastAsia="+mn-ea" w:hAnsi="Times New Roman" w:cs="Times New Roman"/>
          <w:b/>
          <w:bCs/>
          <w:i/>
          <w:iCs/>
          <w:color w:val="000000"/>
          <w:kern w:val="24"/>
          <w:sz w:val="20"/>
          <w:szCs w:val="20"/>
          <w:u w:val="single"/>
        </w:rPr>
        <w:t xml:space="preserve">: </w:t>
      </w:r>
      <w:r w:rsidR="00880669">
        <w:rPr>
          <w:rFonts w:ascii="Times New Roman" w:eastAsia="+mn-ea" w:hAnsi="Times New Roman" w:cs="Times New Roman"/>
          <w:b/>
          <w:bCs/>
          <w:i/>
          <w:iCs/>
          <w:color w:val="000000"/>
          <w:kern w:val="24"/>
          <w:sz w:val="20"/>
          <w:szCs w:val="20"/>
          <w:u w:val="single"/>
        </w:rPr>
        <w:t xml:space="preserve">From RAN1’s perspective, mapping </w:t>
      </w:r>
      <w:r w:rsidR="00880669" w:rsidRPr="004C3128">
        <w:rPr>
          <w:rFonts w:ascii="Times New Roman" w:eastAsia="+mn-ea" w:hAnsi="Times New Roman" w:cs="Times New Roman"/>
          <w:b/>
          <w:bCs/>
          <w:i/>
          <w:iCs/>
          <w:color w:val="000000"/>
          <w:kern w:val="24"/>
          <w:sz w:val="20"/>
          <w:szCs w:val="20"/>
          <w:u w:val="single"/>
        </w:rPr>
        <w:t xml:space="preserve">every two consecutive L1 priorities to one channel access priority class </w:t>
      </w:r>
      <w:r w:rsidR="00880669">
        <w:rPr>
          <w:rFonts w:ascii="Times New Roman" w:eastAsia="+mn-ea" w:hAnsi="Times New Roman" w:cs="Times New Roman"/>
          <w:b/>
          <w:bCs/>
          <w:i/>
          <w:iCs/>
          <w:color w:val="000000"/>
          <w:kern w:val="24"/>
          <w:sz w:val="20"/>
          <w:szCs w:val="20"/>
          <w:u w:val="single"/>
        </w:rPr>
        <w:t>is feasible, m</w:t>
      </w:r>
      <w:r w:rsidR="004C3128">
        <w:rPr>
          <w:rFonts w:ascii="Times New Roman" w:eastAsia="+mn-ea" w:hAnsi="Times New Roman" w:cs="Times New Roman"/>
          <w:b/>
          <w:bCs/>
          <w:i/>
          <w:iCs/>
          <w:color w:val="000000"/>
          <w:kern w:val="24"/>
          <w:sz w:val="20"/>
          <w:szCs w:val="20"/>
          <w:u w:val="single"/>
        </w:rPr>
        <w:t xml:space="preserve">apping </w:t>
      </w:r>
      <w:r w:rsidR="004C3128" w:rsidRPr="004C3128">
        <w:rPr>
          <w:rFonts w:ascii="Times New Roman" w:eastAsia="+mn-ea" w:hAnsi="Times New Roman" w:cs="Times New Roman"/>
          <w:b/>
          <w:bCs/>
          <w:i/>
          <w:iCs/>
          <w:color w:val="000000"/>
          <w:kern w:val="24"/>
          <w:sz w:val="20"/>
          <w:szCs w:val="20"/>
          <w:u w:val="single"/>
        </w:rPr>
        <w:t xml:space="preserve">every two consecutive L1 priorities to one channel access priority class </w:t>
      </w:r>
      <w:r w:rsidR="00880669">
        <w:rPr>
          <w:rFonts w:ascii="Times New Roman" w:eastAsia="+mn-ea" w:hAnsi="Times New Roman" w:cs="Times New Roman"/>
          <w:b/>
          <w:bCs/>
          <w:i/>
          <w:iCs/>
          <w:color w:val="000000"/>
          <w:kern w:val="24"/>
          <w:sz w:val="20"/>
          <w:szCs w:val="20"/>
          <w:u w:val="single"/>
        </w:rPr>
        <w:t xml:space="preserve">is feasible </w:t>
      </w:r>
      <w:r>
        <w:rPr>
          <w:rFonts w:ascii="Times New Roman" w:eastAsia="+mn-ea" w:hAnsi="Times New Roman" w:cs="Times New Roman"/>
          <w:b/>
          <w:bCs/>
          <w:i/>
          <w:iCs/>
          <w:color w:val="000000"/>
          <w:kern w:val="24"/>
          <w:sz w:val="20"/>
          <w:szCs w:val="20"/>
          <w:u w:val="single"/>
        </w:rPr>
        <w:t>for sidelink transmissions in FR1 unlicensed spectrum.</w:t>
      </w:r>
    </w:p>
    <w:p w14:paraId="4751C4E3" w14:textId="2DFE16B8" w:rsidR="00FE4286" w:rsidRDefault="00FE4286" w:rsidP="002C7D5F">
      <w:pPr>
        <w:pStyle w:val="NormalWeb"/>
        <w:spacing w:before="77"/>
        <w:rPr>
          <w:rFonts w:ascii="Times New Roman" w:eastAsia="+mn-ea" w:hAnsi="Times New Roman" w:cs="Times New Roman"/>
          <w:b/>
          <w:bCs/>
          <w:i/>
          <w:iCs/>
          <w:color w:val="000000"/>
          <w:kern w:val="24"/>
          <w:sz w:val="20"/>
          <w:szCs w:val="20"/>
          <w:u w:val="single"/>
        </w:rPr>
      </w:pPr>
    </w:p>
    <w:p w14:paraId="07BA607F" w14:textId="71563B97" w:rsidR="00380BE5" w:rsidRPr="00380BE5" w:rsidRDefault="00380BE5" w:rsidP="00380BE5">
      <w:pPr>
        <w:pStyle w:val="Heading2"/>
        <w:rPr>
          <w:lang w:eastAsia="zh-CN"/>
        </w:rPr>
      </w:pPr>
      <w:r w:rsidRPr="00380BE5">
        <w:rPr>
          <w:lang w:eastAsia="zh-CN"/>
        </w:rPr>
        <w:t>Baseline LBT and deployment scenarios</w:t>
      </w:r>
    </w:p>
    <w:p w14:paraId="3548C60B" w14:textId="77777777" w:rsidR="00380BE5" w:rsidRDefault="00380BE5" w:rsidP="00380B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p>
    <w:p w14:paraId="2F7D8B7D" w14:textId="60D70E34" w:rsidR="00380BE5" w:rsidRPr="00380BE5" w:rsidRDefault="00380BE5" w:rsidP="00380B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380BE5">
        <w:rPr>
          <w:rFonts w:ascii="Times New Roman" w:eastAsia="宋体" w:hAnsi="Times New Roman" w:cs="Times New Roman"/>
          <w:color w:val="000000"/>
          <w:sz w:val="20"/>
          <w:szCs w:val="20"/>
        </w:rPr>
        <w:t>In Rel</w:t>
      </w:r>
      <w:r>
        <w:rPr>
          <w:rFonts w:ascii="Times New Roman" w:eastAsia="宋体" w:hAnsi="Times New Roman" w:cs="Times New Roman"/>
          <w:color w:val="000000"/>
          <w:sz w:val="20"/>
          <w:szCs w:val="20"/>
        </w:rPr>
        <w:t>-</w:t>
      </w:r>
      <w:r w:rsidRPr="00380BE5">
        <w:rPr>
          <w:rFonts w:ascii="Times New Roman" w:eastAsia="宋体" w:hAnsi="Times New Roman" w:cs="Times New Roman"/>
          <w:color w:val="000000"/>
          <w:sz w:val="20"/>
          <w:szCs w:val="20"/>
        </w:rPr>
        <w:t xml:space="preserve">16 NR-U, LBT sub-band size defines the LBT bandwidth e.g., 20 MHz to be performed by the device in an unlicensed carrier and many LBT sub-bands could be configured inside an unlicensed carrier. The transmission and reception in sidelink are performed within a resource pool which is configured inside a bandwidth part. Hence the relationship between the LBT sub-band and resource pool which includes how the LBT sub-band is configured. The LBT sub-band could be configured as part of the resource pool configuration if the LBT sub-band and the resource pool size are same, however the LBT sub-band may span across more than one resource pool if the resource pool size is smaller than the LBT sub-band size. </w:t>
      </w:r>
    </w:p>
    <w:p w14:paraId="548E0508" w14:textId="77777777" w:rsidR="00380BE5" w:rsidRPr="00380BE5" w:rsidRDefault="00380BE5" w:rsidP="00380B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380BE5">
        <w:rPr>
          <w:rFonts w:ascii="Times New Roman" w:eastAsia="宋体" w:hAnsi="Times New Roman" w:cs="Times New Roman"/>
          <w:color w:val="000000"/>
          <w:sz w:val="20"/>
          <w:szCs w:val="20"/>
        </w:rPr>
        <w:t>The slots that are part of a resource pool can be (pre-)configured with a bitmap and the length of the bitmap can be equal to 10, 11, …, 160 and usually there are more than one resource pool configured inside a bandwidth part. The channel occupancy duration may occupy more than one resource pool in time domain based on the sidelink slots configuration for a resource pool which is quite different from the Rel16 NR-U configuration.</w:t>
      </w:r>
    </w:p>
    <w:p w14:paraId="7FC29D16" w14:textId="77777777" w:rsidR="00380BE5" w:rsidRPr="00380BE5" w:rsidRDefault="00380BE5" w:rsidP="00380B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380BE5">
        <w:rPr>
          <w:rFonts w:ascii="Times New Roman" w:eastAsia="宋体" w:hAnsi="Times New Roman" w:cs="Times New Roman"/>
          <w:color w:val="000000"/>
          <w:sz w:val="20"/>
          <w:szCs w:val="20"/>
        </w:rPr>
        <w:t xml:space="preserve">Sidelink device accessing the channel on which sidelink transmission is to be performed should set the energy detection threshold less than or equal to the maximum energy detection threshold defined. Such energy detection threshold adaptation procedure for sidelink should reuse the procedure defined in uplink. </w:t>
      </w:r>
    </w:p>
    <w:p w14:paraId="7B90F5D2"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03338329" w14:textId="5574B985"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5</w:t>
      </w:r>
      <w:r w:rsidRPr="00380BE5">
        <w:rPr>
          <w:rFonts w:ascii="Times New Roman" w:eastAsia="+mn-ea" w:hAnsi="Times New Roman" w:cs="Times New Roman"/>
          <w:b/>
          <w:bCs/>
          <w:i/>
          <w:iCs/>
          <w:color w:val="000000"/>
          <w:kern w:val="24"/>
          <w:sz w:val="20"/>
          <w:szCs w:val="20"/>
          <w:u w:val="single"/>
        </w:rPr>
        <w:t xml:space="preserve">: RAN1 support the LBT sub-band size i.e., LBT bandwidth configuration of 20 MHz, LBT energy detection threshold for a sidelink device operating in an unlicensed carrier </w:t>
      </w:r>
    </w:p>
    <w:p w14:paraId="6A3B77C3" w14:textId="77777777" w:rsidR="00380BE5" w:rsidRDefault="00380BE5" w:rsidP="00380BE5">
      <w:pPr>
        <w:spacing w:after="0"/>
        <w:jc w:val="both"/>
      </w:pPr>
    </w:p>
    <w:p w14:paraId="066E52B5" w14:textId="77777777" w:rsidR="00380BE5" w:rsidRPr="00380BE5" w:rsidRDefault="00380BE5" w:rsidP="00380B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380BE5">
        <w:rPr>
          <w:rFonts w:ascii="Times New Roman" w:eastAsia="宋体" w:hAnsi="Times New Roman" w:cs="Times New Roman"/>
          <w:color w:val="000000"/>
          <w:sz w:val="20"/>
          <w:szCs w:val="20"/>
        </w:rPr>
        <w:t>NR Sidelink unlicensed operation may coexist with other Wifi, LTE and NR unlicensed technologies and following deployment scenarios could be considered:</w:t>
      </w:r>
    </w:p>
    <w:p w14:paraId="51678C38" w14:textId="77777777" w:rsidR="00380BE5" w:rsidRPr="00380BE5" w:rsidRDefault="00380BE5" w:rsidP="00380BE5">
      <w:pPr>
        <w:numPr>
          <w:ilvl w:val="0"/>
          <w:numId w:val="17"/>
        </w:numPr>
        <w:spacing w:after="0" w:line="240" w:lineRule="auto"/>
        <w:jc w:val="both"/>
        <w:rPr>
          <w:rFonts w:ascii="Times New Roman" w:hAnsi="Times New Roman" w:cs="Times New Roman"/>
          <w:sz w:val="20"/>
          <w:szCs w:val="20"/>
        </w:rPr>
      </w:pPr>
      <w:r w:rsidRPr="00380BE5">
        <w:rPr>
          <w:rFonts w:ascii="Times New Roman" w:hAnsi="Times New Roman" w:cs="Times New Roman"/>
          <w:sz w:val="20"/>
          <w:szCs w:val="20"/>
        </w:rPr>
        <w:t xml:space="preserve">Unlicensed NR-U carrier scheduling data transmission on SL-unlicensed carrier </w:t>
      </w:r>
    </w:p>
    <w:p w14:paraId="0C7B2F77" w14:textId="77777777" w:rsidR="00380BE5" w:rsidRPr="00380BE5" w:rsidRDefault="00380BE5" w:rsidP="00380BE5">
      <w:pPr>
        <w:numPr>
          <w:ilvl w:val="0"/>
          <w:numId w:val="17"/>
        </w:numPr>
        <w:spacing w:after="0" w:line="240" w:lineRule="auto"/>
        <w:jc w:val="both"/>
        <w:rPr>
          <w:rFonts w:ascii="Times New Roman" w:hAnsi="Times New Roman" w:cs="Times New Roman"/>
          <w:sz w:val="20"/>
          <w:szCs w:val="20"/>
        </w:rPr>
      </w:pPr>
      <w:r w:rsidRPr="00380BE5">
        <w:rPr>
          <w:rFonts w:ascii="Times New Roman" w:hAnsi="Times New Roman" w:cs="Times New Roman"/>
          <w:sz w:val="20"/>
          <w:szCs w:val="20"/>
        </w:rPr>
        <w:t>Licensed NR carrier scheduling data transmission on SL-unlicensed carrier</w:t>
      </w:r>
    </w:p>
    <w:p w14:paraId="6CD8AA04" w14:textId="77777777" w:rsidR="00380BE5" w:rsidRPr="00380BE5" w:rsidRDefault="00380BE5" w:rsidP="00380BE5">
      <w:pPr>
        <w:numPr>
          <w:ilvl w:val="0"/>
          <w:numId w:val="17"/>
        </w:numPr>
        <w:spacing w:after="0" w:line="240" w:lineRule="auto"/>
        <w:jc w:val="both"/>
        <w:rPr>
          <w:rFonts w:ascii="Times New Roman" w:hAnsi="Times New Roman" w:cs="Times New Roman"/>
          <w:sz w:val="20"/>
          <w:szCs w:val="20"/>
        </w:rPr>
      </w:pPr>
      <w:r w:rsidRPr="00380BE5">
        <w:rPr>
          <w:rFonts w:ascii="Times New Roman" w:hAnsi="Times New Roman" w:cs="Times New Roman"/>
          <w:sz w:val="20"/>
          <w:szCs w:val="20"/>
        </w:rPr>
        <w:t xml:space="preserve">LTE licensed carrier scheduling data transmission on SL-unlicensed carrier  </w:t>
      </w:r>
    </w:p>
    <w:p w14:paraId="4EFF47B9" w14:textId="77777777" w:rsidR="00380BE5" w:rsidRPr="00380BE5" w:rsidRDefault="00380BE5" w:rsidP="00380BE5">
      <w:pPr>
        <w:numPr>
          <w:ilvl w:val="0"/>
          <w:numId w:val="17"/>
        </w:numPr>
        <w:spacing w:after="0" w:line="240" w:lineRule="auto"/>
        <w:jc w:val="both"/>
        <w:rPr>
          <w:rFonts w:ascii="Times New Roman" w:hAnsi="Times New Roman" w:cs="Times New Roman"/>
          <w:sz w:val="20"/>
          <w:szCs w:val="20"/>
        </w:rPr>
      </w:pPr>
      <w:r w:rsidRPr="00380BE5">
        <w:rPr>
          <w:rFonts w:ascii="Times New Roman" w:hAnsi="Times New Roman" w:cs="Times New Roman"/>
          <w:sz w:val="20"/>
          <w:szCs w:val="20"/>
        </w:rPr>
        <w:lastRenderedPageBreak/>
        <w:t>Standalone SL-unlicensed carrier i.e., out of coverage</w:t>
      </w:r>
    </w:p>
    <w:p w14:paraId="326F702E" w14:textId="77777777" w:rsidR="00380BE5" w:rsidRPr="001830B5" w:rsidRDefault="00380BE5" w:rsidP="00380BE5">
      <w:pPr>
        <w:spacing w:after="0"/>
        <w:jc w:val="both"/>
      </w:pPr>
    </w:p>
    <w:p w14:paraId="782F64BB" w14:textId="77777777" w:rsidR="00380BE5" w:rsidRPr="00380BE5" w:rsidRDefault="00380BE5" w:rsidP="00380BE5">
      <w:pPr>
        <w:overflowPunct w:val="0"/>
        <w:autoSpaceDE w:val="0"/>
        <w:autoSpaceDN w:val="0"/>
        <w:adjustRightInd w:val="0"/>
        <w:spacing w:before="60" w:after="120" w:line="240" w:lineRule="auto"/>
        <w:textAlignment w:val="baseline"/>
        <w:rPr>
          <w:rFonts w:ascii="Times New Roman" w:eastAsia="宋体" w:hAnsi="Times New Roman" w:cs="Times New Roman"/>
          <w:color w:val="000000"/>
          <w:sz w:val="20"/>
          <w:szCs w:val="20"/>
        </w:rPr>
      </w:pPr>
      <w:r w:rsidRPr="00380BE5">
        <w:rPr>
          <w:rFonts w:ascii="Times New Roman" w:eastAsia="宋体" w:hAnsi="Times New Roman" w:cs="Times New Roman"/>
          <w:color w:val="000000"/>
          <w:sz w:val="20"/>
          <w:szCs w:val="20"/>
        </w:rPr>
        <w:t>Among the listed deployment scenarios, the new WID on sidelink unlicensed prioritizes the study on the Licensed carrier scheduling data transmission on SL-unlicensed carrier and standalone SL-unlicensed carrier i.e., out of coverage deployment.  LTE-eNB scheduling NR Sidelink was supported in NR Rel16 and this support should be extended for the unlicensed sidelink carrier.</w:t>
      </w:r>
    </w:p>
    <w:p w14:paraId="672B971D" w14:textId="77777777"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05DB42FC" w14:textId="79FE1488"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6</w:t>
      </w:r>
      <w:r w:rsidRPr="00380BE5">
        <w:rPr>
          <w:rFonts w:ascii="Times New Roman" w:eastAsia="+mn-ea" w:hAnsi="Times New Roman" w:cs="Times New Roman"/>
          <w:b/>
          <w:bCs/>
          <w:i/>
          <w:iCs/>
          <w:color w:val="000000"/>
          <w:kern w:val="24"/>
          <w:sz w:val="20"/>
          <w:szCs w:val="20"/>
          <w:u w:val="single"/>
        </w:rPr>
        <w:t xml:space="preserve">: RAN1 could prioritize the study of mode 1 -- NR licensed carrier (gNB) scheduling data transmission on SL-unlicensed carrier and LTE licensed carrier (eNB) scheduling data transmission on SL-unlicensed carrier  </w:t>
      </w:r>
    </w:p>
    <w:p w14:paraId="268A6FF8" w14:textId="77777777" w:rsidR="00380BE5" w:rsidRDefault="00380BE5" w:rsidP="002C7D5F">
      <w:pPr>
        <w:pStyle w:val="NormalWeb"/>
        <w:spacing w:before="77"/>
        <w:rPr>
          <w:rFonts w:ascii="Times New Roman" w:eastAsia="+mn-ea" w:hAnsi="Times New Roman" w:cs="Times New Roman"/>
          <w:b/>
          <w:bCs/>
          <w:i/>
          <w:iCs/>
          <w:color w:val="000000"/>
          <w:kern w:val="24"/>
          <w:sz w:val="20"/>
          <w:szCs w:val="20"/>
          <w:u w:val="single"/>
        </w:rPr>
      </w:pPr>
    </w:p>
    <w:p w14:paraId="60C8871B" w14:textId="744E4DD0" w:rsidR="002C7D5F" w:rsidRPr="00FE4286" w:rsidRDefault="009820F2" w:rsidP="00FE4286">
      <w:pPr>
        <w:pStyle w:val="Heading2"/>
        <w:rPr>
          <w:lang w:eastAsia="zh-CN"/>
        </w:rPr>
      </w:pPr>
      <w:r>
        <w:rPr>
          <w:lang w:eastAsia="zh-CN"/>
        </w:rPr>
        <w:t>Burst-based sidelink transmissions</w:t>
      </w:r>
    </w:p>
    <w:p w14:paraId="2FF1A373" w14:textId="77777777" w:rsidR="00A44BA4" w:rsidRDefault="00A44BA4" w:rsidP="00FE4286">
      <w:pPr>
        <w:pStyle w:val="BodyText"/>
      </w:pPr>
    </w:p>
    <w:p w14:paraId="36911938" w14:textId="73F23D4D" w:rsidR="00A44BA4" w:rsidRPr="00A44BA4" w:rsidRDefault="00A44BA4" w:rsidP="00A44BA4">
      <w:pPr>
        <w:pStyle w:val="BodyText"/>
        <w:rPr>
          <w:lang w:val="en-US"/>
        </w:rPr>
      </w:pPr>
      <w:r w:rsidRPr="00A44BA4">
        <w:rPr>
          <w:lang w:val="en-US"/>
        </w:rPr>
        <w:t>When unlicensed spectrum is used for sidelink transmission, the channel access procedure is required before any sidelink transmission. Different to SCI decoding</w:t>
      </w:r>
      <w:r w:rsidR="008F4AD7">
        <w:rPr>
          <w:lang w:val="en-US"/>
        </w:rPr>
        <w:t>-based sensing mechanism</w:t>
      </w:r>
      <w:r w:rsidRPr="00A44BA4">
        <w:rPr>
          <w:lang w:val="en-US"/>
        </w:rPr>
        <w:t xml:space="preserve">, LBT procedure is performed based on energy detection in each sensing slot. In detail, if the detected energy on one channel in one sensing slot is lower than the energy detection threshold, then the channel is deemed as empty or clear or available in that sensing slot; otherwise, the channel is deemed as occupied or non-available in that sensing slot. </w:t>
      </w:r>
    </w:p>
    <w:p w14:paraId="11770FA3" w14:textId="05C3497C" w:rsidR="00A44BA4" w:rsidRDefault="00A44BA4" w:rsidP="00A44BA4">
      <w:pPr>
        <w:pStyle w:val="BodyText"/>
        <w:rPr>
          <w:lang w:val="en-US"/>
        </w:rPr>
      </w:pPr>
      <w:r w:rsidRPr="00A44BA4">
        <w:rPr>
          <w:lang w:val="en-US"/>
        </w:rPr>
        <w:t>For unlicensed spectrum, by performing channel access Type 1, a UE can obtain a channel occupancy (CO) and occupy the channel till the maximum channel occupancy time (MCOT). According to Table 4.2.1-1 in TS37.213, the MCOT is related to channel access priority class (CAPC) value. Consequently, when a UE performs a successful channel access Type 1, the UE can occupy the channel with maximum 2ms, 4ms, 6ms or 10ms, depending on the corresponding CAPC value which is determined based on the traffic priority. The higher the CAPC value, the longer the MCOT on the unlicensed spectrum. As shown in Table 4.2.1-1 in TS37.213, for CAPC value of 3 or 4, the MCOT can be 10ms, which is equivalent to 10 slots in case of 15kHz subcarrier spacing, 20 slots in case of 30kHz subcarrier spacing, 40 slots in case of 60kHz subcarrier spacing.</w:t>
      </w:r>
    </w:p>
    <w:p w14:paraId="5F534B6B" w14:textId="0BC1B809" w:rsidR="00E071E1" w:rsidRDefault="008F4AD7" w:rsidP="00E071E1">
      <w:pPr>
        <w:pStyle w:val="BodyText"/>
        <w:rPr>
          <w:lang w:val="en-US"/>
        </w:rPr>
      </w:pPr>
      <w:r>
        <w:rPr>
          <w:lang w:val="en-US"/>
        </w:rPr>
        <w:t xml:space="preserve">To avoid any risk of losing the channel, similar to DL burst and UL burst in TS37.213, a sidelink burst can be defined </w:t>
      </w:r>
      <w:r w:rsidR="00E071E1">
        <w:t xml:space="preserve">as a set of transmissions from a UE without any gaps greater than </w:t>
      </w:r>
      <w:r w:rsidR="00E071E1">
        <w:rPr>
          <w:lang w:val="en-US"/>
        </w:rPr>
        <w:t>16us. M</w:t>
      </w:r>
      <w:r>
        <w:rPr>
          <w:lang w:val="en-US"/>
        </w:rPr>
        <w:t xml:space="preserve">ultiple consecutive slots </w:t>
      </w:r>
      <w:r w:rsidR="00E071E1">
        <w:rPr>
          <w:lang w:val="en-US"/>
        </w:rPr>
        <w:t>can be</w:t>
      </w:r>
      <w:r>
        <w:rPr>
          <w:lang w:val="en-US"/>
        </w:rPr>
        <w:t xml:space="preserve"> included in the sidelink burst. Each PSCCH/PSSCH starts from symbol 0 of a slot to avoid complicated design</w:t>
      </w:r>
      <w:r w:rsidR="00E071E1">
        <w:rPr>
          <w:lang w:val="en-US"/>
        </w:rPr>
        <w:t>s</w:t>
      </w:r>
      <w:r>
        <w:rPr>
          <w:lang w:val="en-US"/>
        </w:rPr>
        <w:t xml:space="preserve"> at both Tx UE side and Rx UE side. </w:t>
      </w:r>
      <w:r w:rsidR="00E071E1">
        <w:rPr>
          <w:lang w:val="en-US"/>
        </w:rPr>
        <w:t xml:space="preserve">One example is shown in Figure 2, where a UE initiates a COT via LBT Cat.4 </w:t>
      </w:r>
      <w:r w:rsidR="007C6313">
        <w:rPr>
          <w:lang w:val="en-US"/>
        </w:rPr>
        <w:t xml:space="preserve">using CAPC 2, </w:t>
      </w:r>
      <w:r w:rsidR="00E071E1">
        <w:rPr>
          <w:lang w:val="en-US"/>
        </w:rPr>
        <w:t xml:space="preserve">then </w:t>
      </w:r>
      <w:r w:rsidR="007C6313">
        <w:rPr>
          <w:lang w:val="en-US"/>
        </w:rPr>
        <w:t xml:space="preserve">it can </w:t>
      </w:r>
      <w:r w:rsidR="00E071E1">
        <w:rPr>
          <w:lang w:val="en-US"/>
        </w:rPr>
        <w:t xml:space="preserve">contiguously transmit 4 PSCCH/PSSCHs in the four consecutive slots without sensing. So </w:t>
      </w:r>
      <w:r w:rsidR="00883211">
        <w:rPr>
          <w:lang w:val="en-US"/>
        </w:rPr>
        <w:t>the</w:t>
      </w:r>
      <w:r w:rsidR="00E071E1">
        <w:rPr>
          <w:lang w:val="en-US"/>
        </w:rPr>
        <w:t xml:space="preserve"> sidelink burst can include the four slots from symbol 0 of slot n to symbol 9 of slot n+3.</w:t>
      </w:r>
    </w:p>
    <w:p w14:paraId="05338A04" w14:textId="77777777" w:rsidR="00A44BA4" w:rsidRDefault="00A44BA4" w:rsidP="00E071E1">
      <w:pPr>
        <w:pStyle w:val="NormalWeb"/>
        <w:spacing w:before="77"/>
        <w:jc w:val="center"/>
        <w:rPr>
          <w:rFonts w:ascii="Times New Roman" w:eastAsia="+mn-ea" w:hAnsi="Times New Roman" w:cs="Times New Roman"/>
          <w:b/>
          <w:bCs/>
          <w:i/>
          <w:iCs/>
          <w:color w:val="000000"/>
          <w:kern w:val="24"/>
          <w:sz w:val="20"/>
          <w:szCs w:val="20"/>
          <w:u w:val="single"/>
        </w:rPr>
      </w:pPr>
      <w:r w:rsidRPr="00A44BA4">
        <w:rPr>
          <w:rFonts w:ascii="Times New Roman" w:eastAsia="+mn-ea" w:hAnsi="Times New Roman" w:cs="Times New Roman"/>
          <w:b/>
          <w:bCs/>
          <w:i/>
          <w:iCs/>
          <w:noProof/>
          <w:color w:val="000000"/>
          <w:kern w:val="24"/>
          <w:sz w:val="20"/>
          <w:szCs w:val="20"/>
        </w:rPr>
        <w:drawing>
          <wp:inline distT="0" distB="0" distL="0" distR="0" wp14:anchorId="22096B69" wp14:editId="5E6A5B95">
            <wp:extent cx="4923048" cy="1447800"/>
            <wp:effectExtent l="0" t="0" r="0" b="0"/>
            <wp:docPr id="27" name="Picture 26">
              <a:extLst xmlns:a="http://schemas.openxmlformats.org/drawingml/2006/main">
                <a:ext uri="{FF2B5EF4-FFF2-40B4-BE49-F238E27FC236}">
                  <a16:creationId xmlns:a16="http://schemas.microsoft.com/office/drawing/2014/main" id="{D3628D2D-21F5-4947-9E50-18143B4C227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6">
                      <a:extLst>
                        <a:ext uri="{FF2B5EF4-FFF2-40B4-BE49-F238E27FC236}">
                          <a16:creationId xmlns:a16="http://schemas.microsoft.com/office/drawing/2014/main" id="{D3628D2D-21F5-4947-9E50-18143B4C227C}"/>
                        </a:ext>
                      </a:extLst>
                    </pic:cNvPr>
                    <pic:cNvPicPr>
                      <a:picLocks noChangeAspect="1"/>
                    </pic:cNvPicPr>
                  </pic:nvPicPr>
                  <pic:blipFill>
                    <a:blip r:embed="rId40"/>
                    <a:stretch>
                      <a:fillRect/>
                    </a:stretch>
                  </pic:blipFill>
                  <pic:spPr>
                    <a:xfrm>
                      <a:off x="0" y="0"/>
                      <a:ext cx="4923777" cy="1448014"/>
                    </a:xfrm>
                    <a:prstGeom prst="rect">
                      <a:avLst/>
                    </a:prstGeom>
                  </pic:spPr>
                </pic:pic>
              </a:graphicData>
            </a:graphic>
          </wp:inline>
        </w:drawing>
      </w:r>
    </w:p>
    <w:p w14:paraId="73DB2221" w14:textId="2DF088EF" w:rsidR="00A44BA4" w:rsidRPr="00FE4286" w:rsidRDefault="00A44BA4" w:rsidP="00A44BA4">
      <w:pPr>
        <w:pStyle w:val="BodyText"/>
        <w:jc w:val="center"/>
        <w:rPr>
          <w:lang w:val="en-US"/>
        </w:rPr>
      </w:pPr>
      <w:r w:rsidRPr="00FE4286">
        <w:rPr>
          <w:lang w:val="en-US"/>
        </w:rPr>
        <w:t>Figure</w:t>
      </w:r>
      <w:r>
        <w:rPr>
          <w:lang w:val="en-US"/>
        </w:rPr>
        <w:t xml:space="preserve"> </w:t>
      </w:r>
      <w:r w:rsidR="00E071E1">
        <w:rPr>
          <w:lang w:val="en-US"/>
        </w:rPr>
        <w:t>2</w:t>
      </w:r>
      <w:r w:rsidRPr="00FE4286">
        <w:rPr>
          <w:lang w:val="en-US"/>
        </w:rPr>
        <w:t xml:space="preserve">: </w:t>
      </w:r>
      <w:r>
        <w:rPr>
          <w:lang w:val="en-US"/>
        </w:rPr>
        <w:t>Burst based transmission for sidelink</w:t>
      </w:r>
    </w:p>
    <w:p w14:paraId="0DD6D199" w14:textId="46C40F8E" w:rsidR="00A44BA4" w:rsidRDefault="00A44BA4" w:rsidP="00FE4286">
      <w:pPr>
        <w:pStyle w:val="BodyText"/>
        <w:rPr>
          <w:lang w:val="en-US"/>
        </w:rPr>
      </w:pPr>
    </w:p>
    <w:p w14:paraId="60F1F3A6" w14:textId="1633692F" w:rsidR="006B5A36" w:rsidRDefault="006B5A36" w:rsidP="006B5A36">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7</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For </w:t>
      </w:r>
      <w:r w:rsidR="00D21E80">
        <w:rPr>
          <w:rFonts w:ascii="Times New Roman" w:eastAsia="+mn-ea" w:hAnsi="Times New Roman" w:cs="Times New Roman"/>
          <w:b/>
          <w:bCs/>
          <w:i/>
          <w:iCs/>
          <w:color w:val="000000"/>
          <w:kern w:val="24"/>
          <w:sz w:val="20"/>
          <w:szCs w:val="20"/>
          <w:u w:val="single"/>
        </w:rPr>
        <w:t>burst-based sidelink transmission, from a Tx UE’s point of view, no gap symbol is included in between any two consecutive slots</w:t>
      </w:r>
      <w:r>
        <w:rPr>
          <w:rFonts w:ascii="Times New Roman" w:eastAsia="+mn-ea" w:hAnsi="Times New Roman" w:cs="Times New Roman"/>
          <w:b/>
          <w:bCs/>
          <w:i/>
          <w:iCs/>
          <w:color w:val="000000"/>
          <w:kern w:val="24"/>
          <w:sz w:val="20"/>
          <w:szCs w:val="20"/>
          <w:u w:val="single"/>
        </w:rPr>
        <w:t>.</w:t>
      </w:r>
    </w:p>
    <w:p w14:paraId="6F284A4D" w14:textId="77777777" w:rsidR="003364FB" w:rsidRPr="006B5A36" w:rsidRDefault="003364FB" w:rsidP="00CC11BC">
      <w:pPr>
        <w:pStyle w:val="BodyText"/>
        <w:rPr>
          <w:lang w:val="en-US"/>
        </w:rPr>
      </w:pPr>
    </w:p>
    <w:p w14:paraId="568B3035" w14:textId="2FE838F4" w:rsidR="00536BC5" w:rsidRDefault="003364FB" w:rsidP="00CC11BC">
      <w:pPr>
        <w:pStyle w:val="BodyText"/>
        <w:rPr>
          <w:lang w:val="en-US"/>
        </w:rPr>
      </w:pPr>
      <w:r>
        <w:rPr>
          <w:lang w:val="en-US"/>
        </w:rPr>
        <w:t xml:space="preserve">As specified in Rel-16 NR-U and Rel-17 above 52.6GHz, one DCI can be used to schedule multiple PDSCHs or PUSCHs so as not only to save DCI overhead but also avoid the risk of losing the channel over unlicensed spectrum. </w:t>
      </w:r>
      <w:r>
        <w:rPr>
          <w:lang w:val="en-US" w:eastAsia="zh-CN"/>
        </w:rPr>
        <w:lastRenderedPageBreak/>
        <w:t>It is straightforward to extend this multiple PDSCHs or PUSCHs scheduling via a single DCI to sidelink transmission over unlicensed spectrum. With</w:t>
      </w:r>
      <w:r w:rsidR="00CC11BC" w:rsidRPr="00A33E8C">
        <w:rPr>
          <w:lang w:val="en-US"/>
        </w:rPr>
        <w:t xml:space="preserve"> multi-slot scheduling, </w:t>
      </w:r>
      <w:r w:rsidR="00536BC5">
        <w:rPr>
          <w:lang w:val="en-US"/>
        </w:rPr>
        <w:t>after initiating a COT via performing channel access Type 1, a UE can transmit a single SCI to schedule multiple consecutive slots for PSSCH transmissions within the COT so that the signaling overhead for PSCCH can be greatly reduced and the saved PSCCH resources can be used for PSSCH transmissions. Furthermore, since the PSSCH transmissions in the multiple consecutive slots are performed within the COT, there is no need to perform L</w:t>
      </w:r>
      <w:r w:rsidR="00CC52C8">
        <w:rPr>
          <w:lang w:val="en-US"/>
        </w:rPr>
        <w:t>BT between two consecutive slots</w:t>
      </w:r>
      <w:r w:rsidR="00536BC5">
        <w:rPr>
          <w:lang w:val="en-US"/>
        </w:rPr>
        <w:t xml:space="preserve">. </w:t>
      </w:r>
    </w:p>
    <w:p w14:paraId="3DAF070F" w14:textId="5582B89A" w:rsidR="00CC11BC" w:rsidRPr="00A33E8C" w:rsidRDefault="00CC52C8" w:rsidP="00A33E8C">
      <w:pPr>
        <w:pStyle w:val="BodyText"/>
      </w:pPr>
      <w:r>
        <w:rPr>
          <w:lang w:val="en-US"/>
        </w:rPr>
        <w:t>In addition, there</w:t>
      </w:r>
      <w:r w:rsidR="00CC11BC" w:rsidRPr="00A33E8C">
        <w:rPr>
          <w:lang w:val="en-US"/>
        </w:rPr>
        <w:t xml:space="preserve"> are several issues need to be solved if multi-slot scheduling is </w:t>
      </w:r>
      <w:r>
        <w:rPr>
          <w:lang w:val="en-US"/>
        </w:rPr>
        <w:t>supporte</w:t>
      </w:r>
      <w:r w:rsidR="00CC11BC" w:rsidRPr="00A33E8C">
        <w:rPr>
          <w:lang w:val="en-US"/>
        </w:rPr>
        <w:t>d for sidelink evolution:</w:t>
      </w:r>
    </w:p>
    <w:p w14:paraId="398485D5" w14:textId="7086829B" w:rsidR="00CC52C8" w:rsidRDefault="00CC52C8" w:rsidP="00CC11BC">
      <w:pPr>
        <w:pStyle w:val="ListParagraph"/>
        <w:numPr>
          <w:ilvl w:val="0"/>
          <w:numId w:val="24"/>
        </w:numPr>
        <w:overflowPunct w:val="0"/>
        <w:autoSpaceDE w:val="0"/>
        <w:autoSpaceDN w:val="0"/>
        <w:adjustRightInd w:val="0"/>
        <w:spacing w:before="60" w:after="120"/>
        <w:ind w:leftChars="0"/>
        <w:contextualSpacing/>
        <w:jc w:val="both"/>
        <w:textAlignment w:val="baseline"/>
        <w:rPr>
          <w:rFonts w:ascii="Times New Roman" w:eastAsiaTheme="minorEastAsia" w:hAnsi="Times New Roman" w:cs="Times New Roman"/>
          <w:color w:val="000000" w:themeColor="text1"/>
          <w:sz w:val="20"/>
          <w:szCs w:val="20"/>
          <w:lang w:eastAsia="zh-CN"/>
        </w:rPr>
      </w:pPr>
      <w:r>
        <w:rPr>
          <w:rFonts w:ascii="Times New Roman" w:eastAsiaTheme="minorEastAsia" w:hAnsi="Times New Roman" w:cs="Times New Roman"/>
          <w:color w:val="000000" w:themeColor="text1"/>
          <w:sz w:val="20"/>
          <w:szCs w:val="20"/>
          <w:lang w:eastAsia="zh-CN"/>
        </w:rPr>
        <w:t>The maximum number of slots schedulable by a single SCI needs to be determined based on the increasing SCI payload size and the maximum COT duration, e.g., whether to support max 8 slots scheduled by a single SCI.</w:t>
      </w:r>
    </w:p>
    <w:p w14:paraId="7EAEA243" w14:textId="12F0C364" w:rsidR="00CC11BC" w:rsidRPr="00A33E8C" w:rsidRDefault="00CC11BC" w:rsidP="00CC11BC">
      <w:pPr>
        <w:pStyle w:val="ListParagraph"/>
        <w:numPr>
          <w:ilvl w:val="0"/>
          <w:numId w:val="24"/>
        </w:numPr>
        <w:overflowPunct w:val="0"/>
        <w:autoSpaceDE w:val="0"/>
        <w:autoSpaceDN w:val="0"/>
        <w:adjustRightInd w:val="0"/>
        <w:spacing w:before="60" w:after="120"/>
        <w:ind w:leftChars="0"/>
        <w:contextualSpacing/>
        <w:jc w:val="both"/>
        <w:textAlignment w:val="baseline"/>
        <w:rPr>
          <w:rFonts w:ascii="Times New Roman" w:eastAsiaTheme="minorEastAsia" w:hAnsi="Times New Roman" w:cs="Times New Roman"/>
          <w:color w:val="000000" w:themeColor="text1"/>
          <w:sz w:val="20"/>
          <w:szCs w:val="20"/>
          <w:lang w:eastAsia="zh-CN"/>
        </w:rPr>
      </w:pPr>
      <w:r w:rsidRPr="00A33E8C">
        <w:rPr>
          <w:rFonts w:ascii="Times New Roman" w:eastAsiaTheme="minorEastAsia" w:hAnsi="Times New Roman" w:cs="Times New Roman"/>
          <w:color w:val="000000" w:themeColor="text1"/>
          <w:sz w:val="20"/>
          <w:szCs w:val="20"/>
          <w:lang w:eastAsia="zh-CN"/>
        </w:rPr>
        <w:t xml:space="preserve">Since Rel-16/17 sidelink supports up to 3 resources reserved within 32 slots for one TB, whether the multiple PSSCHs scheduled by a single SCI are carrying a same TB or different TBs should be known to a UE. </w:t>
      </w:r>
    </w:p>
    <w:p w14:paraId="0C93E00D" w14:textId="0ECAFC26" w:rsidR="00CC11BC" w:rsidRPr="00A33E8C" w:rsidRDefault="00CC11BC" w:rsidP="00CC11BC">
      <w:pPr>
        <w:pStyle w:val="ListParagraph"/>
        <w:numPr>
          <w:ilvl w:val="0"/>
          <w:numId w:val="24"/>
        </w:numPr>
        <w:overflowPunct w:val="0"/>
        <w:autoSpaceDE w:val="0"/>
        <w:autoSpaceDN w:val="0"/>
        <w:adjustRightInd w:val="0"/>
        <w:spacing w:before="60" w:after="120"/>
        <w:ind w:leftChars="0"/>
        <w:contextualSpacing/>
        <w:jc w:val="both"/>
        <w:textAlignment w:val="baseline"/>
        <w:rPr>
          <w:rFonts w:ascii="Times New Roman" w:eastAsiaTheme="minorEastAsia" w:hAnsi="Times New Roman" w:cs="Times New Roman"/>
          <w:color w:val="000000" w:themeColor="text1"/>
          <w:sz w:val="20"/>
          <w:szCs w:val="20"/>
          <w:lang w:eastAsia="zh-CN"/>
        </w:rPr>
      </w:pPr>
      <w:r w:rsidRPr="00A33E8C">
        <w:rPr>
          <w:rFonts w:ascii="Times New Roman" w:eastAsiaTheme="minorEastAsia" w:hAnsi="Times New Roman" w:cs="Times New Roman"/>
          <w:color w:val="000000" w:themeColor="text1"/>
          <w:sz w:val="20"/>
          <w:szCs w:val="20"/>
          <w:lang w:eastAsia="zh-CN"/>
        </w:rPr>
        <w:t xml:space="preserve">Existing </w:t>
      </w:r>
      <w:r w:rsidR="003364FB">
        <w:rPr>
          <w:rFonts w:ascii="Times New Roman" w:eastAsiaTheme="minorEastAsia" w:hAnsi="Times New Roman" w:cs="Times New Roman"/>
          <w:color w:val="000000" w:themeColor="text1"/>
          <w:sz w:val="20"/>
          <w:szCs w:val="20"/>
          <w:lang w:eastAsia="zh-CN"/>
        </w:rPr>
        <w:t xml:space="preserve">Rel-16 </w:t>
      </w:r>
      <w:r w:rsidRPr="00A33E8C">
        <w:rPr>
          <w:rFonts w:ascii="Times New Roman" w:eastAsiaTheme="minorEastAsia" w:hAnsi="Times New Roman" w:cs="Times New Roman"/>
          <w:color w:val="000000" w:themeColor="text1"/>
          <w:sz w:val="20"/>
          <w:szCs w:val="20"/>
          <w:lang w:eastAsia="zh-CN"/>
        </w:rPr>
        <w:t xml:space="preserve">PSFCH feedback is corresponding to one PSSCH. </w:t>
      </w:r>
      <w:r w:rsidR="003364FB" w:rsidRPr="00EB3AD2">
        <w:rPr>
          <w:rFonts w:ascii="Times New Roman" w:eastAsiaTheme="minorEastAsia" w:hAnsi="Times New Roman" w:cs="Times New Roman"/>
          <w:color w:val="000000" w:themeColor="text1"/>
          <w:sz w:val="20"/>
          <w:szCs w:val="20"/>
          <w:lang w:eastAsia="zh-CN"/>
        </w:rPr>
        <w:t xml:space="preserve">If multiple PSFCHs are transmitted for multiple PSSCHs carrying a same TB, the PSFCH resource is wasted. </w:t>
      </w:r>
      <w:r w:rsidRPr="00A33E8C">
        <w:rPr>
          <w:rFonts w:ascii="Times New Roman" w:eastAsiaTheme="minorEastAsia" w:hAnsi="Times New Roman" w:cs="Times New Roman"/>
          <w:color w:val="000000" w:themeColor="text1"/>
          <w:sz w:val="20"/>
          <w:szCs w:val="20"/>
          <w:lang w:eastAsia="zh-CN"/>
        </w:rPr>
        <w:t xml:space="preserve">In </w:t>
      </w:r>
      <w:r w:rsidR="003364FB">
        <w:rPr>
          <w:rFonts w:ascii="Times New Roman" w:eastAsiaTheme="minorEastAsia" w:hAnsi="Times New Roman" w:cs="Times New Roman"/>
          <w:color w:val="000000" w:themeColor="text1"/>
          <w:sz w:val="20"/>
          <w:szCs w:val="20"/>
          <w:lang w:eastAsia="zh-CN"/>
        </w:rPr>
        <w:t xml:space="preserve">that sense, in </w:t>
      </w:r>
      <w:r w:rsidRPr="00A33E8C">
        <w:rPr>
          <w:rFonts w:ascii="Times New Roman" w:eastAsiaTheme="minorEastAsia" w:hAnsi="Times New Roman" w:cs="Times New Roman"/>
          <w:color w:val="000000" w:themeColor="text1"/>
          <w:sz w:val="20"/>
          <w:szCs w:val="20"/>
          <w:lang w:eastAsia="zh-CN"/>
        </w:rPr>
        <w:t>case of a same TB repetition on the multiple scheduled PSSCHs, a single bit of HARQ-ACK feedback for the TB</w:t>
      </w:r>
      <w:r w:rsidR="003364FB">
        <w:rPr>
          <w:rFonts w:ascii="Times New Roman" w:eastAsiaTheme="minorEastAsia" w:hAnsi="Times New Roman" w:cs="Times New Roman"/>
          <w:color w:val="000000" w:themeColor="text1"/>
          <w:sz w:val="20"/>
          <w:szCs w:val="20"/>
          <w:lang w:eastAsia="zh-CN"/>
        </w:rPr>
        <w:t xml:space="preserve"> carried on one PSFCH</w:t>
      </w:r>
      <w:r w:rsidRPr="00A33E8C">
        <w:rPr>
          <w:rFonts w:ascii="Times New Roman" w:eastAsiaTheme="minorEastAsia" w:hAnsi="Times New Roman" w:cs="Times New Roman"/>
          <w:color w:val="000000" w:themeColor="text1"/>
          <w:sz w:val="20"/>
          <w:szCs w:val="20"/>
          <w:lang w:eastAsia="zh-CN"/>
        </w:rPr>
        <w:t xml:space="preserve"> is sufficient. </w:t>
      </w:r>
    </w:p>
    <w:p w14:paraId="11C9A19E" w14:textId="7F49DE65" w:rsidR="00CC11BC" w:rsidRDefault="00CC11BC" w:rsidP="00FE4286">
      <w:pPr>
        <w:pStyle w:val="BodyText"/>
        <w:rPr>
          <w:lang w:val="en-US"/>
        </w:rPr>
      </w:pPr>
    </w:p>
    <w:p w14:paraId="4B1A9A3C" w14:textId="66E329B3" w:rsidR="003364FB" w:rsidRDefault="003364FB" w:rsidP="003364FB">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8</w:t>
      </w:r>
      <w:r w:rsidRPr="002023FC">
        <w:rPr>
          <w:rFonts w:ascii="Times New Roman" w:eastAsia="+mn-ea" w:hAnsi="Times New Roman" w:cs="Times New Roman"/>
          <w:b/>
          <w:bCs/>
          <w:i/>
          <w:iCs/>
          <w:color w:val="000000"/>
          <w:kern w:val="24"/>
          <w:sz w:val="20"/>
          <w:szCs w:val="20"/>
          <w:u w:val="single"/>
        </w:rPr>
        <w:t xml:space="preserve">: </w:t>
      </w:r>
      <w:r w:rsidR="00536BC5">
        <w:rPr>
          <w:rFonts w:ascii="Times New Roman" w:eastAsia="+mn-ea" w:hAnsi="Times New Roman" w:cs="Times New Roman"/>
          <w:b/>
          <w:bCs/>
          <w:i/>
          <w:iCs/>
          <w:color w:val="000000"/>
          <w:kern w:val="24"/>
          <w:sz w:val="20"/>
          <w:szCs w:val="20"/>
          <w:u w:val="single"/>
        </w:rPr>
        <w:t>M</w:t>
      </w:r>
      <w:r>
        <w:rPr>
          <w:rFonts w:ascii="Times New Roman" w:eastAsia="+mn-ea" w:hAnsi="Times New Roman" w:cs="Times New Roman"/>
          <w:b/>
          <w:bCs/>
          <w:i/>
          <w:iCs/>
          <w:color w:val="000000"/>
          <w:kern w:val="24"/>
          <w:sz w:val="20"/>
          <w:szCs w:val="20"/>
          <w:u w:val="single"/>
        </w:rPr>
        <w:t>ulti</w:t>
      </w:r>
      <w:r w:rsidR="00536BC5">
        <w:rPr>
          <w:rFonts w:ascii="Times New Roman" w:eastAsia="+mn-ea" w:hAnsi="Times New Roman" w:cs="Times New Roman"/>
          <w:b/>
          <w:bCs/>
          <w:i/>
          <w:iCs/>
          <w:color w:val="000000"/>
          <w:kern w:val="24"/>
          <w:sz w:val="20"/>
          <w:szCs w:val="20"/>
          <w:u w:val="single"/>
        </w:rPr>
        <w:t>ple PSSCHs</w:t>
      </w:r>
      <w:r>
        <w:rPr>
          <w:rFonts w:ascii="Times New Roman" w:eastAsia="+mn-ea" w:hAnsi="Times New Roman" w:cs="Times New Roman"/>
          <w:b/>
          <w:bCs/>
          <w:i/>
          <w:iCs/>
          <w:color w:val="000000"/>
          <w:kern w:val="24"/>
          <w:sz w:val="20"/>
          <w:szCs w:val="20"/>
          <w:u w:val="single"/>
        </w:rPr>
        <w:t xml:space="preserve"> </w:t>
      </w:r>
      <w:r w:rsidR="00536BC5">
        <w:rPr>
          <w:rFonts w:ascii="Times New Roman" w:eastAsia="+mn-ea" w:hAnsi="Times New Roman" w:cs="Times New Roman"/>
          <w:b/>
          <w:bCs/>
          <w:i/>
          <w:iCs/>
          <w:color w:val="000000"/>
          <w:kern w:val="24"/>
          <w:sz w:val="20"/>
          <w:szCs w:val="20"/>
          <w:u w:val="single"/>
        </w:rPr>
        <w:t xml:space="preserve">scheduled by a single SCI is supported </w:t>
      </w:r>
      <w:r w:rsidR="00536BC5" w:rsidRPr="002023FC">
        <w:rPr>
          <w:rFonts w:ascii="Times New Roman" w:eastAsia="+mn-ea" w:hAnsi="Times New Roman" w:cs="Times New Roman"/>
          <w:b/>
          <w:bCs/>
          <w:i/>
          <w:iCs/>
          <w:color w:val="000000"/>
          <w:kern w:val="24"/>
          <w:sz w:val="20"/>
          <w:szCs w:val="20"/>
          <w:u w:val="single"/>
        </w:rPr>
        <w:t xml:space="preserve">for </w:t>
      </w:r>
      <w:r w:rsidR="00536BC5">
        <w:rPr>
          <w:rFonts w:ascii="Times New Roman" w:eastAsia="+mn-ea" w:hAnsi="Times New Roman" w:cs="Times New Roman"/>
          <w:b/>
          <w:bCs/>
          <w:i/>
          <w:iCs/>
          <w:color w:val="000000"/>
          <w:kern w:val="24"/>
          <w:sz w:val="20"/>
          <w:szCs w:val="20"/>
          <w:u w:val="single"/>
        </w:rPr>
        <w:t>sidelink transmissions in FR1 unlicensed spectrum</w:t>
      </w:r>
      <w:r>
        <w:rPr>
          <w:rFonts w:ascii="Times New Roman" w:eastAsia="+mn-ea" w:hAnsi="Times New Roman" w:cs="Times New Roman"/>
          <w:b/>
          <w:bCs/>
          <w:i/>
          <w:iCs/>
          <w:color w:val="000000"/>
          <w:kern w:val="24"/>
          <w:sz w:val="20"/>
          <w:szCs w:val="20"/>
          <w:u w:val="single"/>
        </w:rPr>
        <w:t>.</w:t>
      </w:r>
    </w:p>
    <w:p w14:paraId="268B0FF7" w14:textId="77777777" w:rsidR="002A1439" w:rsidRDefault="002A1439" w:rsidP="00FE4286">
      <w:pPr>
        <w:pStyle w:val="BodyText"/>
        <w:rPr>
          <w:lang w:val="en-US"/>
        </w:rPr>
      </w:pPr>
    </w:p>
    <w:p w14:paraId="02B3F5B7" w14:textId="4F703613" w:rsidR="009820F2" w:rsidRPr="00FE4286" w:rsidRDefault="009820F2" w:rsidP="009820F2">
      <w:pPr>
        <w:pStyle w:val="Heading2"/>
        <w:rPr>
          <w:lang w:eastAsia="zh-CN"/>
        </w:rPr>
      </w:pPr>
      <w:r>
        <w:rPr>
          <w:lang w:eastAsia="zh-CN"/>
        </w:rPr>
        <w:t>Channel access typ</w:t>
      </w:r>
      <w:r w:rsidR="00747DE7">
        <w:rPr>
          <w:lang w:eastAsia="zh-CN"/>
        </w:rPr>
        <w:t>e</w:t>
      </w:r>
      <w:r>
        <w:rPr>
          <w:lang w:eastAsia="zh-CN"/>
        </w:rPr>
        <w:t>s for sidelink transmissions</w:t>
      </w:r>
    </w:p>
    <w:p w14:paraId="04ADCC07" w14:textId="41C6261A" w:rsidR="009820F2" w:rsidRPr="00A44BA4" w:rsidRDefault="002275A9" w:rsidP="00681730">
      <w:pPr>
        <w:pStyle w:val="Heading3"/>
      </w:pPr>
      <w:bookmarkStart w:id="5" w:name="_Hlk115087867"/>
      <w:r>
        <w:t>Transmissions on a single channel</w:t>
      </w:r>
      <w:bookmarkEnd w:id="5"/>
    </w:p>
    <w:p w14:paraId="6E1C3FC6" w14:textId="64FA9AC0" w:rsidR="00747DE7" w:rsidRPr="00747DE7" w:rsidRDefault="00FE4286" w:rsidP="00FE4286">
      <w:pPr>
        <w:pStyle w:val="BodyText"/>
        <w:rPr>
          <w:lang w:val="en-US"/>
        </w:rPr>
      </w:pPr>
      <w:r w:rsidRPr="00FE4286">
        <w:t>When unlicensed spectrum is used for sidelink transmission, the channel access procedure is required before any sidelink transmission. It does make sense that a Tx UE initiated COT can be shared to one or more Rx UEs</w:t>
      </w:r>
      <w:r>
        <w:rPr>
          <w:lang w:val="en-US"/>
        </w:rPr>
        <w:t xml:space="preserve"> </w:t>
      </w:r>
      <w:r w:rsidR="00A44BA4">
        <w:rPr>
          <w:lang w:val="en-US"/>
        </w:rPr>
        <w:t>when</w:t>
      </w:r>
      <w:r>
        <w:rPr>
          <w:lang w:val="en-US"/>
        </w:rPr>
        <w:t xml:space="preserve"> the </w:t>
      </w:r>
      <w:r w:rsidR="00A44BA4">
        <w:rPr>
          <w:lang w:val="en-US"/>
        </w:rPr>
        <w:t>requirements of COT sharing is satisfied</w:t>
      </w:r>
      <w:r w:rsidRPr="00FE4286">
        <w:t xml:space="preserve">. One example is shown in Figure </w:t>
      </w:r>
      <w:r w:rsidR="00747DE7">
        <w:rPr>
          <w:lang w:val="en-US"/>
        </w:rPr>
        <w:t>4</w:t>
      </w:r>
      <w:r w:rsidRPr="00FE4286">
        <w:t>. After initiating a COT by performing Type 1 channel access procedure, Tx UE, named UE1 for simplicity, performs contiguous sidelink transmissions without any gap</w:t>
      </w:r>
      <w:r w:rsidR="00A44BA4">
        <w:rPr>
          <w:lang w:val="en-US"/>
        </w:rPr>
        <w:t xml:space="preserve"> larger than 16us </w:t>
      </w:r>
      <w:r w:rsidRPr="00FE4286">
        <w:t xml:space="preserve">in time domain, and then can </w:t>
      </w:r>
      <w:r w:rsidR="00747DE7">
        <w:rPr>
          <w:lang w:val="en-US"/>
        </w:rPr>
        <w:t xml:space="preserve">transmit COT sharing information to </w:t>
      </w:r>
      <w:r w:rsidRPr="00FE4286">
        <w:t xml:space="preserve">share some slots within the COT </w:t>
      </w:r>
      <w:r w:rsidR="00A44BA4">
        <w:rPr>
          <w:lang w:val="en-US"/>
        </w:rPr>
        <w:t>to</w:t>
      </w:r>
      <w:r w:rsidRPr="00FE4286">
        <w:t xml:space="preserve"> Rx UE (e.g., UE2) for transmitting PSCCH </w:t>
      </w:r>
      <w:r w:rsidRPr="00FE4286">
        <w:rPr>
          <w:rFonts w:hint="eastAsia"/>
        </w:rPr>
        <w:t>a</w:t>
      </w:r>
      <w:r w:rsidRPr="00FE4286">
        <w:t xml:space="preserve">nd associated PSSCH. </w:t>
      </w:r>
      <w:r w:rsidR="00747DE7">
        <w:rPr>
          <w:rFonts w:hint="eastAsia"/>
          <w:lang w:eastAsia="zh-CN"/>
        </w:rPr>
        <w:t>Upon</w:t>
      </w:r>
      <w:r w:rsidR="00747DE7">
        <w:rPr>
          <w:lang w:val="en-US"/>
        </w:rPr>
        <w:t xml:space="preserve"> reception of the COT sharing information from UE1, UE2 can perform Type 2A or Type 2B channel access procedure and transmit PSCCH/PSSCH within the COT if the Type 2A/2B channel access procedure is successful. </w:t>
      </w:r>
    </w:p>
    <w:p w14:paraId="56960AB4" w14:textId="3BAC62F6" w:rsidR="00FE4286" w:rsidRPr="00FE4286" w:rsidRDefault="00747DE7" w:rsidP="00FE4286">
      <w:pPr>
        <w:pStyle w:val="BodyText"/>
      </w:pPr>
      <w:r>
        <w:rPr>
          <w:lang w:val="en-US"/>
        </w:rPr>
        <w:t>Furthermore, i</w:t>
      </w:r>
      <w:r w:rsidR="00FE4286" w:rsidRPr="00FE4286">
        <w:t xml:space="preserve">f HARQ-ACK feedback is enabled, then PSFCH transmission </w:t>
      </w:r>
      <w:r>
        <w:rPr>
          <w:lang w:val="en-US"/>
        </w:rPr>
        <w:t>can</w:t>
      </w:r>
      <w:r w:rsidR="00FE4286" w:rsidRPr="00FE4286">
        <w:t xml:space="preserve"> be contained within the COT</w:t>
      </w:r>
      <w:r>
        <w:rPr>
          <w:lang w:val="en-US"/>
        </w:rPr>
        <w:t xml:space="preserve"> so that an Rx UE</w:t>
      </w:r>
      <w:r w:rsidR="00FE4286" w:rsidRPr="00FE4286">
        <w:t xml:space="preserve"> </w:t>
      </w:r>
      <w:r>
        <w:rPr>
          <w:lang w:val="en-US"/>
        </w:rPr>
        <w:t xml:space="preserve">can perform Type 2A or Type 2B channel access procedure and transmit PSFCH within the COT if the Type 2A/2B channel access procedure is successful. To leave the gap for Tx/Rx switching and performing Type 2A/2B channel access, </w:t>
      </w:r>
      <w:r w:rsidR="00FE4286" w:rsidRPr="00FE4286">
        <w:t xml:space="preserve">one symbol </w:t>
      </w:r>
      <w:r>
        <w:rPr>
          <w:lang w:val="en-US"/>
        </w:rPr>
        <w:t xml:space="preserve">can be reserved </w:t>
      </w:r>
      <w:r w:rsidR="00FE4286" w:rsidRPr="00FE4286">
        <w:t xml:space="preserve">as gap before each PSFCH transmission. </w:t>
      </w:r>
    </w:p>
    <w:p w14:paraId="55257CB9" w14:textId="77777777" w:rsidR="00FE4286" w:rsidRPr="00D8348E" w:rsidRDefault="00FE4286" w:rsidP="00FE4286">
      <w:pPr>
        <w:jc w:val="center"/>
      </w:pPr>
      <w:r>
        <w:rPr>
          <w:noProof/>
        </w:rPr>
        <w:drawing>
          <wp:inline distT="0" distB="0" distL="0" distR="0" wp14:anchorId="09508445" wp14:editId="70EEF207">
            <wp:extent cx="5429592" cy="16785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474532" cy="1692475"/>
                    </a:xfrm>
                    <a:prstGeom prst="rect">
                      <a:avLst/>
                    </a:prstGeom>
                    <a:noFill/>
                  </pic:spPr>
                </pic:pic>
              </a:graphicData>
            </a:graphic>
          </wp:inline>
        </w:drawing>
      </w:r>
    </w:p>
    <w:p w14:paraId="1A2E9D2D" w14:textId="663B40C2" w:rsidR="00FE4286" w:rsidRPr="00FE4286" w:rsidRDefault="00FE4286" w:rsidP="00FE4286">
      <w:pPr>
        <w:pStyle w:val="BodyText"/>
        <w:jc w:val="center"/>
        <w:rPr>
          <w:lang w:val="en-US"/>
        </w:rPr>
      </w:pPr>
      <w:r w:rsidRPr="00FE4286">
        <w:rPr>
          <w:lang w:val="en-US"/>
        </w:rPr>
        <w:t xml:space="preserve">Figure </w:t>
      </w:r>
      <w:r w:rsidR="00B437E3">
        <w:rPr>
          <w:lang w:val="en-US"/>
        </w:rPr>
        <w:t>3</w:t>
      </w:r>
      <w:r w:rsidRPr="00FE4286">
        <w:rPr>
          <w:lang w:val="en-US"/>
        </w:rPr>
        <w:t xml:space="preserve">: COT sharing for </w:t>
      </w:r>
      <w:r w:rsidR="00822FC8">
        <w:rPr>
          <w:lang w:val="en-US"/>
        </w:rPr>
        <w:t>PSCCH/PSSCH and PSFCH</w:t>
      </w:r>
      <w:r w:rsidRPr="00FE4286">
        <w:rPr>
          <w:lang w:val="en-US"/>
        </w:rPr>
        <w:t xml:space="preserve"> transmission</w:t>
      </w:r>
      <w:r w:rsidR="00822FC8">
        <w:rPr>
          <w:lang w:val="en-US"/>
        </w:rPr>
        <w:t>s</w:t>
      </w:r>
    </w:p>
    <w:p w14:paraId="6C1E6582" w14:textId="5F5D3841" w:rsidR="00A44BA4" w:rsidRDefault="00A44BA4" w:rsidP="00A44BA4">
      <w:pPr>
        <w:pStyle w:val="BodyText"/>
      </w:pPr>
    </w:p>
    <w:p w14:paraId="37F3CB1C" w14:textId="609AA511" w:rsidR="00822FC8" w:rsidRPr="00C54E2F" w:rsidRDefault="00822FC8" w:rsidP="00822FC8">
      <w:pPr>
        <w:pStyle w:val="BodyText"/>
        <w:rPr>
          <w:lang w:val="en-US"/>
        </w:rPr>
      </w:pPr>
      <w:r>
        <w:rPr>
          <w:lang w:val="en-US"/>
        </w:rPr>
        <w:t xml:space="preserve">On the other hand, considering UE processing capability, it may be not possible for a Rx UE to decode a PSSCH and transmit the corresponding PSFCH within the COT. One example is shown in Figure 4, where CAPAC value of 2 is used for initiating the COT so the MCOT can have 4 slots. Two slots are assumed as the processing delay for PSFCH transmission. When </w:t>
      </w:r>
      <w:r w:rsidRPr="00FE4286">
        <w:t>HARQ-ACK feedback is enabled, then PSFCH</w:t>
      </w:r>
      <w:r>
        <w:rPr>
          <w:lang w:val="en-US"/>
        </w:rPr>
        <w:t>s</w:t>
      </w:r>
      <w:r w:rsidRPr="00FE4286">
        <w:t xml:space="preserve"> </w:t>
      </w:r>
      <w:r>
        <w:rPr>
          <w:lang w:val="en-US"/>
        </w:rPr>
        <w:t>corresponding to PSSCHs in slot n and slot n+1 can</w:t>
      </w:r>
      <w:r w:rsidRPr="00FE4286">
        <w:t xml:space="preserve"> be </w:t>
      </w:r>
      <w:r>
        <w:rPr>
          <w:lang w:val="en-US"/>
        </w:rPr>
        <w:t>transmitted</w:t>
      </w:r>
      <w:r w:rsidRPr="00FE4286">
        <w:t xml:space="preserve"> within the COT</w:t>
      </w:r>
      <w:r>
        <w:rPr>
          <w:lang w:val="en-US"/>
        </w:rPr>
        <w:t xml:space="preserve"> so that an Rx UE</w:t>
      </w:r>
      <w:r w:rsidRPr="00FE4286">
        <w:t xml:space="preserve"> </w:t>
      </w:r>
      <w:r>
        <w:rPr>
          <w:lang w:val="en-US"/>
        </w:rPr>
        <w:t xml:space="preserve">can perform Type 2A or Type 2B channel access procedure for </w:t>
      </w:r>
      <w:r>
        <w:rPr>
          <w:lang w:val="en-US"/>
        </w:rPr>
        <w:lastRenderedPageBreak/>
        <w:t>transmitting the PSFCHs within the COT. However, for PSSCHs in both slot n+2 and slot n+3, due to the processing delay, the Rx UE can’t transmit PSFCHs for both PSSCHs within the COT and has to perform Type-1 channel access procedure for transmitting the PSFCHs outside of current COT.</w:t>
      </w:r>
      <w:r w:rsidRPr="00FE4286">
        <w:t xml:space="preserve"> </w:t>
      </w:r>
      <w:r w:rsidR="00C54E2F">
        <w:rPr>
          <w:lang w:val="en-US"/>
        </w:rPr>
        <w:t>For quickly accessing the unlicensed channel, Type-1 channel access procedure with CAPC value of 1 can be adopted for transmitting a PSFCH outside of COT.</w:t>
      </w:r>
    </w:p>
    <w:p w14:paraId="17F490CB" w14:textId="1C636B2E" w:rsidR="00822FC8" w:rsidRDefault="00822FC8" w:rsidP="00A44BA4">
      <w:pPr>
        <w:pStyle w:val="BodyText"/>
      </w:pPr>
    </w:p>
    <w:p w14:paraId="2D13765D" w14:textId="4A21CD46" w:rsidR="00822FC8" w:rsidRDefault="00822FC8" w:rsidP="00822FC8">
      <w:pPr>
        <w:pStyle w:val="BodyText"/>
        <w:jc w:val="center"/>
      </w:pPr>
      <w:r>
        <w:rPr>
          <w:noProof/>
        </w:rPr>
        <w:drawing>
          <wp:inline distT="0" distB="0" distL="0" distR="0" wp14:anchorId="746A8ED8" wp14:editId="0ED37504">
            <wp:extent cx="5958518" cy="145611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984032" cy="1462353"/>
                    </a:xfrm>
                    <a:prstGeom prst="rect">
                      <a:avLst/>
                    </a:prstGeom>
                    <a:noFill/>
                  </pic:spPr>
                </pic:pic>
              </a:graphicData>
            </a:graphic>
          </wp:inline>
        </w:drawing>
      </w:r>
    </w:p>
    <w:p w14:paraId="0E6571DC" w14:textId="3C3424EA" w:rsidR="00822FC8" w:rsidRPr="00FE4286" w:rsidRDefault="00822FC8" w:rsidP="00822FC8">
      <w:pPr>
        <w:pStyle w:val="BodyText"/>
        <w:jc w:val="center"/>
        <w:rPr>
          <w:lang w:val="en-US"/>
        </w:rPr>
      </w:pPr>
      <w:r w:rsidRPr="00FE4286">
        <w:rPr>
          <w:lang w:val="en-US"/>
        </w:rPr>
        <w:t xml:space="preserve">Figure </w:t>
      </w:r>
      <w:r>
        <w:rPr>
          <w:lang w:val="en-US"/>
        </w:rPr>
        <w:t>4</w:t>
      </w:r>
      <w:r w:rsidRPr="00FE4286">
        <w:rPr>
          <w:lang w:val="en-US"/>
        </w:rPr>
        <w:t xml:space="preserve">: </w:t>
      </w:r>
      <w:r>
        <w:rPr>
          <w:lang w:val="en-US"/>
        </w:rPr>
        <w:t>PSFCH transmissions inside/outside of COT</w:t>
      </w:r>
    </w:p>
    <w:p w14:paraId="7C474F64" w14:textId="77777777" w:rsidR="00822FC8" w:rsidRPr="00822FC8" w:rsidRDefault="00822FC8" w:rsidP="00822FC8">
      <w:pPr>
        <w:pStyle w:val="BodyText"/>
        <w:jc w:val="center"/>
        <w:rPr>
          <w:lang w:val="en-US"/>
        </w:rPr>
      </w:pPr>
    </w:p>
    <w:p w14:paraId="6887ED1D" w14:textId="418A279C" w:rsidR="00A44BA4" w:rsidRPr="002C7D5F" w:rsidRDefault="00A44BA4" w:rsidP="00A44BA4">
      <w:pPr>
        <w:pStyle w:val="BodyText"/>
      </w:pPr>
      <w:r w:rsidRPr="002C7D5F">
        <w:t>Based on above analysis, we have below proposals:</w:t>
      </w:r>
    </w:p>
    <w:p w14:paraId="41A06A18" w14:textId="30CFE751" w:rsidR="00A44BA4" w:rsidRPr="00C54E2F" w:rsidRDefault="00A44BA4" w:rsidP="00A44BA4">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54E2F">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9</w:t>
      </w:r>
      <w:r w:rsidRPr="00C54E2F">
        <w:rPr>
          <w:rFonts w:ascii="Times New Roman" w:eastAsia="+mn-ea" w:hAnsi="Times New Roman" w:cs="Times New Roman"/>
          <w:b/>
          <w:bCs/>
          <w:i/>
          <w:iCs/>
          <w:color w:val="000000"/>
          <w:kern w:val="24"/>
          <w:sz w:val="20"/>
          <w:szCs w:val="20"/>
          <w:u w:val="single"/>
        </w:rPr>
        <w:t xml:space="preserve">: </w:t>
      </w:r>
      <w:r w:rsidR="00C54E2F" w:rsidRPr="00C54E2F">
        <w:rPr>
          <w:rFonts w:ascii="Times New Roman" w:eastAsia="+mn-ea" w:hAnsi="Times New Roman" w:cs="Times New Roman"/>
          <w:b/>
          <w:bCs/>
          <w:i/>
          <w:iCs/>
          <w:color w:val="000000"/>
          <w:kern w:val="24"/>
          <w:sz w:val="20"/>
          <w:szCs w:val="20"/>
          <w:u w:val="single"/>
        </w:rPr>
        <w:t>A COT initiated by a Tx UE via Type 1 channel access can be shared to Rx UEs for transmitting PSFCH(s) inside of the COT</w:t>
      </w:r>
      <w:r w:rsidRPr="00C54E2F">
        <w:rPr>
          <w:rFonts w:ascii="Times New Roman" w:eastAsia="+mn-ea" w:hAnsi="Times New Roman" w:cs="Times New Roman"/>
          <w:b/>
          <w:bCs/>
          <w:i/>
          <w:iCs/>
          <w:color w:val="000000"/>
          <w:kern w:val="24"/>
          <w:sz w:val="20"/>
          <w:szCs w:val="20"/>
          <w:u w:val="single"/>
        </w:rPr>
        <w:t>.</w:t>
      </w:r>
    </w:p>
    <w:p w14:paraId="30B06844" w14:textId="32E9EC63" w:rsidR="007C6313" w:rsidRPr="00C54E2F" w:rsidRDefault="007C6313" w:rsidP="007C6313">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54E2F">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10</w:t>
      </w:r>
      <w:r w:rsidRPr="00C54E2F">
        <w:rPr>
          <w:rFonts w:ascii="Times New Roman" w:eastAsia="+mn-ea" w:hAnsi="Times New Roman" w:cs="Times New Roman"/>
          <w:b/>
          <w:bCs/>
          <w:i/>
          <w:iCs/>
          <w:color w:val="000000"/>
          <w:kern w:val="24"/>
          <w:sz w:val="20"/>
          <w:szCs w:val="20"/>
          <w:u w:val="single"/>
        </w:rPr>
        <w:t xml:space="preserve">: </w:t>
      </w:r>
      <w:r w:rsidR="00C54E2F" w:rsidRPr="00C54E2F">
        <w:rPr>
          <w:rFonts w:ascii="Times New Roman" w:eastAsia="+mn-ea" w:hAnsi="Times New Roman" w:cs="Times New Roman"/>
          <w:b/>
          <w:bCs/>
          <w:i/>
          <w:iCs/>
          <w:color w:val="000000"/>
          <w:kern w:val="24"/>
          <w:sz w:val="20"/>
          <w:szCs w:val="20"/>
          <w:u w:val="single"/>
        </w:rPr>
        <w:t>A COT initiated by a Tx UE via Type 1 channel access can be shared to other UEs for transmitting PSCCH/PSSCH(s) inside of the COT subject to regulation requirements on COT sharing</w:t>
      </w:r>
      <w:r w:rsidRPr="00C54E2F">
        <w:rPr>
          <w:rFonts w:ascii="Times New Roman" w:eastAsia="+mn-ea" w:hAnsi="Times New Roman" w:cs="Times New Roman"/>
          <w:b/>
          <w:bCs/>
          <w:i/>
          <w:iCs/>
          <w:color w:val="000000"/>
          <w:kern w:val="24"/>
          <w:sz w:val="20"/>
          <w:szCs w:val="20"/>
          <w:u w:val="single"/>
        </w:rPr>
        <w:t>.</w:t>
      </w:r>
    </w:p>
    <w:p w14:paraId="24661FEE" w14:textId="531E6343" w:rsidR="00C54E2F" w:rsidRPr="00C54E2F" w:rsidRDefault="00C54E2F"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54E2F">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11</w:t>
      </w:r>
      <w:r w:rsidRPr="00C54E2F">
        <w:rPr>
          <w:rFonts w:ascii="Times New Roman" w:eastAsia="+mn-ea" w:hAnsi="Times New Roman" w:cs="Times New Roman"/>
          <w:b/>
          <w:bCs/>
          <w:i/>
          <w:iCs/>
          <w:color w:val="000000"/>
          <w:kern w:val="24"/>
          <w:sz w:val="20"/>
          <w:szCs w:val="20"/>
          <w:u w:val="single"/>
        </w:rPr>
        <w:t>: Type 1 channel access with lowest CAPC value can be performed for transmitting a PSFCH outside of a COT where the corresponding PSSCH is transmitted.</w:t>
      </w:r>
    </w:p>
    <w:p w14:paraId="04911D7C" w14:textId="1529E9FB" w:rsidR="00B437E3" w:rsidRDefault="00B437E3"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0401F4EA" w14:textId="6AC060E6" w:rsidR="00B879C7" w:rsidRDefault="00B879C7" w:rsidP="00015320">
      <w:pPr>
        <w:pStyle w:val="NormalWeb"/>
        <w:spacing w:before="77" w:beforeAutospacing="0" w:after="120" w:afterAutospacing="0"/>
        <w:rPr>
          <w:rFonts w:ascii="Times New Roman" w:eastAsia="+mn-ea" w:hAnsi="Times New Roman" w:cs="Times New Roman"/>
          <w:color w:val="000000"/>
          <w:kern w:val="24"/>
          <w:sz w:val="20"/>
          <w:szCs w:val="20"/>
        </w:rPr>
      </w:pPr>
      <w:r>
        <w:rPr>
          <w:rFonts w:ascii="Times New Roman" w:eastAsia="+mn-ea" w:hAnsi="Times New Roman" w:cs="Times New Roman"/>
          <w:color w:val="000000"/>
          <w:kern w:val="24"/>
          <w:sz w:val="20"/>
          <w:szCs w:val="20"/>
        </w:rPr>
        <w:t xml:space="preserve">Regarding channel access Type 2A/2B/2C for SL, there is one FFS under which conditions Type 2B or Type 2C is applied in case of a gap of 16us. There is no such issue in Rel-16 NR-U since the LBT type for UL transmission is indicated in DCI and UE simply follows the indication. However, for Rel-18 SL over unlicensed spectrum, it is not clear which LBT type should be performed in case of 16us gap. </w:t>
      </w:r>
      <w:r w:rsidR="00CD6405">
        <w:rPr>
          <w:rFonts w:ascii="Times New Roman" w:eastAsia="+mn-ea" w:hAnsi="Times New Roman" w:cs="Times New Roman"/>
          <w:color w:val="000000"/>
          <w:kern w:val="24"/>
          <w:sz w:val="20"/>
          <w:szCs w:val="20"/>
        </w:rPr>
        <w:t xml:space="preserve">We propose specifying UE behaviors by standards and using Type 2C if the corresponding transmission is not longer than 584us or Type 2B otherwise. </w:t>
      </w:r>
    </w:p>
    <w:p w14:paraId="7CCA187E" w14:textId="183D4829" w:rsidR="00CD6405" w:rsidRPr="00C54E2F" w:rsidRDefault="00CD6405" w:rsidP="00CD640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681730">
        <w:rPr>
          <w:rFonts w:ascii="Times New Roman" w:eastAsia="+mn-ea" w:hAnsi="Times New Roman" w:cs="Times New Roman"/>
          <w:b/>
          <w:bCs/>
          <w:i/>
          <w:iCs/>
          <w:color w:val="000000"/>
          <w:kern w:val="24"/>
          <w:sz w:val="20"/>
          <w:szCs w:val="20"/>
          <w:u w:val="single"/>
        </w:rPr>
        <w:t xml:space="preserve">Proposal </w:t>
      </w:r>
      <w:r w:rsidR="00681730" w:rsidRPr="00681730">
        <w:rPr>
          <w:rFonts w:ascii="Times New Roman" w:eastAsia="+mn-ea" w:hAnsi="Times New Roman" w:cs="Times New Roman"/>
          <w:b/>
          <w:bCs/>
          <w:i/>
          <w:iCs/>
          <w:color w:val="000000"/>
          <w:kern w:val="24"/>
          <w:sz w:val="20"/>
          <w:szCs w:val="20"/>
          <w:u w:val="single"/>
        </w:rPr>
        <w:t>12</w:t>
      </w:r>
      <w:r w:rsidRPr="00681730">
        <w:rPr>
          <w:rFonts w:ascii="Times New Roman" w:eastAsia="+mn-ea" w:hAnsi="Times New Roman" w:cs="Times New Roman"/>
          <w:b/>
          <w:bCs/>
          <w:i/>
          <w:iCs/>
          <w:color w:val="000000"/>
          <w:kern w:val="24"/>
          <w:sz w:val="20"/>
          <w:szCs w:val="20"/>
          <w:u w:val="single"/>
        </w:rPr>
        <w:t>:</w:t>
      </w:r>
      <w:r w:rsidRPr="00C54E2F">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In case of 16us gap, UE applies Type 2C channel access if </w:t>
      </w:r>
      <w:r w:rsidRPr="00CD6405">
        <w:rPr>
          <w:rFonts w:ascii="Times New Roman" w:eastAsia="+mn-ea" w:hAnsi="Times New Roman" w:cs="Times New Roman"/>
          <w:b/>
          <w:bCs/>
          <w:i/>
          <w:iCs/>
          <w:color w:val="000000"/>
          <w:kern w:val="24"/>
          <w:sz w:val="20"/>
          <w:szCs w:val="20"/>
          <w:u w:val="single"/>
        </w:rPr>
        <w:t>the corresponding transmission is not</w:t>
      </w:r>
      <w:r>
        <w:rPr>
          <w:rFonts w:ascii="Times New Roman" w:eastAsia="+mn-ea" w:hAnsi="Times New Roman" w:cs="Times New Roman"/>
          <w:b/>
          <w:bCs/>
          <w:i/>
          <w:iCs/>
          <w:color w:val="000000"/>
          <w:kern w:val="24"/>
          <w:sz w:val="20"/>
          <w:szCs w:val="20"/>
          <w:u w:val="single"/>
        </w:rPr>
        <w:t xml:space="preserve"> </w:t>
      </w:r>
      <w:r w:rsidRPr="00CD6405">
        <w:rPr>
          <w:rFonts w:ascii="Times New Roman" w:eastAsia="+mn-ea" w:hAnsi="Times New Roman" w:cs="Times New Roman"/>
          <w:b/>
          <w:bCs/>
          <w:i/>
          <w:iCs/>
          <w:color w:val="000000"/>
          <w:kern w:val="24"/>
          <w:sz w:val="20"/>
          <w:szCs w:val="20"/>
          <w:u w:val="single"/>
        </w:rPr>
        <w:t>longer than 584us or Type 2B otherwise</w:t>
      </w:r>
      <w:r w:rsidRPr="00C54E2F">
        <w:rPr>
          <w:rFonts w:ascii="Times New Roman" w:eastAsia="+mn-ea" w:hAnsi="Times New Roman" w:cs="Times New Roman"/>
          <w:b/>
          <w:bCs/>
          <w:i/>
          <w:iCs/>
          <w:color w:val="000000"/>
          <w:kern w:val="24"/>
          <w:sz w:val="20"/>
          <w:szCs w:val="20"/>
          <w:u w:val="single"/>
        </w:rPr>
        <w:t>.</w:t>
      </w:r>
    </w:p>
    <w:p w14:paraId="71524912" w14:textId="77777777" w:rsidR="00CD6405" w:rsidRPr="00B879C7" w:rsidRDefault="00CD6405" w:rsidP="00015320">
      <w:pPr>
        <w:pStyle w:val="NormalWeb"/>
        <w:spacing w:before="77" w:beforeAutospacing="0" w:after="120" w:afterAutospacing="0"/>
        <w:rPr>
          <w:rFonts w:ascii="Times New Roman" w:eastAsia="+mn-ea" w:hAnsi="Times New Roman" w:cs="Times New Roman"/>
          <w:color w:val="000000"/>
          <w:kern w:val="24"/>
          <w:sz w:val="20"/>
          <w:szCs w:val="20"/>
        </w:rPr>
      </w:pPr>
    </w:p>
    <w:p w14:paraId="070EBD1F" w14:textId="6C7255AB" w:rsidR="002275A9" w:rsidRDefault="002275A9" w:rsidP="002275A9">
      <w:pPr>
        <w:pStyle w:val="Heading3"/>
      </w:pPr>
      <w:r>
        <w:t>Transmissions on a multiple channels</w:t>
      </w:r>
    </w:p>
    <w:p w14:paraId="38C044F5" w14:textId="471690F8" w:rsidR="002275A9" w:rsidRDefault="006C0715" w:rsidP="006C0715">
      <w:pPr>
        <w:pStyle w:val="BodyText"/>
        <w:rPr>
          <w:lang w:val="en-GB"/>
        </w:rPr>
      </w:pPr>
      <w:r>
        <w:t xml:space="preserve">In RAN1#110 it was discussed that </w:t>
      </w:r>
      <w:r>
        <w:rPr>
          <w:lang w:val="en-GB"/>
        </w:rPr>
        <w:t>existing multi-channel access procedures Type A and Type B for DL as well as UL multiple channel access procedures should be used as baseline for SL-U, with further discussion</w:t>
      </w:r>
      <w:r w:rsidR="00760D18">
        <w:rPr>
          <w:lang w:val="en-GB"/>
        </w:rPr>
        <w:t xml:space="preserve"> about additional restrictions, applicable scenarios and updates (e.g. Proposal 5 in R1-2207789). In our view RAN1 should first establish a worki</w:t>
      </w:r>
      <w:r w:rsidR="00E701DE">
        <w:rPr>
          <w:lang w:val="en-GB"/>
        </w:rPr>
        <w:t>n</w:t>
      </w:r>
      <w:r w:rsidR="00760D18">
        <w:rPr>
          <w:lang w:val="en-GB"/>
        </w:rPr>
        <w:t>g functionality without extensive complexity, and then consider expecptions or additions to existing limitations and restrictions.</w:t>
      </w:r>
    </w:p>
    <w:p w14:paraId="501F3546" w14:textId="77777777" w:rsidR="00E701DE" w:rsidRDefault="00760D18" w:rsidP="006C0715">
      <w:pPr>
        <w:pStyle w:val="BodyText"/>
        <w:rPr>
          <w:lang w:val="en-GB"/>
        </w:rPr>
      </w:pPr>
      <w:r>
        <w:rPr>
          <w:lang w:val="en-GB"/>
        </w:rPr>
        <w:t>In our view, the existing UL</w:t>
      </w:r>
      <w:r w:rsidR="00AB2CA0">
        <w:rPr>
          <w:lang w:val="en-GB"/>
        </w:rPr>
        <w:t xml:space="preserve"> </w:t>
      </w:r>
      <w:r>
        <w:rPr>
          <w:lang w:val="en-GB"/>
        </w:rPr>
        <w:t xml:space="preserve">multiple channel access procedures provide a sufficient baseline. </w:t>
      </w:r>
      <w:r w:rsidR="00E701DE">
        <w:rPr>
          <w:lang w:val="en-GB"/>
        </w:rPr>
        <w:t>I</w:t>
      </w:r>
      <w:r>
        <w:rPr>
          <w:lang w:val="en-GB"/>
        </w:rPr>
        <w:t xml:space="preserve">n RAN1#110 discussion, </w:t>
      </w:r>
      <w:r w:rsidR="00E701DE">
        <w:rPr>
          <w:lang w:val="en-GB"/>
        </w:rPr>
        <w:t xml:space="preserve">several companies suggest to allow </w:t>
      </w:r>
      <w:r>
        <w:rPr>
          <w:lang w:val="en-GB"/>
        </w:rPr>
        <w:t xml:space="preserve">a </w:t>
      </w:r>
      <w:r w:rsidRPr="00760D18">
        <w:rPr>
          <w:lang w:val="en-GB"/>
        </w:rPr>
        <w:t xml:space="preserve">UE </w:t>
      </w:r>
      <w:r>
        <w:rPr>
          <w:lang w:val="en-GB"/>
        </w:rPr>
        <w:t>to</w:t>
      </w:r>
      <w:r w:rsidRPr="00760D18">
        <w:rPr>
          <w:lang w:val="en-GB"/>
        </w:rPr>
        <w:t xml:space="preserve"> transmit on channels where LBT sensing is a success</w:t>
      </w:r>
      <w:r>
        <w:rPr>
          <w:lang w:val="en-GB"/>
        </w:rPr>
        <w:t xml:space="preserve"> even if some channels are detected as bus</w:t>
      </w:r>
      <w:r w:rsidR="00E701DE">
        <w:rPr>
          <w:lang w:val="en-GB"/>
        </w:rPr>
        <w:t>y.</w:t>
      </w:r>
    </w:p>
    <w:p w14:paraId="327E3AA3" w14:textId="12AF6613" w:rsidR="00760D18" w:rsidRDefault="00E701DE" w:rsidP="006C0715">
      <w:pPr>
        <w:pStyle w:val="BodyText"/>
        <w:rPr>
          <w:lang w:val="en-GB"/>
        </w:rPr>
      </w:pPr>
      <w:r>
        <w:rPr>
          <w:lang w:val="en-GB"/>
        </w:rPr>
        <w:t>In our opinion, such a behaviour is technically reasonable if a Tx UE intends to transmit different transport blocks on multiple LBT channels and all LBT channels corresponding to a transport block pass the LBT.</w:t>
      </w:r>
    </w:p>
    <w:p w14:paraId="6DEB8F49" w14:textId="3A59D59F" w:rsidR="00E701DE" w:rsidRDefault="00E701DE" w:rsidP="006C0715">
      <w:pPr>
        <w:pStyle w:val="BodyText"/>
        <w:rPr>
          <w:lang w:val="en-GB"/>
        </w:rPr>
      </w:pPr>
      <w:r>
        <w:rPr>
          <w:lang w:val="en-GB"/>
        </w:rPr>
        <w:t>However, before discussing channel access for such a case, RAN1 needs to have a technical agreement whether transmissions of multiple TBs over different LBT channels in a slot is supported or not. In our understanidng, there is no similar behaviour supported in NR-U or SL-licensed so far.</w:t>
      </w:r>
    </w:p>
    <w:p w14:paraId="1998286B" w14:textId="1F3119DB" w:rsidR="00760D18" w:rsidRPr="00681730" w:rsidRDefault="00760D18" w:rsidP="0068173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681730">
        <w:rPr>
          <w:rFonts w:ascii="Times New Roman" w:eastAsia="+mn-ea" w:hAnsi="Times New Roman" w:cs="Times New Roman"/>
          <w:b/>
          <w:bCs/>
          <w:i/>
          <w:iCs/>
          <w:color w:val="000000"/>
          <w:kern w:val="24"/>
          <w:sz w:val="20"/>
          <w:szCs w:val="20"/>
          <w:u w:val="single"/>
        </w:rPr>
        <w:t>Proposal 1</w:t>
      </w:r>
      <w:r w:rsidR="00681730">
        <w:rPr>
          <w:rFonts w:ascii="Times New Roman" w:eastAsia="+mn-ea" w:hAnsi="Times New Roman" w:cs="Times New Roman"/>
          <w:b/>
          <w:bCs/>
          <w:i/>
          <w:iCs/>
          <w:color w:val="000000"/>
          <w:kern w:val="24"/>
          <w:sz w:val="20"/>
          <w:szCs w:val="20"/>
          <w:u w:val="single"/>
        </w:rPr>
        <w:t>3</w:t>
      </w:r>
      <w:r w:rsidRPr="00681730">
        <w:rPr>
          <w:rFonts w:ascii="Times New Roman" w:eastAsia="+mn-ea" w:hAnsi="Times New Roman" w:cs="Times New Roman"/>
          <w:b/>
          <w:bCs/>
          <w:i/>
          <w:iCs/>
          <w:color w:val="000000"/>
          <w:kern w:val="24"/>
          <w:sz w:val="20"/>
          <w:szCs w:val="20"/>
          <w:u w:val="single"/>
        </w:rPr>
        <w:t>: Support UL multiple channel access procedure from NR-U as in Rel-17 37.213</w:t>
      </w:r>
    </w:p>
    <w:p w14:paraId="1969F58E" w14:textId="2206498B" w:rsidR="00E701DE" w:rsidRPr="00681730" w:rsidRDefault="00E701DE" w:rsidP="0068173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681730">
        <w:rPr>
          <w:rFonts w:ascii="Times New Roman" w:eastAsia="+mn-ea" w:hAnsi="Times New Roman" w:cs="Times New Roman"/>
          <w:b/>
          <w:bCs/>
          <w:i/>
          <w:iCs/>
          <w:color w:val="000000"/>
          <w:kern w:val="24"/>
          <w:sz w:val="20"/>
          <w:szCs w:val="20"/>
          <w:u w:val="single"/>
        </w:rPr>
        <w:lastRenderedPageBreak/>
        <w:t>Proposal 1</w:t>
      </w:r>
      <w:r w:rsidR="00681730">
        <w:rPr>
          <w:rFonts w:ascii="Times New Roman" w:eastAsia="+mn-ea" w:hAnsi="Times New Roman" w:cs="Times New Roman"/>
          <w:b/>
          <w:bCs/>
          <w:i/>
          <w:iCs/>
          <w:color w:val="000000"/>
          <w:kern w:val="24"/>
          <w:sz w:val="20"/>
          <w:szCs w:val="20"/>
          <w:u w:val="single"/>
        </w:rPr>
        <w:t>4</w:t>
      </w:r>
      <w:r w:rsidRPr="00681730">
        <w:rPr>
          <w:rFonts w:ascii="Times New Roman" w:eastAsia="+mn-ea" w:hAnsi="Times New Roman" w:cs="Times New Roman"/>
          <w:b/>
          <w:bCs/>
          <w:i/>
          <w:iCs/>
          <w:color w:val="000000"/>
          <w:kern w:val="24"/>
          <w:sz w:val="20"/>
          <w:szCs w:val="20"/>
          <w:u w:val="single"/>
        </w:rPr>
        <w:t>: Before discussing relaxations of channel access behaviour for SL-U in case of multiple TB transmissions on a carrier, RAN1 needs to have the technical discussion and agreement whether such a new transmission behaviour will be supported.</w:t>
      </w:r>
    </w:p>
    <w:p w14:paraId="2EFC8375" w14:textId="77777777" w:rsidR="002275A9" w:rsidRPr="00760D18" w:rsidRDefault="002275A9" w:rsidP="006C0715">
      <w:pPr>
        <w:pStyle w:val="BodyText"/>
      </w:pPr>
    </w:p>
    <w:p w14:paraId="663ABDBC" w14:textId="39841C89" w:rsidR="00380BE5" w:rsidRPr="006C0715" w:rsidRDefault="00380BE5" w:rsidP="006C0715">
      <w:pPr>
        <w:pStyle w:val="BodyText"/>
      </w:pPr>
    </w:p>
    <w:p w14:paraId="3A655375" w14:textId="77777777" w:rsidR="00380BE5" w:rsidRDefault="00380BE5" w:rsidP="00380BE5">
      <w:pPr>
        <w:pStyle w:val="Heading2"/>
      </w:pPr>
      <w:r>
        <w:t xml:space="preserve">UE-to-UE COT sharing operation </w:t>
      </w:r>
    </w:p>
    <w:p w14:paraId="25BC3889" w14:textId="77777777" w:rsidR="00380BE5" w:rsidRDefault="00380BE5" w:rsidP="00380BE5">
      <w:pPr>
        <w:pStyle w:val="BodyText"/>
      </w:pPr>
    </w:p>
    <w:p w14:paraId="5C3F7556" w14:textId="0687E080" w:rsidR="00380BE5" w:rsidRPr="00380BE5" w:rsidRDefault="00380BE5" w:rsidP="00380BE5">
      <w:pPr>
        <w:pStyle w:val="BodyText"/>
      </w:pPr>
      <w:r w:rsidRPr="00380BE5">
        <w:t>Up to and including NR Release 17, NR-U has provided mechanisms to operate NR-RAT in unlicensed spectrum to share a channel occupancy time (COT) with another device. The benefit of such COT sharing is that a device initiating a COT can grant another device the right to use the initiated COT without requiring the target device to initiate its own COT. Initiating a COT usually involves a certain sensing time before transmissions are allowed, while starting transmission in a shared COT requires only a fraction of the sensing time required for initiating a COT.</w:t>
      </w:r>
    </w:p>
    <w:p w14:paraId="0985492D" w14:textId="77777777" w:rsidR="00380BE5" w:rsidRPr="00662517" w:rsidRDefault="00380BE5" w:rsidP="00380BE5">
      <w:pPr>
        <w:pStyle w:val="BodyText"/>
      </w:pPr>
      <w:r w:rsidRPr="00662517">
        <w:t>A COT is characterized by one or more of the following properties:</w:t>
      </w:r>
    </w:p>
    <w:p w14:paraId="5954EA29" w14:textId="77777777" w:rsidR="00380BE5" w:rsidRPr="00380BE5" w:rsidRDefault="00380BE5" w:rsidP="00380BE5">
      <w:pPr>
        <w:pStyle w:val="ListParagraph"/>
        <w:numPr>
          <w:ilvl w:val="0"/>
          <w:numId w:val="20"/>
        </w:numPr>
        <w:overflowPunct w:val="0"/>
        <w:autoSpaceDE w:val="0"/>
        <w:autoSpaceDN w:val="0"/>
        <w:adjustRightInd w:val="0"/>
        <w:spacing w:before="60" w:after="120"/>
        <w:ind w:leftChars="0"/>
        <w:contextualSpacing/>
        <w:textAlignment w:val="baseline"/>
        <w:rPr>
          <w:rFonts w:ascii="Times New Roman" w:hAnsi="Times New Roman" w:cs="Times New Roman"/>
          <w:sz w:val="20"/>
          <w:szCs w:val="20"/>
        </w:rPr>
      </w:pPr>
      <w:r w:rsidRPr="00380BE5">
        <w:rPr>
          <w:rFonts w:ascii="Times New Roman" w:hAnsi="Times New Roman" w:cs="Times New Roman"/>
          <w:sz w:val="20"/>
          <w:szCs w:val="20"/>
        </w:rPr>
        <w:t>COT Initiator: The node initiating a COT, e.g. following a channel access procedure as specififed in 3GPP TS 37.213</w:t>
      </w:r>
    </w:p>
    <w:p w14:paraId="29A8042F" w14:textId="77777777" w:rsidR="00380BE5" w:rsidRPr="00380BE5" w:rsidRDefault="00380BE5" w:rsidP="00380BE5">
      <w:pPr>
        <w:pStyle w:val="ListParagraph"/>
        <w:numPr>
          <w:ilvl w:val="0"/>
          <w:numId w:val="20"/>
        </w:numPr>
        <w:overflowPunct w:val="0"/>
        <w:autoSpaceDE w:val="0"/>
        <w:autoSpaceDN w:val="0"/>
        <w:adjustRightInd w:val="0"/>
        <w:spacing w:before="60" w:after="120"/>
        <w:ind w:leftChars="0"/>
        <w:contextualSpacing/>
        <w:textAlignment w:val="baseline"/>
        <w:rPr>
          <w:rFonts w:ascii="Times New Roman" w:hAnsi="Times New Roman" w:cs="Times New Roman"/>
          <w:sz w:val="20"/>
          <w:szCs w:val="20"/>
        </w:rPr>
      </w:pPr>
      <w:r w:rsidRPr="00380BE5">
        <w:rPr>
          <w:rFonts w:ascii="Times New Roman" w:hAnsi="Times New Roman" w:cs="Times New Roman"/>
          <w:sz w:val="20"/>
          <w:szCs w:val="20"/>
        </w:rPr>
        <w:t>Channel Access Priority Class: One or more classes that imply e.g. required sensing duration when initiating a COT, MCOT, e.g. as defined in 3GPP TS 37.213.</w:t>
      </w:r>
    </w:p>
    <w:p w14:paraId="2DB53805" w14:textId="77777777" w:rsidR="00380BE5" w:rsidRPr="00380BE5" w:rsidRDefault="00380BE5" w:rsidP="00380BE5">
      <w:pPr>
        <w:pStyle w:val="ListParagraph"/>
        <w:numPr>
          <w:ilvl w:val="0"/>
          <w:numId w:val="20"/>
        </w:numPr>
        <w:overflowPunct w:val="0"/>
        <w:autoSpaceDE w:val="0"/>
        <w:autoSpaceDN w:val="0"/>
        <w:adjustRightInd w:val="0"/>
        <w:spacing w:before="60" w:after="120"/>
        <w:ind w:leftChars="0"/>
        <w:contextualSpacing/>
        <w:textAlignment w:val="baseline"/>
        <w:rPr>
          <w:rFonts w:ascii="Times New Roman" w:hAnsi="Times New Roman" w:cs="Times New Roman"/>
          <w:sz w:val="20"/>
          <w:szCs w:val="20"/>
        </w:rPr>
      </w:pPr>
      <w:r w:rsidRPr="00380BE5">
        <w:rPr>
          <w:rFonts w:ascii="Times New Roman" w:hAnsi="Times New Roman" w:cs="Times New Roman"/>
          <w:sz w:val="20"/>
          <w:szCs w:val="20"/>
        </w:rPr>
        <w:t xml:space="preserve">MCOT: </w:t>
      </w:r>
      <w:bookmarkStart w:id="6" w:name="_Hlk100925354"/>
      <w:r w:rsidRPr="00380BE5">
        <w:rPr>
          <w:rFonts w:ascii="Times New Roman" w:hAnsi="Times New Roman" w:cs="Times New Roman"/>
          <w:sz w:val="20"/>
          <w:szCs w:val="20"/>
        </w:rPr>
        <w:t>The maximum COT duration of a channel occupancy, counted or measured from the first transmission after initiation of the COT.</w:t>
      </w:r>
    </w:p>
    <w:bookmarkEnd w:id="6"/>
    <w:p w14:paraId="1C32F375" w14:textId="77777777" w:rsidR="00380BE5" w:rsidRPr="00380BE5" w:rsidRDefault="00380BE5" w:rsidP="00380BE5">
      <w:pPr>
        <w:pStyle w:val="BodyText"/>
      </w:pPr>
      <w:r w:rsidRPr="00380BE5">
        <w:t>In the traditional cellular topology with a centralized scheduler, usually a gNB initiates a COT and may share this COT with one or more UEs; or a UE initiates a COT and could share this COT with a gNB. The sharing of a COT is indicated by a specific field in downlink control information or uplink control information. The COT sharing indicator may include means to indicate the maximum remaining duration of the COT being shared.</w:t>
      </w:r>
    </w:p>
    <w:p w14:paraId="69B28899" w14:textId="77777777" w:rsidR="00380BE5" w:rsidRPr="00380BE5" w:rsidRDefault="00380BE5" w:rsidP="00380BE5">
      <w:pPr>
        <w:pStyle w:val="BodyText"/>
      </w:pPr>
      <w:r w:rsidRPr="00380BE5">
        <w:t>The following definitions are used for the purpose of sidelink channel access mechanisms:</w:t>
      </w:r>
    </w:p>
    <w:p w14:paraId="012F3F29" w14:textId="77777777" w:rsidR="00380BE5" w:rsidRPr="00380BE5" w:rsidRDefault="00380BE5" w:rsidP="00380BE5">
      <w:pPr>
        <w:pStyle w:val="BodyText"/>
      </w:pPr>
      <w:r w:rsidRPr="00380BE5">
        <w:t>Tx UE: A UE that transmits a COT sharing indicator via a sidelink connection</w:t>
      </w:r>
    </w:p>
    <w:p w14:paraId="0C96B8C0" w14:textId="225392E2" w:rsidR="00380BE5" w:rsidRPr="00380BE5" w:rsidRDefault="00380BE5" w:rsidP="00380BE5">
      <w:pPr>
        <w:pStyle w:val="BodyText"/>
      </w:pPr>
      <w:r w:rsidRPr="00380BE5">
        <w:t xml:space="preserve">Rx UE: A UE that receives a COT sharing indicator via a sidelink connection </w:t>
      </w:r>
    </w:p>
    <w:p w14:paraId="0D3A61B7" w14:textId="77777777" w:rsidR="00380BE5" w:rsidRDefault="00380BE5" w:rsidP="00380BE5">
      <w:pPr>
        <w:pStyle w:val="BodyText"/>
      </w:pPr>
      <w:r>
        <w:t>COT Initiator: A sidelink device that initiated a channel occupancy e.g., Tx UE</w:t>
      </w:r>
    </w:p>
    <w:p w14:paraId="13C35ECC" w14:textId="77777777" w:rsidR="00380BE5" w:rsidRDefault="00380BE5" w:rsidP="00380BE5">
      <w:pPr>
        <w:pStyle w:val="BodyText"/>
      </w:pPr>
      <w:r>
        <w:t>COT Donor: A sidelink device that transmits a COT sharing indicator, e.g. a Tx UE. The COT Donor may be identical to the COT Initiator</w:t>
      </w:r>
    </w:p>
    <w:p w14:paraId="49186182" w14:textId="77777777" w:rsidR="00380BE5" w:rsidRPr="00504882" w:rsidRDefault="00380BE5" w:rsidP="00380BE5">
      <w:pPr>
        <w:pStyle w:val="BodyText"/>
      </w:pPr>
      <w:r>
        <w:t xml:space="preserve">COT Recipient: A sidelink device that receives a COT sharing indicator, e.g. a Rx UE </w:t>
      </w:r>
    </w:p>
    <w:p w14:paraId="47618C8F" w14:textId="7B875907" w:rsidR="00380BE5" w:rsidRDefault="00380BE5" w:rsidP="00380BE5">
      <w:pPr>
        <w:pStyle w:val="BodyText"/>
      </w:pPr>
      <w:r w:rsidRPr="00380BE5">
        <w:t xml:space="preserve">The UE-to-UE COT sharing principles should take into consideration that the COT initiator which is the Tx UE may have connection with multiple Rx UEs or destinations as shown in Figure 1. The COT initiator or the Tx UE could share its initiated COT with multiple Rx UEs or destinations. The COT recipient acting as Rx UEs after receiving the COT sharing indicator could transmit data or feedback in the remaining channel duration. </w:t>
      </w:r>
    </w:p>
    <w:p w14:paraId="126F4A5F" w14:textId="77777777" w:rsidR="00380BE5" w:rsidRPr="00380BE5" w:rsidRDefault="00380BE5" w:rsidP="00380BE5">
      <w:pPr>
        <w:pStyle w:val="BodyText"/>
      </w:pPr>
    </w:p>
    <w:p w14:paraId="045A2152" w14:textId="77777777" w:rsidR="00380BE5" w:rsidRDefault="00380BE5" w:rsidP="00380BE5">
      <w:pPr>
        <w:jc w:val="center"/>
      </w:pPr>
      <w:r>
        <w:object w:dxaOrig="4344" w:dyaOrig="1812" w14:anchorId="4AA516B7">
          <v:shape id="_x0000_i1047" type="#_x0000_t75" style="width:258pt;height:108pt" o:ole="">
            <v:imagedata r:id="rId43" o:title=""/>
          </v:shape>
          <o:OLEObject Type="Embed" ProgID="Visio.Drawing.15" ShapeID="_x0000_i1047" DrawAspect="Content" ObjectID="_1725992056" r:id="rId44"/>
        </w:object>
      </w:r>
    </w:p>
    <w:p w14:paraId="10BCF253" w14:textId="4D2520D2" w:rsidR="00380BE5" w:rsidRPr="00504882" w:rsidRDefault="00380BE5" w:rsidP="00380BE5">
      <w:pPr>
        <w:pStyle w:val="Caption"/>
        <w:jc w:val="center"/>
        <w:rPr>
          <w:rFonts w:eastAsia="Times New Roman"/>
          <w:sz w:val="24"/>
          <w:szCs w:val="24"/>
        </w:rPr>
      </w:pPr>
      <w:r>
        <w:t>Figure 5: UE to UE COT sharing</w:t>
      </w:r>
    </w:p>
    <w:p w14:paraId="3B75D6B0" w14:textId="77777777" w:rsidR="00380BE5" w:rsidRDefault="00380BE5" w:rsidP="00380BE5">
      <w:pPr>
        <w:pStyle w:val="BodyText"/>
      </w:pPr>
    </w:p>
    <w:p w14:paraId="4F9184EB" w14:textId="4FD2DE40" w:rsidR="0086500D" w:rsidRDefault="00380BE5" w:rsidP="00380BE5">
      <w:pPr>
        <w:pStyle w:val="BodyText"/>
        <w:rPr>
          <w:lang w:val="en-US"/>
        </w:rPr>
      </w:pPr>
      <w:r w:rsidRPr="00380BE5">
        <w:t xml:space="preserve">The UE-to-UE COT sharing operation requires new SCI format to incorporate COT sharing indicator similar to DCI format 2_0 and further discussions are necessary how to transmit the COT sharing indicator to multiple Rx UEs or destination ids. The COT </w:t>
      </w:r>
      <w:r w:rsidRPr="00D520C0">
        <w:t>sharing</w:t>
      </w:r>
      <w:r w:rsidRPr="00ED34A9">
        <w:t xml:space="preserve"> </w:t>
      </w:r>
      <w:r w:rsidRPr="00D520C0">
        <w:t xml:space="preserve">indictor should include the remaining duration in terms of number of physical slots, </w:t>
      </w:r>
      <w:r w:rsidRPr="00D520C0">
        <w:lastRenderedPageBreak/>
        <w:t>channel access priority value, destination id of the COT recipient. If there</w:t>
      </w:r>
      <w:r w:rsidRPr="00380BE5">
        <w:t xml:space="preserve"> are more than one COT recipients, then RAN1 should discuss how to signal more than one destination ids along with the COT sharing indicator. </w:t>
      </w:r>
      <w:r w:rsidR="00880669">
        <w:rPr>
          <w:lang w:val="en-US"/>
        </w:rPr>
        <w:t>H</w:t>
      </w:r>
      <w:r w:rsidR="00EB0187" w:rsidRPr="00B6779A">
        <w:t xml:space="preserve">ence how to define </w:t>
      </w:r>
      <w:r w:rsidR="0086500D" w:rsidRPr="00A33E8C">
        <w:rPr>
          <w:lang w:val="en-US"/>
        </w:rPr>
        <w:t>on</w:t>
      </w:r>
      <w:r w:rsidR="0086500D">
        <w:rPr>
          <w:lang w:val="en-US"/>
        </w:rPr>
        <w:t>e to one and one to many</w:t>
      </w:r>
      <w:r w:rsidR="00EB0187" w:rsidRPr="00B6779A">
        <w:t xml:space="preserve"> of the SCI format carrying the COT sharing indicator should be discussed in RAN1</w:t>
      </w:r>
      <w:r w:rsidR="00EB0187" w:rsidRPr="00A33E8C">
        <w:rPr>
          <w:lang w:val="en-US"/>
        </w:rPr>
        <w:t>.</w:t>
      </w:r>
      <w:r w:rsidR="0086500D">
        <w:rPr>
          <w:lang w:val="en-US"/>
        </w:rPr>
        <w:t xml:space="preserve"> </w:t>
      </w:r>
    </w:p>
    <w:p w14:paraId="5D8AD3E2" w14:textId="77777777" w:rsidR="00A33E8C" w:rsidRDefault="004E636A" w:rsidP="00A33E8C">
      <w:pPr>
        <w:pStyle w:val="BodyText"/>
      </w:pPr>
      <w:r w:rsidRPr="00A33E8C">
        <w:t xml:space="preserve">COT initiator can share the COT sharing indicator together with a destination </w:t>
      </w:r>
      <w:r w:rsidR="00880669" w:rsidRPr="00A33E8C">
        <w:t>ID</w:t>
      </w:r>
      <w:r w:rsidRPr="00A33E8C">
        <w:t xml:space="preserve"> and in such case COT recipient may transmit a unicast PSSCH towards the COT initiator in the shared COT. However, we need to restrict the COT recipient for </w:t>
      </w:r>
      <w:r w:rsidR="00ED34A9" w:rsidRPr="00A33E8C">
        <w:t xml:space="preserve">one-to-many case, </w:t>
      </w:r>
      <w:r w:rsidRPr="00A33E8C">
        <w:t>to limit the collision in the shared COT. COT sharing indicator can be restricted using a range value i.e., communication range</w:t>
      </w:r>
      <w:r w:rsidR="00CF6ED9" w:rsidRPr="00A33E8C">
        <w:t xml:space="preserve"> UEs within the communication range may become the COT recipient which further utilizes the remaining channel occupancy duration indicated in the COT sharing indicator for transmission. UEs outside the communication range does not become the COT recipient which means UEs outside the communication range may not use the remaining channel occupancy duration for transmission.</w:t>
      </w:r>
      <w:r w:rsidRPr="00A33E8C">
        <w:t xml:space="preserve">  </w:t>
      </w:r>
    </w:p>
    <w:p w14:paraId="65D6096F" w14:textId="47464431"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w:t>
      </w:r>
      <w:r w:rsidR="00880669">
        <w:rPr>
          <w:rFonts w:ascii="Times New Roman" w:eastAsia="+mn-ea" w:hAnsi="Times New Roman" w:cs="Times New Roman"/>
          <w:b/>
          <w:bCs/>
          <w:i/>
          <w:iCs/>
          <w:color w:val="000000"/>
          <w:kern w:val="24"/>
          <w:sz w:val="20"/>
          <w:szCs w:val="20"/>
          <w:u w:val="single"/>
        </w:rPr>
        <w:t>1</w:t>
      </w:r>
      <w:r w:rsidR="00681730">
        <w:rPr>
          <w:rFonts w:ascii="Times New Roman" w:eastAsia="+mn-ea" w:hAnsi="Times New Roman" w:cs="Times New Roman"/>
          <w:b/>
          <w:bCs/>
          <w:i/>
          <w:iCs/>
          <w:color w:val="000000"/>
          <w:kern w:val="24"/>
          <w:sz w:val="20"/>
          <w:szCs w:val="20"/>
          <w:u w:val="single"/>
        </w:rPr>
        <w:t>5</w:t>
      </w:r>
      <w:r w:rsidRPr="00380BE5">
        <w:rPr>
          <w:rFonts w:ascii="Times New Roman" w:eastAsia="+mn-ea" w:hAnsi="Times New Roman" w:cs="Times New Roman"/>
          <w:b/>
          <w:bCs/>
          <w:i/>
          <w:iCs/>
          <w:color w:val="000000"/>
          <w:kern w:val="24"/>
          <w:sz w:val="20"/>
          <w:szCs w:val="20"/>
          <w:u w:val="single"/>
        </w:rPr>
        <w:t xml:space="preserve">: </w:t>
      </w:r>
      <w:r w:rsidR="00EB0187">
        <w:rPr>
          <w:rFonts w:ascii="Times New Roman" w:eastAsia="+mn-ea" w:hAnsi="Times New Roman" w:cs="Times New Roman"/>
          <w:b/>
          <w:bCs/>
          <w:i/>
          <w:iCs/>
          <w:color w:val="000000"/>
          <w:kern w:val="24"/>
          <w:sz w:val="20"/>
          <w:szCs w:val="20"/>
          <w:u w:val="single"/>
        </w:rPr>
        <w:t xml:space="preserve">COT sharing indication includes </w:t>
      </w:r>
      <w:r w:rsidR="00EB0187" w:rsidRPr="00EB0187">
        <w:rPr>
          <w:rFonts w:ascii="Times New Roman" w:eastAsia="+mn-ea" w:hAnsi="Times New Roman" w:cs="Times New Roman"/>
          <w:b/>
          <w:bCs/>
          <w:i/>
          <w:iCs/>
          <w:color w:val="000000"/>
          <w:kern w:val="24"/>
          <w:sz w:val="20"/>
          <w:szCs w:val="20"/>
          <w:u w:val="single"/>
        </w:rPr>
        <w:t>remaining duration in terms of number of physical slots, channel access priority value, destination id</w:t>
      </w:r>
      <w:r w:rsidR="0086500D">
        <w:rPr>
          <w:rFonts w:ascii="Times New Roman" w:eastAsia="+mn-ea" w:hAnsi="Times New Roman" w:cs="Times New Roman"/>
          <w:b/>
          <w:bCs/>
          <w:i/>
          <w:iCs/>
          <w:color w:val="000000"/>
          <w:kern w:val="24"/>
          <w:sz w:val="20"/>
          <w:szCs w:val="20"/>
          <w:u w:val="single"/>
        </w:rPr>
        <w:t xml:space="preserve"> </w:t>
      </w:r>
      <w:r w:rsidR="00327FE2">
        <w:rPr>
          <w:rFonts w:ascii="Times New Roman" w:eastAsia="+mn-ea" w:hAnsi="Times New Roman" w:cs="Times New Roman"/>
          <w:b/>
          <w:bCs/>
          <w:i/>
          <w:iCs/>
          <w:color w:val="000000"/>
          <w:kern w:val="24"/>
          <w:sz w:val="20"/>
          <w:szCs w:val="20"/>
          <w:u w:val="single"/>
        </w:rPr>
        <w:t>and/</w:t>
      </w:r>
      <w:r w:rsidR="0086500D">
        <w:rPr>
          <w:rFonts w:ascii="Times New Roman" w:eastAsia="+mn-ea" w:hAnsi="Times New Roman" w:cs="Times New Roman"/>
          <w:b/>
          <w:bCs/>
          <w:i/>
          <w:iCs/>
          <w:color w:val="000000"/>
          <w:kern w:val="24"/>
          <w:sz w:val="20"/>
          <w:szCs w:val="20"/>
          <w:u w:val="single"/>
        </w:rPr>
        <w:t>or range</w:t>
      </w:r>
      <w:r w:rsidR="00EB0187" w:rsidRPr="00EB0187">
        <w:rPr>
          <w:rFonts w:ascii="Times New Roman" w:eastAsia="+mn-ea" w:hAnsi="Times New Roman" w:cs="Times New Roman"/>
          <w:b/>
          <w:bCs/>
          <w:i/>
          <w:iCs/>
          <w:color w:val="000000"/>
          <w:kern w:val="24"/>
          <w:sz w:val="20"/>
          <w:szCs w:val="20"/>
          <w:u w:val="single"/>
        </w:rPr>
        <w:t xml:space="preserve"> of the COT recipient</w:t>
      </w:r>
    </w:p>
    <w:p w14:paraId="15D7AE90" w14:textId="02575F4F" w:rsidR="00EB0187" w:rsidRDefault="00EB0187"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1</w:t>
      </w:r>
      <w:r w:rsidR="00681730">
        <w:rPr>
          <w:rFonts w:ascii="Times New Roman" w:eastAsia="+mn-ea" w:hAnsi="Times New Roman" w:cs="Times New Roman"/>
          <w:b/>
          <w:bCs/>
          <w:i/>
          <w:iCs/>
          <w:color w:val="000000"/>
          <w:kern w:val="24"/>
          <w:sz w:val="20"/>
          <w:szCs w:val="20"/>
          <w:u w:val="single"/>
        </w:rPr>
        <w:t>6</w:t>
      </w:r>
      <w:r>
        <w:rPr>
          <w:rFonts w:ascii="Times New Roman" w:eastAsia="+mn-ea" w:hAnsi="Times New Roman" w:cs="Times New Roman"/>
          <w:b/>
          <w:bCs/>
          <w:i/>
          <w:iCs/>
          <w:color w:val="000000"/>
          <w:kern w:val="24"/>
          <w:sz w:val="20"/>
          <w:szCs w:val="20"/>
          <w:u w:val="single"/>
        </w:rPr>
        <w:t>: COT initiator should have the flexibility to transmit COT sharing indicator to a one-one or one to many UEs/destinations</w:t>
      </w:r>
    </w:p>
    <w:p w14:paraId="40286142"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5F34CF19" w14:textId="51AAFDCE" w:rsidR="00380BE5" w:rsidRDefault="00380BE5" w:rsidP="00380BE5">
      <w:pPr>
        <w:pStyle w:val="BodyText"/>
      </w:pPr>
      <w:r w:rsidRPr="00B6779A">
        <w:t xml:space="preserve">COT initiator which is the Tx UE should have the flexibility to transmit unicast, groupcast or broadcast data in the initiated COT and if there are no more data to be transmitted within the COT may share the initiated COT to multiple Rx UEs or destination ids. COT recipient should have the flexibility to use the shared COT to transmit unicast, groupcast, broadcast data. </w:t>
      </w:r>
    </w:p>
    <w:p w14:paraId="6B077597" w14:textId="77777777" w:rsidR="00EB0187" w:rsidRDefault="00EB0187" w:rsidP="00380BE5">
      <w:pPr>
        <w:pStyle w:val="BodyText"/>
      </w:pPr>
    </w:p>
    <w:p w14:paraId="07F9E1E1" w14:textId="4D61E99D"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1</w:t>
      </w:r>
      <w:r w:rsidR="00681730">
        <w:rPr>
          <w:rFonts w:ascii="Times New Roman" w:eastAsia="+mn-ea" w:hAnsi="Times New Roman" w:cs="Times New Roman"/>
          <w:b/>
          <w:bCs/>
          <w:i/>
          <w:iCs/>
          <w:color w:val="000000"/>
          <w:kern w:val="24"/>
          <w:sz w:val="20"/>
          <w:szCs w:val="20"/>
          <w:u w:val="single"/>
        </w:rPr>
        <w:t>7</w:t>
      </w:r>
      <w:r w:rsidRPr="00380BE5">
        <w:rPr>
          <w:rFonts w:ascii="Times New Roman" w:eastAsia="+mn-ea" w:hAnsi="Times New Roman" w:cs="Times New Roman"/>
          <w:b/>
          <w:bCs/>
          <w:i/>
          <w:iCs/>
          <w:color w:val="000000"/>
          <w:kern w:val="24"/>
          <w:sz w:val="20"/>
          <w:szCs w:val="20"/>
          <w:u w:val="single"/>
        </w:rPr>
        <w:t xml:space="preserve">: COT recipient should have the flexibility to use the shared COT to transmit unicast, groupcast, broadcast data </w:t>
      </w:r>
    </w:p>
    <w:p w14:paraId="0F309D60" w14:textId="77777777" w:rsidR="00380BE5" w:rsidRDefault="00380BE5" w:rsidP="00380BE5">
      <w:pPr>
        <w:pStyle w:val="BodyText"/>
      </w:pPr>
    </w:p>
    <w:p w14:paraId="185B2884" w14:textId="2AEFBCE0" w:rsidR="00380BE5" w:rsidRPr="00B6779A" w:rsidRDefault="00380BE5" w:rsidP="00380BE5">
      <w:pPr>
        <w:pStyle w:val="BodyText"/>
      </w:pPr>
      <w:r w:rsidRPr="00B6779A">
        <w:t xml:space="preserve">COT recipient </w:t>
      </w:r>
      <w:r w:rsidR="00E43131" w:rsidRPr="00A33E8C">
        <w:rPr>
          <w:lang w:val="en-US"/>
        </w:rPr>
        <w:t>ne</w:t>
      </w:r>
      <w:r w:rsidR="00E43131">
        <w:rPr>
          <w:lang w:val="en-US"/>
        </w:rPr>
        <w:t xml:space="preserve">ed to </w:t>
      </w:r>
      <w:r w:rsidR="00E43131" w:rsidRPr="00A33E8C">
        <w:rPr>
          <w:lang w:val="en-US"/>
        </w:rPr>
        <w:t>tr</w:t>
      </w:r>
      <w:r w:rsidR="00E43131">
        <w:rPr>
          <w:lang w:val="en-US"/>
        </w:rPr>
        <w:t>ansmit</w:t>
      </w:r>
      <w:r w:rsidR="00E43131" w:rsidRPr="00B6779A">
        <w:t xml:space="preserve"> </w:t>
      </w:r>
      <w:r w:rsidRPr="00B6779A">
        <w:t xml:space="preserve">PSCCH/PSSCH, PSFCH in the shared COT to any UEs or destination ids unless the one of the transmissions is made to UE or source-destination id that provided the COT sharing indicator in that shared COT </w:t>
      </w:r>
    </w:p>
    <w:p w14:paraId="7C2E1722" w14:textId="3D960A8D"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1</w:t>
      </w:r>
      <w:r w:rsidR="00681730">
        <w:rPr>
          <w:rFonts w:ascii="Times New Roman" w:eastAsia="+mn-ea" w:hAnsi="Times New Roman" w:cs="Times New Roman"/>
          <w:b/>
          <w:bCs/>
          <w:i/>
          <w:iCs/>
          <w:color w:val="000000"/>
          <w:kern w:val="24"/>
          <w:sz w:val="20"/>
          <w:szCs w:val="20"/>
          <w:u w:val="single"/>
        </w:rPr>
        <w:t>8</w:t>
      </w:r>
      <w:r w:rsidRPr="00380BE5">
        <w:rPr>
          <w:rFonts w:ascii="Times New Roman" w:eastAsia="+mn-ea" w:hAnsi="Times New Roman" w:cs="Times New Roman"/>
          <w:b/>
          <w:bCs/>
          <w:i/>
          <w:iCs/>
          <w:color w:val="000000"/>
          <w:kern w:val="24"/>
          <w:sz w:val="20"/>
          <w:szCs w:val="20"/>
          <w:u w:val="single"/>
        </w:rPr>
        <w:t xml:space="preserve">: COT recipient could use the shared COT to make PSSCH, PSFCH transmissions to any UEs or destination ids with a restriction that atleast one transmissions is to be made to the UE or source-destination id that provided the COT sharing indicator </w:t>
      </w:r>
    </w:p>
    <w:p w14:paraId="6BB72378" w14:textId="77777777" w:rsidR="00380BE5" w:rsidRDefault="00380BE5" w:rsidP="00380BE5">
      <w:pPr>
        <w:pStyle w:val="BodyText"/>
      </w:pPr>
    </w:p>
    <w:p w14:paraId="0F3A62A0" w14:textId="52489F4A" w:rsidR="00380BE5" w:rsidRDefault="00380BE5" w:rsidP="00380BE5">
      <w:pPr>
        <w:pStyle w:val="BodyText"/>
      </w:pPr>
      <w:r w:rsidRPr="00B6779A">
        <w:t xml:space="preserve">In a sidelink environment, a UE have sidelink connections to and from multiple UEs. Consequently, a UE may receive COT sharing indicators from </w:t>
      </w:r>
      <w:r>
        <w:t>many COT donor</w:t>
      </w:r>
      <w:r w:rsidRPr="00B6779A">
        <w:t xml:space="preserve"> UEs. Since each of the indicated shared COTs results from a different </w:t>
      </w:r>
      <w:r>
        <w:t>donor</w:t>
      </w:r>
      <w:r w:rsidRPr="00B6779A">
        <w:t xml:space="preserve"> device that may have e.g. remaining COT durations, </w:t>
      </w:r>
      <w:r>
        <w:t xml:space="preserve">priority class. COT recipient </w:t>
      </w:r>
      <w:r w:rsidRPr="00B6779A">
        <w:t>needs to select which of the indicated shared COTs to use and to abide by the rules pertaining to the selected COT.</w:t>
      </w:r>
    </w:p>
    <w:p w14:paraId="4DE63D8F" w14:textId="1601D5B2"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1</w:t>
      </w:r>
      <w:r w:rsidR="00681730">
        <w:rPr>
          <w:rFonts w:ascii="Times New Roman" w:eastAsia="+mn-ea" w:hAnsi="Times New Roman" w:cs="Times New Roman"/>
          <w:b/>
          <w:bCs/>
          <w:i/>
          <w:iCs/>
          <w:color w:val="000000"/>
          <w:kern w:val="24"/>
          <w:sz w:val="20"/>
          <w:szCs w:val="20"/>
          <w:u w:val="single"/>
        </w:rPr>
        <w:t>9</w:t>
      </w:r>
      <w:r w:rsidRPr="00380BE5">
        <w:rPr>
          <w:rFonts w:ascii="Times New Roman" w:eastAsia="+mn-ea" w:hAnsi="Times New Roman" w:cs="Times New Roman"/>
          <w:b/>
          <w:bCs/>
          <w:i/>
          <w:iCs/>
          <w:color w:val="000000"/>
          <w:kern w:val="24"/>
          <w:sz w:val="20"/>
          <w:szCs w:val="20"/>
          <w:u w:val="single"/>
        </w:rPr>
        <w:t xml:space="preserve">: RAN1 needs to study mechanism for COT recipient to select one COT sharing indicator/COT donor </w:t>
      </w:r>
    </w:p>
    <w:p w14:paraId="73784C0B"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4D481F3" w14:textId="77777777" w:rsidR="00380BE5" w:rsidRDefault="00380BE5" w:rsidP="00380BE5">
      <w:pPr>
        <w:pStyle w:val="Heading2"/>
        <w:rPr>
          <w:lang w:eastAsia="zh-CN"/>
        </w:rPr>
      </w:pPr>
      <w:r>
        <w:rPr>
          <w:lang w:eastAsia="zh-CN"/>
        </w:rPr>
        <w:t xml:space="preserve">Short control signalling exemption  </w:t>
      </w:r>
    </w:p>
    <w:p w14:paraId="378A0971" w14:textId="77777777" w:rsidR="00380BE5" w:rsidRDefault="00380BE5" w:rsidP="00380BE5">
      <w:pPr>
        <w:pStyle w:val="BodyText"/>
      </w:pPr>
      <w:r>
        <w:t xml:space="preserve">The short control signalling exemption is defined in NR-U to exempt transmission by certain physical channel or reference signal from performing any LBT procedures. However, there are rules defined that any such transmission performed under the short control signalling exemption should not exceed </w:t>
      </w:r>
      <w:r w:rsidRPr="00380BE5">
        <w:t>5ms duration in a 100ms window</w:t>
      </w:r>
      <w:r>
        <w:t xml:space="preserve"> for 5GHz carrier. RAN1 should discuss the physical channels under this rule such as SL-SSB transmission by the Sync Ref UE, PSFCH transmission etc., </w:t>
      </w:r>
    </w:p>
    <w:p w14:paraId="4598F670" w14:textId="1D4B003F"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681730">
        <w:rPr>
          <w:rFonts w:ascii="Times New Roman" w:eastAsia="+mn-ea" w:hAnsi="Times New Roman" w:cs="Times New Roman"/>
          <w:b/>
          <w:bCs/>
          <w:i/>
          <w:iCs/>
          <w:color w:val="000000"/>
          <w:kern w:val="24"/>
          <w:sz w:val="20"/>
          <w:szCs w:val="20"/>
          <w:u w:val="single"/>
        </w:rPr>
        <w:t>20</w:t>
      </w:r>
      <w:r w:rsidRPr="00380BE5">
        <w:rPr>
          <w:rFonts w:ascii="Times New Roman" w:eastAsia="+mn-ea" w:hAnsi="Times New Roman" w:cs="Times New Roman"/>
          <w:b/>
          <w:bCs/>
          <w:i/>
          <w:iCs/>
          <w:color w:val="000000"/>
          <w:kern w:val="24"/>
          <w:sz w:val="20"/>
          <w:szCs w:val="20"/>
          <w:u w:val="single"/>
        </w:rPr>
        <w:t xml:space="preserve">: RAN1 support short control signalling exemption in sidelink unlicensed operation for S-SSB, PSFCH </w:t>
      </w:r>
    </w:p>
    <w:p w14:paraId="47B1C642"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832FDFB" w14:textId="77777777" w:rsidR="00380BE5" w:rsidRDefault="00380BE5" w:rsidP="00380BE5">
      <w:pPr>
        <w:pStyle w:val="Heading2"/>
        <w:rPr>
          <w:lang w:eastAsia="zh-CN"/>
        </w:rPr>
      </w:pPr>
      <w:r>
        <w:rPr>
          <w:lang w:eastAsia="zh-CN"/>
        </w:rPr>
        <w:t xml:space="preserve">Contention window size update </w:t>
      </w:r>
    </w:p>
    <w:p w14:paraId="7746511C" w14:textId="64BC1DC0" w:rsidR="00380BE5" w:rsidRDefault="00380BE5" w:rsidP="00380BE5">
      <w:pPr>
        <w:pStyle w:val="BodyText"/>
      </w:pPr>
      <w:r w:rsidRPr="00380BE5">
        <w:t xml:space="preserve">The type-1 channel access describing contention window size (CWS) adaptation procedure described in 3GPP TS 37.213 for NR-U specifically designed for unicast PDSCH, PUSCH transmission. The NR-U contention window size </w:t>
      </w:r>
      <w:r w:rsidRPr="00380BE5">
        <w:lastRenderedPageBreak/>
        <w:t xml:space="preserve">adaptation procedure considers amount of HARQ feedback reception from TB, CBG based transmission within the reference duration. However, such CWS adjustment procedure should be studied for sidelink channel access mechanism considering unicast, groupcast and broadcast type of PSCCH/PSSCH transmission, transmission in a reference duration to multiple Rx UEs/destination ids and different HARQ feedback types especially for groupcast type e.g., Groupcast HARQ feedback option 1 (common NACK), Groupcast HARQ feedback option 2(dedicated ACK/NACK) defined in NR Rel16 Sidelink. </w:t>
      </w:r>
    </w:p>
    <w:p w14:paraId="388313E1" w14:textId="1FCE4238" w:rsidR="00DE2A7F" w:rsidRPr="00A33E8C" w:rsidRDefault="00DE2A7F" w:rsidP="00A33E8C">
      <w:pPr>
        <w:pStyle w:val="BodyText"/>
      </w:pPr>
      <w:r w:rsidRPr="00A33E8C">
        <w:t xml:space="preserve">Existing uplink </w:t>
      </w:r>
      <w:r w:rsidR="00FA6144" w:rsidRPr="00A33E8C">
        <w:t xml:space="preserve">containing </w:t>
      </w:r>
      <w:r w:rsidR="00A2045B" w:rsidRPr="00A33E8C">
        <w:t>n</w:t>
      </w:r>
      <w:r w:rsidRPr="00A33E8C">
        <w:t>o HARQ</w:t>
      </w:r>
      <w:r w:rsidR="00FA6144" w:rsidRPr="00A33E8C">
        <w:t>-A</w:t>
      </w:r>
      <w:r w:rsidR="00880669">
        <w:rPr>
          <w:lang w:val="en-US"/>
        </w:rPr>
        <w:t>CK</w:t>
      </w:r>
      <w:r w:rsidR="00FA6144" w:rsidRPr="00A33E8C">
        <w:t xml:space="preserve"> </w:t>
      </w:r>
      <w:r w:rsidRPr="00A33E8C">
        <w:t>procedure for the contention window size update may not be suitable for sidelink considering that in sidelink there are different reasons for the lack of HARQ feedback e.g., groupcast option-1</w:t>
      </w:r>
      <w:r w:rsidR="00FA6144" w:rsidRPr="00A33E8C">
        <w:t>.</w:t>
      </w:r>
    </w:p>
    <w:p w14:paraId="2469AA6A" w14:textId="77777777" w:rsidR="00DE2A7F" w:rsidRPr="00A33E8C" w:rsidRDefault="00DE2A7F" w:rsidP="00380BE5">
      <w:pPr>
        <w:pStyle w:val="BodyText"/>
        <w:rPr>
          <w:lang w:val="en-US"/>
        </w:rPr>
      </w:pPr>
    </w:p>
    <w:p w14:paraId="5FA29196" w14:textId="46CF1BEF" w:rsidR="00380BE5" w:rsidRPr="00A33E8C" w:rsidRDefault="00145BCA" w:rsidP="00A33E8C">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Observation </w:t>
      </w:r>
      <w:r w:rsidR="00880669" w:rsidRPr="00A33E8C">
        <w:rPr>
          <w:rFonts w:ascii="Times New Roman" w:eastAsia="+mn-ea" w:hAnsi="Times New Roman" w:cs="Times New Roman"/>
          <w:b/>
          <w:bCs/>
          <w:i/>
          <w:iCs/>
          <w:color w:val="000000"/>
          <w:kern w:val="24"/>
          <w:sz w:val="20"/>
          <w:szCs w:val="20"/>
          <w:u w:val="single"/>
        </w:rPr>
        <w:t>1</w:t>
      </w:r>
      <w:r w:rsidRPr="00A33E8C">
        <w:rPr>
          <w:rFonts w:ascii="Times New Roman" w:eastAsia="+mn-ea" w:hAnsi="Times New Roman" w:cs="Times New Roman"/>
          <w:b/>
          <w:bCs/>
          <w:i/>
          <w:iCs/>
          <w:color w:val="000000"/>
          <w:kern w:val="24"/>
          <w:sz w:val="20"/>
          <w:szCs w:val="20"/>
          <w:u w:val="single"/>
        </w:rPr>
        <w:t xml:space="preserve">: The </w:t>
      </w:r>
      <w:r w:rsidR="00860BDD" w:rsidRPr="00A33E8C">
        <w:rPr>
          <w:rFonts w:ascii="Times New Roman" w:eastAsia="+mn-ea" w:hAnsi="Times New Roman" w:cs="Times New Roman"/>
          <w:b/>
          <w:bCs/>
          <w:i/>
          <w:iCs/>
          <w:color w:val="000000"/>
          <w:kern w:val="24"/>
          <w:sz w:val="20"/>
          <w:szCs w:val="20"/>
          <w:u w:val="single"/>
        </w:rPr>
        <w:t xml:space="preserve">uplink contention window size update procedure cannot be directly applied to sidelink </w:t>
      </w:r>
    </w:p>
    <w:p w14:paraId="7AB80F6A" w14:textId="5FF53854"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681730">
        <w:rPr>
          <w:rFonts w:ascii="Times New Roman" w:eastAsia="+mn-ea" w:hAnsi="Times New Roman" w:cs="Times New Roman"/>
          <w:b/>
          <w:bCs/>
          <w:i/>
          <w:iCs/>
          <w:color w:val="000000"/>
          <w:kern w:val="24"/>
          <w:sz w:val="20"/>
          <w:szCs w:val="20"/>
          <w:u w:val="single"/>
        </w:rPr>
        <w:t>21</w:t>
      </w:r>
      <w:r w:rsidRPr="00380BE5">
        <w:rPr>
          <w:rFonts w:ascii="Times New Roman" w:eastAsia="+mn-ea" w:hAnsi="Times New Roman" w:cs="Times New Roman"/>
          <w:b/>
          <w:bCs/>
          <w:i/>
          <w:iCs/>
          <w:color w:val="000000"/>
          <w:kern w:val="24"/>
          <w:sz w:val="20"/>
          <w:szCs w:val="20"/>
          <w:u w:val="single"/>
        </w:rPr>
        <w:t>: RAN1 to study on the contention window size update procedure considering different cast type, transmission/reception from multiple Rx UEs or destinations and different HARQ feedback types</w:t>
      </w:r>
      <w:r w:rsidR="00B677A9">
        <w:rPr>
          <w:rFonts w:ascii="Times New Roman" w:eastAsia="+mn-ea" w:hAnsi="Times New Roman" w:cs="Times New Roman"/>
          <w:b/>
          <w:bCs/>
          <w:i/>
          <w:iCs/>
          <w:color w:val="000000"/>
          <w:kern w:val="24"/>
          <w:sz w:val="20"/>
          <w:szCs w:val="20"/>
          <w:u w:val="single"/>
        </w:rPr>
        <w:t xml:space="preserve"> e.g., groupcast option-1</w:t>
      </w:r>
    </w:p>
    <w:p w14:paraId="34F1DE79" w14:textId="5538083B" w:rsidR="00380BE5" w:rsidRDefault="00380BE5"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27AE4830" w14:textId="77777777"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0AA886D2" w14:textId="77777777" w:rsidR="00380BE5" w:rsidRDefault="00380BE5" w:rsidP="00380BE5">
      <w:pPr>
        <w:pStyle w:val="Heading2"/>
        <w:rPr>
          <w:lang w:eastAsia="zh-CN"/>
        </w:rPr>
      </w:pPr>
      <w:r>
        <w:rPr>
          <w:lang w:eastAsia="zh-CN"/>
        </w:rPr>
        <w:t>One shot SL HARQ feedback</w:t>
      </w:r>
    </w:p>
    <w:p w14:paraId="7E48CFDF" w14:textId="6414171A" w:rsidR="00380BE5" w:rsidRPr="00062538" w:rsidRDefault="00380BE5" w:rsidP="00380BE5">
      <w:pPr>
        <w:pStyle w:val="BodyText"/>
      </w:pPr>
      <w:r w:rsidRPr="00062538">
        <w:t>In Rel</w:t>
      </w:r>
      <w:r>
        <w:t>-</w:t>
      </w:r>
      <w:r w:rsidRPr="00062538">
        <w:t xml:space="preserve">16, as part of the NR-U feature one shot HARQ feedback report transmission with UE transmitting a </w:t>
      </w:r>
      <w:r w:rsidRPr="00380BE5">
        <w:t xml:space="preserve">snapshot of HARQ-ACK report of </w:t>
      </w:r>
      <w:r w:rsidRPr="00062538">
        <w:t xml:space="preserve">all HARQ process using PUCCH or PUSCH when a UE receives DCI format 1_1 contain one bit to request the transmission of one shot HARQ feedback. </w:t>
      </w:r>
    </w:p>
    <w:p w14:paraId="4A5B96F2" w14:textId="77777777" w:rsidR="00380BE5" w:rsidRPr="00380BE5" w:rsidRDefault="00380BE5" w:rsidP="00380BE5">
      <w:pPr>
        <w:pStyle w:val="BodyText"/>
      </w:pPr>
      <w:r w:rsidRPr="00062538">
        <w:t>However, in</w:t>
      </w:r>
      <w:r w:rsidRPr="00380BE5">
        <w:t xml:space="preserve"> sidelink the one shot HARQ feedback reporting might need to be associated to a destination, cast types and moreover there is only a limited number of HARQ process between a source-destination pair of UEs as shown in the below Figure 2. Hence the procedure of transmission of SL one shot HARQ feedback should consider different source-destination ids, cast types such as unicast, groupcast, broadcast, HARQ feedback options and blind retransmissions etc., Also reporting one shot HARQ feedback report from Tx UE to gNB for all SL HARQ process should be studied which could be useful when due to LBT failures there could be delay in sidelink HARQ feedback reporting to gNB.</w:t>
      </w:r>
    </w:p>
    <w:p w14:paraId="36BAA259" w14:textId="77777777" w:rsidR="00380BE5" w:rsidRDefault="00380BE5" w:rsidP="00380BE5">
      <w:pPr>
        <w:spacing w:after="0"/>
        <w:jc w:val="center"/>
      </w:pPr>
      <w:r>
        <w:object w:dxaOrig="6437" w:dyaOrig="3031" w14:anchorId="26AA4CC3">
          <v:shape id="_x0000_i1048" type="#_x0000_t75" style="width:262.8pt;height:124.4pt" o:ole="">
            <v:imagedata r:id="rId45" o:title=""/>
          </v:shape>
          <o:OLEObject Type="Embed" ProgID="Visio.Drawing.15" ShapeID="_x0000_i1048" DrawAspect="Content" ObjectID="_1725992057" r:id="rId46"/>
        </w:object>
      </w:r>
    </w:p>
    <w:p w14:paraId="30F30168" w14:textId="71C72D17" w:rsidR="00380BE5" w:rsidRDefault="00380BE5" w:rsidP="00380BE5">
      <w:pPr>
        <w:pStyle w:val="Caption"/>
        <w:ind w:left="720" w:firstLine="720"/>
      </w:pPr>
      <w:r>
        <w:t xml:space="preserve">Figure 6: Showing active HARQ processes between UE1, UE2 and UE3 </w:t>
      </w:r>
    </w:p>
    <w:p w14:paraId="0119B3BC" w14:textId="03268699" w:rsidR="00380BE5" w:rsidRDefault="00380BE5" w:rsidP="00380BE5">
      <w:pPr>
        <w:rPr>
          <w:lang w:eastAsia="en-US"/>
        </w:rPr>
      </w:pPr>
    </w:p>
    <w:p w14:paraId="259ADE0C" w14:textId="77777777" w:rsidR="002134BD" w:rsidRPr="00062538" w:rsidRDefault="002134BD" w:rsidP="002134BD">
      <w:pPr>
        <w:pStyle w:val="BodyText"/>
      </w:pPr>
      <w:r w:rsidRPr="00062538">
        <w:t xml:space="preserve">The sidelink feedback transmission/reception by a UE could be affected due to LBT failures and there exists NR-U features such as one-shot HARQ feedback, non-numerical HARQ feedback timing indicator to counter this problem. Such feature could be studied and requires adaptation for sidelink unlicensed operation. </w:t>
      </w:r>
    </w:p>
    <w:p w14:paraId="41453A84" w14:textId="404BE164" w:rsidR="002134BD" w:rsidRDefault="002134BD" w:rsidP="002134B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681730">
        <w:rPr>
          <w:rFonts w:ascii="Times New Roman" w:eastAsia="+mn-ea" w:hAnsi="Times New Roman" w:cs="Times New Roman"/>
          <w:b/>
          <w:bCs/>
          <w:i/>
          <w:iCs/>
          <w:color w:val="000000"/>
          <w:kern w:val="24"/>
          <w:sz w:val="20"/>
          <w:szCs w:val="20"/>
          <w:u w:val="single"/>
        </w:rPr>
        <w:t>22</w:t>
      </w:r>
      <w:r w:rsidRPr="00380BE5">
        <w:rPr>
          <w:rFonts w:ascii="Times New Roman" w:eastAsia="+mn-ea" w:hAnsi="Times New Roman" w:cs="Times New Roman"/>
          <w:b/>
          <w:bCs/>
          <w:i/>
          <w:iCs/>
          <w:color w:val="000000"/>
          <w:kern w:val="24"/>
          <w:sz w:val="20"/>
          <w:szCs w:val="20"/>
          <w:u w:val="single"/>
        </w:rPr>
        <w:t xml:space="preserve">: RAN1 to study the benefit of introducing the one-shot HARQ feedback, non-numerical HARQ feedback timing indicator features for sidelink unlicensed operation </w:t>
      </w:r>
    </w:p>
    <w:p w14:paraId="78065294" w14:textId="77777777" w:rsidR="002134BD" w:rsidRPr="00380BE5" w:rsidRDefault="002134BD" w:rsidP="00380BE5">
      <w:pPr>
        <w:rPr>
          <w:lang w:eastAsia="en-US"/>
        </w:rPr>
      </w:pPr>
    </w:p>
    <w:p w14:paraId="7589BAC9" w14:textId="77777777" w:rsidR="00380BE5" w:rsidRDefault="00380BE5" w:rsidP="00380BE5">
      <w:pPr>
        <w:pStyle w:val="Heading2"/>
        <w:rPr>
          <w:lang w:eastAsia="zh-CN"/>
        </w:rPr>
      </w:pPr>
      <w:r>
        <w:rPr>
          <w:lang w:eastAsia="zh-CN"/>
        </w:rPr>
        <w:t xml:space="preserve">Non-numerical feedback timing indicator </w:t>
      </w:r>
    </w:p>
    <w:p w14:paraId="3FCFA037" w14:textId="77777777" w:rsidR="00380BE5" w:rsidRPr="00062538" w:rsidRDefault="00380BE5" w:rsidP="00380BE5">
      <w:pPr>
        <w:pStyle w:val="BodyText"/>
      </w:pPr>
      <w:r w:rsidRPr="00062538">
        <w:t>Non-numerical value as feedback timing was introduced which eventually postponed the transmission of the generated HARQ feedback while a subsequent</w:t>
      </w:r>
      <w:r w:rsidRPr="00380BE5">
        <w:t>HARQ HA</w:t>
      </w:r>
      <w:r w:rsidRPr="00062538">
        <w:t xml:space="preserve"> transmission of numerical value as part of the DL DCI triggers the transmission of the previously generated HARQ feedback for those HARQ processes that was transmitted </w:t>
      </w:r>
      <w:r w:rsidRPr="00062538">
        <w:lastRenderedPageBreak/>
        <w:t xml:space="preserve">using non-numerical value indication. The Rel16 sidelink HARQ feedback reporting may get delayed due to LBT failures and channel occupancy limitation. Such delay in the sidelink HARQ feedback reception at the Tx UE may also affect the reporting of SL HARQ feedback to gNB. </w:t>
      </w:r>
    </w:p>
    <w:p w14:paraId="1B4226BD" w14:textId="77777777" w:rsidR="00380BE5" w:rsidRPr="00380BE5" w:rsidRDefault="00380BE5" w:rsidP="00380BE5">
      <w:pPr>
        <w:pStyle w:val="BodyText"/>
      </w:pPr>
      <w:r w:rsidRPr="00062538">
        <w:t xml:space="preserve">Currently the feedback timing for sidelink transmission is (pre)configured in a resource pool and not dynamically signalled and there should be some signalling enhancement needed to dynamically indicate the non-numerical feedback timing value to the Rx UEs or destinations to delay the transmission of SL HARQ feedback reporting. Further a trigger needs to be subsequently transmitted to request the transmission of SL HARQ feedback of those SL HARQ process previously indicated with non-numerical HARQ feedback timing value.  Such mechanism may also beneficial for gNB to delay the HARQ feedback transmission from a Tx UE using the non-numerical HARQ feedback timing value in DCI format 3_0. </w:t>
      </w:r>
    </w:p>
    <w:p w14:paraId="53D4E272" w14:textId="775C7681" w:rsid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2</w:t>
      </w:r>
      <w:r w:rsidR="00681730">
        <w:rPr>
          <w:rFonts w:ascii="Times New Roman" w:eastAsia="+mn-ea" w:hAnsi="Times New Roman" w:cs="Times New Roman"/>
          <w:b/>
          <w:bCs/>
          <w:i/>
          <w:iCs/>
          <w:color w:val="000000"/>
          <w:kern w:val="24"/>
          <w:sz w:val="20"/>
          <w:szCs w:val="20"/>
          <w:u w:val="single"/>
        </w:rPr>
        <w:t>3</w:t>
      </w:r>
      <w:r w:rsidRPr="00380BE5">
        <w:rPr>
          <w:rFonts w:ascii="Times New Roman" w:eastAsia="+mn-ea" w:hAnsi="Times New Roman" w:cs="Times New Roman"/>
          <w:b/>
          <w:bCs/>
          <w:i/>
          <w:iCs/>
          <w:color w:val="000000"/>
          <w:kern w:val="24"/>
          <w:sz w:val="20"/>
          <w:szCs w:val="20"/>
          <w:u w:val="single"/>
        </w:rPr>
        <w:t>: RAN1 to study the benefit of delaying the generation and transmission of SL HARQ feedback using non-numerical HARQ feedback timing value for an unlicensed spectrum</w:t>
      </w:r>
    </w:p>
    <w:p w14:paraId="17297E41" w14:textId="77777777" w:rsidR="002134BD" w:rsidRPr="00380BE5" w:rsidRDefault="002134BD"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29001BB0" w14:textId="77777777" w:rsidR="00380BE5" w:rsidRPr="00E816E6" w:rsidRDefault="00380BE5" w:rsidP="00380BE5">
      <w:pPr>
        <w:pStyle w:val="Heading2"/>
        <w:rPr>
          <w:lang w:eastAsia="zh-CN"/>
        </w:rPr>
      </w:pPr>
      <w:r>
        <w:rPr>
          <w:lang w:eastAsia="zh-CN"/>
        </w:rPr>
        <w:t>Other PSFCH enhancements</w:t>
      </w:r>
    </w:p>
    <w:p w14:paraId="0432F47A" w14:textId="77777777" w:rsidR="00380BE5" w:rsidRPr="00380BE5" w:rsidRDefault="00380BE5" w:rsidP="00380BE5">
      <w:pPr>
        <w:pStyle w:val="BodyText"/>
      </w:pPr>
      <w:r w:rsidRPr="00380BE5">
        <w:t xml:space="preserve">In many geographical and/or frequency regions, a device is required to pass a clear channel assessment (CCA) procedure, such as LBT, before being allowed to transmit on the unlicensed carrier (shared spectrum). In case the CCA fails for a given transmission instance, the device is not allowed to transmit. Consequently this may lead in not being able to transmit a PSFCH in a specific PSFCH period. This leads to potentially unnecessary retransmissions of packets, as the original data transmitter expecting ACK/NACK feedback on PSFCH may trigger a retransmission in case of missing ACK/NACK feedback. </w:t>
      </w:r>
    </w:p>
    <w:p w14:paraId="31D98F03" w14:textId="77777777" w:rsidR="00380BE5" w:rsidRPr="00380BE5" w:rsidRDefault="00380BE5" w:rsidP="00380BE5">
      <w:pPr>
        <w:pStyle w:val="BodyText"/>
      </w:pPr>
      <w:r w:rsidRPr="00380BE5">
        <w:t>An additional problem occurs in option 1 (where a UE reports feedback on the PSFCH for the data only if the feedback is NACK) for groupcast transmissions, where a missing feedback due to a failed CCA may be interpreted as an ACK by the original data transmitter, even though the feedback transmitter may have intended to convey a NACK to request a retransmission; in this case, the original data transmitter may be unaware that a retransmission of the data is necessary, leading to undetected data loss.</w:t>
      </w:r>
    </w:p>
    <w:p w14:paraId="025043C1" w14:textId="77777777" w:rsidR="00380BE5" w:rsidRPr="00380BE5" w:rsidRDefault="00380BE5" w:rsidP="00380BE5">
      <w:pPr>
        <w:pStyle w:val="BodyText"/>
      </w:pPr>
      <w:r w:rsidRPr="00380BE5">
        <w:t>Up to Release 17, a PSFCH occasion is always periodic and occurs in the last slot of a PSFCH period, i.e., there is one occasion per PSFCH period, N = {1, 2, 4} configured in a resource pool.  This is sufficient for a licensed carrier scenario especially in a scheduled mode but imposes severe limitations in case sidelink transmission occur on a sidelink unlicensed carrier.</w:t>
      </w:r>
    </w:p>
    <w:p w14:paraId="5C43F889" w14:textId="4490A29D" w:rsidR="00380BE5" w:rsidRPr="00380BE5" w:rsidRDefault="00380BE5" w:rsidP="00380BE5">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880669">
        <w:rPr>
          <w:rFonts w:ascii="Times New Roman" w:eastAsia="+mn-ea" w:hAnsi="Times New Roman" w:cs="Times New Roman"/>
          <w:b/>
          <w:bCs/>
          <w:i/>
          <w:iCs/>
          <w:color w:val="000000"/>
          <w:kern w:val="24"/>
          <w:sz w:val="20"/>
          <w:szCs w:val="20"/>
          <w:u w:val="single"/>
        </w:rPr>
        <w:t>2</w:t>
      </w:r>
      <w:r w:rsidR="00681730">
        <w:rPr>
          <w:rFonts w:ascii="Times New Roman" w:eastAsia="+mn-ea" w:hAnsi="Times New Roman" w:cs="Times New Roman"/>
          <w:b/>
          <w:bCs/>
          <w:i/>
          <w:iCs/>
          <w:color w:val="000000"/>
          <w:kern w:val="24"/>
          <w:sz w:val="20"/>
          <w:szCs w:val="20"/>
          <w:u w:val="single"/>
        </w:rPr>
        <w:t>4</w:t>
      </w:r>
      <w:r w:rsidRPr="00380BE5">
        <w:rPr>
          <w:rFonts w:ascii="Times New Roman" w:eastAsia="+mn-ea" w:hAnsi="Times New Roman" w:cs="Times New Roman"/>
          <w:b/>
          <w:bCs/>
          <w:i/>
          <w:iCs/>
          <w:color w:val="000000"/>
          <w:kern w:val="24"/>
          <w:sz w:val="20"/>
          <w:szCs w:val="20"/>
          <w:u w:val="single"/>
        </w:rPr>
        <w:t>: RAN1 could further study the PSFCH enhancement to mitigate problems arising due to delayed sidelink HARQ feedback reception for an unlicensed spectrum</w:t>
      </w:r>
    </w:p>
    <w:p w14:paraId="54785038" w14:textId="77777777" w:rsidR="00380BE5" w:rsidRDefault="00380BE5"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52F1E6FD" w14:textId="77777777" w:rsidR="00380BE5" w:rsidRDefault="00380BE5" w:rsidP="0001532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324C2C60" w:rsidR="000C654B" w:rsidRDefault="000C654B" w:rsidP="000C654B">
      <w:pPr>
        <w:pStyle w:val="BodyText"/>
        <w:rPr>
          <w:rFonts w:cs="Arial"/>
          <w:lang w:val="en-US"/>
        </w:rPr>
      </w:pPr>
      <w:bookmarkStart w:id="7" w:name="_Hlk101873554"/>
      <w:r>
        <w:rPr>
          <w:kern w:val="2"/>
          <w:lang w:eastAsia="zh-CN"/>
        </w:rPr>
        <w:t xml:space="preserve">In this contribution, </w:t>
      </w:r>
      <w:r>
        <w:rPr>
          <w:rFonts w:cs="Arial"/>
        </w:rPr>
        <w:t xml:space="preserve">we focus on the </w:t>
      </w:r>
      <w:r w:rsidR="00A944F8">
        <w:t>channel access mechanism and</w:t>
      </w:r>
      <w:r w:rsidR="00A944F8" w:rsidRPr="00141C62">
        <w:t xml:space="preserve"> procedure </w:t>
      </w:r>
      <w:r w:rsidR="00A944F8">
        <w:t>for</w:t>
      </w:r>
      <w:r w:rsidR="00A944F8" w:rsidRPr="00141C62">
        <w:t xml:space="preserve"> </w:t>
      </w:r>
      <w:r w:rsidR="00A944F8">
        <w:t xml:space="preserve">sidelink transmission on FR1 </w:t>
      </w:r>
      <w:r w:rsidR="00A944F8" w:rsidRPr="00141C62">
        <w:t>unlicensed spectrum</w:t>
      </w:r>
      <w:r w:rsidR="00A944F8">
        <w:rPr>
          <w:rFonts w:cs="Arial"/>
        </w:rPr>
        <w:t xml:space="preserve"> </w:t>
      </w:r>
      <w:r>
        <w:rPr>
          <w:rFonts w:cs="Arial"/>
        </w:rPr>
        <w:t xml:space="preserve">and </w:t>
      </w:r>
      <w:r>
        <w:rPr>
          <w:rFonts w:cs="Arial"/>
          <w:lang w:val="en-US"/>
        </w:rPr>
        <w:t xml:space="preserve">have below </w:t>
      </w:r>
      <w:r w:rsidR="00E623CA">
        <w:rPr>
          <w:rFonts w:cs="Arial"/>
          <w:lang w:val="en-US"/>
        </w:rPr>
        <w:t xml:space="preserve">observations and </w:t>
      </w:r>
      <w:r>
        <w:rPr>
          <w:rFonts w:cs="Arial"/>
          <w:lang w:val="en-US"/>
        </w:rPr>
        <w:t>proposals:</w:t>
      </w:r>
    </w:p>
    <w:p w14:paraId="3EC4107B" w14:textId="77777777" w:rsidR="00C05F99" w:rsidRPr="00534800" w:rsidRDefault="00C05F99" w:rsidP="00C05F9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534800">
        <w:rPr>
          <w:rFonts w:ascii="Times New Roman" w:eastAsia="+mn-ea" w:hAnsi="Times New Roman" w:cs="Times New Roman"/>
          <w:b/>
          <w:bCs/>
          <w:i/>
          <w:iCs/>
          <w:color w:val="000000"/>
          <w:kern w:val="24"/>
          <w:sz w:val="20"/>
          <w:szCs w:val="20"/>
          <w:u w:val="single"/>
        </w:rPr>
        <w:t xml:space="preserve">Observation 1: The uplink contention window size update procedure cannot be directly applied to sidelink </w:t>
      </w:r>
    </w:p>
    <w:p w14:paraId="2F4F3A37" w14:textId="77777777" w:rsidR="00C05F99" w:rsidRDefault="00C05F99" w:rsidP="000C654B">
      <w:pPr>
        <w:pStyle w:val="BodyText"/>
        <w:rPr>
          <w:rFonts w:cs="Arial"/>
          <w:lang w:val="en-US"/>
        </w:rPr>
      </w:pPr>
    </w:p>
    <w:bookmarkEnd w:id="7"/>
    <w:p w14:paraId="1969BB97" w14:textId="6DD62E1A" w:rsidR="00C54E2F" w:rsidRDefault="00C54E2F"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1: </w:t>
      </w:r>
      <w:r>
        <w:rPr>
          <w:rFonts w:ascii="Times New Roman" w:eastAsia="+mn-ea" w:hAnsi="Times New Roman" w:cs="Times New Roman"/>
          <w:b/>
          <w:bCs/>
          <w:i/>
          <w:iCs/>
          <w:color w:val="000000"/>
          <w:kern w:val="24"/>
          <w:sz w:val="20"/>
          <w:szCs w:val="20"/>
          <w:u w:val="single"/>
        </w:rPr>
        <w:t>FBE-based channel access</w:t>
      </w:r>
      <w:r w:rsidRPr="002023FC">
        <w:rPr>
          <w:rFonts w:ascii="Times New Roman" w:eastAsia="+mn-ea" w:hAnsi="Times New Roman" w:cs="Times New Roman"/>
          <w:b/>
          <w:bCs/>
          <w:i/>
          <w:iCs/>
          <w:color w:val="000000"/>
          <w:kern w:val="24"/>
          <w:sz w:val="20"/>
          <w:szCs w:val="20"/>
          <w:u w:val="single"/>
        </w:rPr>
        <w:t xml:space="preserve"> is supported for </w:t>
      </w:r>
      <w:r>
        <w:rPr>
          <w:rFonts w:ascii="Times New Roman" w:eastAsia="+mn-ea" w:hAnsi="Times New Roman" w:cs="Times New Roman"/>
          <w:b/>
          <w:bCs/>
          <w:i/>
          <w:iCs/>
          <w:color w:val="000000"/>
          <w:kern w:val="24"/>
          <w:sz w:val="20"/>
          <w:szCs w:val="20"/>
          <w:u w:val="single"/>
        </w:rPr>
        <w:t>sidelink transmissions in FR1 unlicensed spectrum.</w:t>
      </w:r>
    </w:p>
    <w:p w14:paraId="4CB37E6D" w14:textId="1E7F4411" w:rsidR="00BE10DB" w:rsidRDefault="00BE10DB"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BE10DB">
        <w:rPr>
          <w:rFonts w:ascii="Times New Roman" w:eastAsia="+mn-ea" w:hAnsi="Times New Roman" w:cs="Times New Roman"/>
          <w:b/>
          <w:bCs/>
          <w:i/>
          <w:iCs/>
          <w:color w:val="000000"/>
          <w:kern w:val="24"/>
          <w:sz w:val="20"/>
          <w:szCs w:val="20"/>
          <w:u w:val="single"/>
        </w:rPr>
        <w:t>Proposal 2: Support separate channel access procedure for uplink and sidelink in Rel</w:t>
      </w:r>
      <w:r w:rsidR="00C05F99">
        <w:rPr>
          <w:rFonts w:ascii="Times New Roman" w:eastAsia="+mn-ea" w:hAnsi="Times New Roman" w:cs="Times New Roman"/>
          <w:b/>
          <w:bCs/>
          <w:i/>
          <w:iCs/>
          <w:color w:val="000000"/>
          <w:kern w:val="24"/>
          <w:sz w:val="20"/>
          <w:szCs w:val="20"/>
          <w:u w:val="single"/>
        </w:rPr>
        <w:t>-</w:t>
      </w:r>
      <w:r w:rsidRPr="00BE10DB">
        <w:rPr>
          <w:rFonts w:ascii="Times New Roman" w:eastAsia="+mn-ea" w:hAnsi="Times New Roman" w:cs="Times New Roman"/>
          <w:b/>
          <w:bCs/>
          <w:i/>
          <w:iCs/>
          <w:color w:val="000000"/>
          <w:kern w:val="24"/>
          <w:sz w:val="20"/>
          <w:szCs w:val="20"/>
          <w:u w:val="single"/>
        </w:rPr>
        <w:t>18 i.e., uplink and sidelink does not share the same UE initiated COT</w:t>
      </w:r>
    </w:p>
    <w:p w14:paraId="00447F93" w14:textId="31797E89" w:rsidR="00C54E2F" w:rsidRDefault="00C54E2F"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sidR="00C05F99">
        <w:rPr>
          <w:rFonts w:ascii="Times New Roman" w:eastAsia="+mn-ea" w:hAnsi="Times New Roman" w:cs="Times New Roman"/>
          <w:b/>
          <w:bCs/>
          <w:i/>
          <w:iCs/>
          <w:color w:val="000000"/>
          <w:kern w:val="24"/>
          <w:sz w:val="20"/>
          <w:szCs w:val="20"/>
          <w:u w:val="single"/>
        </w:rPr>
        <w:t>3</w:t>
      </w:r>
      <w:r w:rsidRPr="002023FC">
        <w:rPr>
          <w:rFonts w:ascii="Times New Roman" w:eastAsia="+mn-ea" w:hAnsi="Times New Roman" w:cs="Times New Roman"/>
          <w:b/>
          <w:bCs/>
          <w:i/>
          <w:iCs/>
          <w:color w:val="000000"/>
          <w:kern w:val="24"/>
          <w:sz w:val="20"/>
          <w:szCs w:val="20"/>
          <w:u w:val="single"/>
        </w:rPr>
        <w:t xml:space="preserve">: </w:t>
      </w:r>
      <w:r w:rsidRPr="00882723">
        <w:rPr>
          <w:rFonts w:ascii="Times New Roman" w:eastAsia="+mn-ea" w:hAnsi="Times New Roman" w:cs="Times New Roman"/>
          <w:b/>
          <w:bCs/>
          <w:i/>
          <w:iCs/>
          <w:color w:val="000000"/>
          <w:kern w:val="24"/>
          <w:sz w:val="20"/>
          <w:szCs w:val="20"/>
          <w:u w:val="single"/>
        </w:rPr>
        <w:t xml:space="preserve">Table 4.2.1-1 </w:t>
      </w:r>
      <w:r>
        <w:rPr>
          <w:rFonts w:ascii="Times New Roman" w:eastAsia="+mn-ea" w:hAnsi="Times New Roman" w:cs="Times New Roman"/>
          <w:b/>
          <w:bCs/>
          <w:i/>
          <w:iCs/>
          <w:color w:val="000000"/>
          <w:kern w:val="24"/>
          <w:sz w:val="20"/>
          <w:szCs w:val="20"/>
          <w:u w:val="single"/>
        </w:rPr>
        <w:t xml:space="preserve">in TS37.213 </w:t>
      </w:r>
      <w:r w:rsidRPr="002023FC">
        <w:rPr>
          <w:rFonts w:ascii="Times New Roman" w:eastAsia="+mn-ea" w:hAnsi="Times New Roman" w:cs="Times New Roman"/>
          <w:b/>
          <w:bCs/>
          <w:i/>
          <w:iCs/>
          <w:color w:val="000000"/>
          <w:kern w:val="24"/>
          <w:sz w:val="20"/>
          <w:szCs w:val="20"/>
          <w:u w:val="single"/>
        </w:rPr>
        <w:t xml:space="preserve">is </w:t>
      </w:r>
      <w:r>
        <w:rPr>
          <w:rFonts w:ascii="Times New Roman" w:eastAsia="+mn-ea" w:hAnsi="Times New Roman" w:cs="Times New Roman"/>
          <w:b/>
          <w:bCs/>
          <w:i/>
          <w:iCs/>
          <w:color w:val="000000"/>
          <w:kern w:val="24"/>
          <w:sz w:val="20"/>
          <w:szCs w:val="20"/>
          <w:u w:val="single"/>
        </w:rPr>
        <w:t>reused for sidelink transmissions in FR1 unlicensed spectrum.</w:t>
      </w:r>
    </w:p>
    <w:p w14:paraId="66782A6F" w14:textId="77777777" w:rsidR="00C05F99" w:rsidRDefault="00C05F99" w:rsidP="00C05F9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4</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From RAN1’s perspective, mapping </w:t>
      </w:r>
      <w:r w:rsidRPr="004C3128">
        <w:rPr>
          <w:rFonts w:ascii="Times New Roman" w:eastAsia="+mn-ea" w:hAnsi="Times New Roman" w:cs="Times New Roman"/>
          <w:b/>
          <w:bCs/>
          <w:i/>
          <w:iCs/>
          <w:color w:val="000000"/>
          <w:kern w:val="24"/>
          <w:sz w:val="20"/>
          <w:szCs w:val="20"/>
          <w:u w:val="single"/>
        </w:rPr>
        <w:t xml:space="preserve">every two consecutive L1 priorities to one channel access priority class </w:t>
      </w:r>
      <w:r>
        <w:rPr>
          <w:rFonts w:ascii="Times New Roman" w:eastAsia="+mn-ea" w:hAnsi="Times New Roman" w:cs="Times New Roman"/>
          <w:b/>
          <w:bCs/>
          <w:i/>
          <w:iCs/>
          <w:color w:val="000000"/>
          <w:kern w:val="24"/>
          <w:sz w:val="20"/>
          <w:szCs w:val="20"/>
          <w:u w:val="single"/>
        </w:rPr>
        <w:t xml:space="preserve">is feasible, mapping </w:t>
      </w:r>
      <w:r w:rsidRPr="004C3128">
        <w:rPr>
          <w:rFonts w:ascii="Times New Roman" w:eastAsia="+mn-ea" w:hAnsi="Times New Roman" w:cs="Times New Roman"/>
          <w:b/>
          <w:bCs/>
          <w:i/>
          <w:iCs/>
          <w:color w:val="000000"/>
          <w:kern w:val="24"/>
          <w:sz w:val="20"/>
          <w:szCs w:val="20"/>
          <w:u w:val="single"/>
        </w:rPr>
        <w:t xml:space="preserve">every two consecutive L1 priorities to one channel access priority class </w:t>
      </w:r>
      <w:r>
        <w:rPr>
          <w:rFonts w:ascii="Times New Roman" w:eastAsia="+mn-ea" w:hAnsi="Times New Roman" w:cs="Times New Roman"/>
          <w:b/>
          <w:bCs/>
          <w:i/>
          <w:iCs/>
          <w:color w:val="000000"/>
          <w:kern w:val="24"/>
          <w:sz w:val="20"/>
          <w:szCs w:val="20"/>
          <w:u w:val="single"/>
        </w:rPr>
        <w:t>is feasible for sidelink transmissions in FR1 unlicensed spectrum.</w:t>
      </w:r>
    </w:p>
    <w:p w14:paraId="08AF937F" w14:textId="12EFE201" w:rsidR="00AC7FB8" w:rsidRPr="00380BE5" w:rsidRDefault="00AC7FB8" w:rsidP="00AC7FB8">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C05F99">
        <w:rPr>
          <w:rFonts w:ascii="Times New Roman" w:eastAsia="+mn-ea" w:hAnsi="Times New Roman" w:cs="Times New Roman"/>
          <w:b/>
          <w:bCs/>
          <w:i/>
          <w:iCs/>
          <w:color w:val="000000"/>
          <w:kern w:val="24"/>
          <w:sz w:val="20"/>
          <w:szCs w:val="20"/>
          <w:u w:val="single"/>
        </w:rPr>
        <w:t>5</w:t>
      </w:r>
      <w:r w:rsidRPr="00380BE5">
        <w:rPr>
          <w:rFonts w:ascii="Times New Roman" w:eastAsia="+mn-ea" w:hAnsi="Times New Roman" w:cs="Times New Roman"/>
          <w:b/>
          <w:bCs/>
          <w:i/>
          <w:iCs/>
          <w:color w:val="000000"/>
          <w:kern w:val="24"/>
          <w:sz w:val="20"/>
          <w:szCs w:val="20"/>
          <w:u w:val="single"/>
        </w:rPr>
        <w:t xml:space="preserve">: RAN1 support the LBT sub-band size i.e., LBT bandwidth configuration of 20 MHz, LBT energy detection threshold for a sidelink device operating in an unlicensed carrier </w:t>
      </w:r>
    </w:p>
    <w:p w14:paraId="0AC4E629" w14:textId="17BDFA6F" w:rsidR="00AC7FB8" w:rsidRPr="00380BE5" w:rsidRDefault="00AC7FB8" w:rsidP="00AC7FB8">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lastRenderedPageBreak/>
        <w:t xml:space="preserve">Proposal </w:t>
      </w:r>
      <w:r w:rsidR="00C05F99">
        <w:rPr>
          <w:rFonts w:ascii="Times New Roman" w:eastAsia="+mn-ea" w:hAnsi="Times New Roman" w:cs="Times New Roman"/>
          <w:b/>
          <w:bCs/>
          <w:i/>
          <w:iCs/>
          <w:color w:val="000000"/>
          <w:kern w:val="24"/>
          <w:sz w:val="20"/>
          <w:szCs w:val="20"/>
          <w:u w:val="single"/>
        </w:rPr>
        <w:t>6</w:t>
      </w:r>
      <w:r w:rsidRPr="00380BE5">
        <w:rPr>
          <w:rFonts w:ascii="Times New Roman" w:eastAsia="+mn-ea" w:hAnsi="Times New Roman" w:cs="Times New Roman"/>
          <w:b/>
          <w:bCs/>
          <w:i/>
          <w:iCs/>
          <w:color w:val="000000"/>
          <w:kern w:val="24"/>
          <w:sz w:val="20"/>
          <w:szCs w:val="20"/>
          <w:u w:val="single"/>
        </w:rPr>
        <w:t xml:space="preserve">: RAN1 could prioritize the study of mode 1 -- NR licensed carrier (gNB) scheduling data transmission on SL-unlicensed carrier and LTE licensed carrier (eNB) scheduling data transmission on SL-unlicensed carrier  </w:t>
      </w:r>
    </w:p>
    <w:p w14:paraId="3E8CCF8F" w14:textId="77777777" w:rsidR="00681730" w:rsidRDefault="00681730" w:rsidP="0068173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7</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For burst-based sidelink transmission, from a Tx UE’s point of view, no gap symbol is included in between any two consecutive slots.</w:t>
      </w:r>
    </w:p>
    <w:p w14:paraId="36FB5633" w14:textId="3F9C2210" w:rsidR="00C05F99" w:rsidRDefault="00C05F99"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2023F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8</w:t>
      </w:r>
      <w:r w:rsidRPr="002023F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Multiple PSSCHs scheduled by a single SCI is supported </w:t>
      </w:r>
      <w:r w:rsidRPr="002023FC">
        <w:rPr>
          <w:rFonts w:ascii="Times New Roman" w:eastAsia="+mn-ea" w:hAnsi="Times New Roman" w:cs="Times New Roman"/>
          <w:b/>
          <w:bCs/>
          <w:i/>
          <w:iCs/>
          <w:color w:val="000000"/>
          <w:kern w:val="24"/>
          <w:sz w:val="20"/>
          <w:szCs w:val="20"/>
          <w:u w:val="single"/>
        </w:rPr>
        <w:t xml:space="preserve">for </w:t>
      </w:r>
      <w:r>
        <w:rPr>
          <w:rFonts w:ascii="Times New Roman" w:eastAsia="+mn-ea" w:hAnsi="Times New Roman" w:cs="Times New Roman"/>
          <w:b/>
          <w:bCs/>
          <w:i/>
          <w:iCs/>
          <w:color w:val="000000"/>
          <w:kern w:val="24"/>
          <w:sz w:val="20"/>
          <w:szCs w:val="20"/>
          <w:u w:val="single"/>
        </w:rPr>
        <w:t>sidelink transmissions in FR1 unlicensed spectrum.</w:t>
      </w:r>
    </w:p>
    <w:p w14:paraId="747DE19F" w14:textId="63D388B7" w:rsidR="00C54E2F" w:rsidRPr="00C54E2F" w:rsidRDefault="00C54E2F"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54E2F">
        <w:rPr>
          <w:rFonts w:ascii="Times New Roman" w:eastAsia="+mn-ea" w:hAnsi="Times New Roman" w:cs="Times New Roman"/>
          <w:b/>
          <w:bCs/>
          <w:i/>
          <w:iCs/>
          <w:color w:val="000000"/>
          <w:kern w:val="24"/>
          <w:sz w:val="20"/>
          <w:szCs w:val="20"/>
          <w:u w:val="single"/>
        </w:rPr>
        <w:t xml:space="preserve">Proposal </w:t>
      </w:r>
      <w:r w:rsidR="00C05F99">
        <w:rPr>
          <w:rFonts w:ascii="Times New Roman" w:eastAsia="+mn-ea" w:hAnsi="Times New Roman" w:cs="Times New Roman"/>
          <w:b/>
          <w:bCs/>
          <w:i/>
          <w:iCs/>
          <w:color w:val="000000"/>
          <w:kern w:val="24"/>
          <w:sz w:val="20"/>
          <w:szCs w:val="20"/>
          <w:u w:val="single"/>
        </w:rPr>
        <w:t>9</w:t>
      </w:r>
      <w:r w:rsidRPr="00C54E2F">
        <w:rPr>
          <w:rFonts w:ascii="Times New Roman" w:eastAsia="+mn-ea" w:hAnsi="Times New Roman" w:cs="Times New Roman"/>
          <w:b/>
          <w:bCs/>
          <w:i/>
          <w:iCs/>
          <w:color w:val="000000"/>
          <w:kern w:val="24"/>
          <w:sz w:val="20"/>
          <w:szCs w:val="20"/>
          <w:u w:val="single"/>
        </w:rPr>
        <w:t>: A COT initiated by a Tx UE via Type 1 channel access can be shared to Rx UEs for transmitting PSFCH(s) inside of the COT.</w:t>
      </w:r>
    </w:p>
    <w:p w14:paraId="1C458A5F" w14:textId="4530CA91" w:rsidR="00C54E2F" w:rsidRPr="00C54E2F" w:rsidRDefault="00C54E2F"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54E2F">
        <w:rPr>
          <w:rFonts w:ascii="Times New Roman" w:eastAsia="+mn-ea" w:hAnsi="Times New Roman" w:cs="Times New Roman"/>
          <w:b/>
          <w:bCs/>
          <w:i/>
          <w:iCs/>
          <w:color w:val="000000"/>
          <w:kern w:val="24"/>
          <w:sz w:val="20"/>
          <w:szCs w:val="20"/>
          <w:u w:val="single"/>
        </w:rPr>
        <w:t xml:space="preserve">Proposal </w:t>
      </w:r>
      <w:r w:rsidR="00C05F99">
        <w:rPr>
          <w:rFonts w:ascii="Times New Roman" w:eastAsia="+mn-ea" w:hAnsi="Times New Roman" w:cs="Times New Roman"/>
          <w:b/>
          <w:bCs/>
          <w:i/>
          <w:iCs/>
          <w:color w:val="000000"/>
          <w:kern w:val="24"/>
          <w:sz w:val="20"/>
          <w:szCs w:val="20"/>
          <w:u w:val="single"/>
        </w:rPr>
        <w:t>10</w:t>
      </w:r>
      <w:r w:rsidRPr="00C54E2F">
        <w:rPr>
          <w:rFonts w:ascii="Times New Roman" w:eastAsia="+mn-ea" w:hAnsi="Times New Roman" w:cs="Times New Roman"/>
          <w:b/>
          <w:bCs/>
          <w:i/>
          <w:iCs/>
          <w:color w:val="000000"/>
          <w:kern w:val="24"/>
          <w:sz w:val="20"/>
          <w:szCs w:val="20"/>
          <w:u w:val="single"/>
        </w:rPr>
        <w:t>: A COT initiated by a Tx UE via Type 1 channel access can be shared to other UEs for transmitting PSCCH/PSSCH(s) inside of the COT subject to regulation requirements on COT sharing.</w:t>
      </w:r>
    </w:p>
    <w:p w14:paraId="32DA30DC" w14:textId="08F50309" w:rsidR="00C54E2F" w:rsidRDefault="00C54E2F" w:rsidP="00C54E2F">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C54E2F">
        <w:rPr>
          <w:rFonts w:ascii="Times New Roman" w:eastAsia="+mn-ea" w:hAnsi="Times New Roman" w:cs="Times New Roman"/>
          <w:b/>
          <w:bCs/>
          <w:i/>
          <w:iCs/>
          <w:color w:val="000000"/>
          <w:kern w:val="24"/>
          <w:sz w:val="20"/>
          <w:szCs w:val="20"/>
          <w:u w:val="single"/>
        </w:rPr>
        <w:t xml:space="preserve">Proposal </w:t>
      </w:r>
      <w:r w:rsidR="00C05F99">
        <w:rPr>
          <w:rFonts w:ascii="Times New Roman" w:eastAsia="+mn-ea" w:hAnsi="Times New Roman" w:cs="Times New Roman"/>
          <w:b/>
          <w:bCs/>
          <w:i/>
          <w:iCs/>
          <w:color w:val="000000"/>
          <w:kern w:val="24"/>
          <w:sz w:val="20"/>
          <w:szCs w:val="20"/>
          <w:u w:val="single"/>
        </w:rPr>
        <w:t>11</w:t>
      </w:r>
      <w:r w:rsidRPr="00C54E2F">
        <w:rPr>
          <w:rFonts w:ascii="Times New Roman" w:eastAsia="+mn-ea" w:hAnsi="Times New Roman" w:cs="Times New Roman"/>
          <w:b/>
          <w:bCs/>
          <w:i/>
          <w:iCs/>
          <w:color w:val="000000"/>
          <w:kern w:val="24"/>
          <w:sz w:val="20"/>
          <w:szCs w:val="20"/>
          <w:u w:val="single"/>
        </w:rPr>
        <w:t>: Type 1 channel access with lowest CAPC value can be performed for transmitting a PSFCH outside of a COT where the corresponding PSSCH is transmitted.</w:t>
      </w:r>
    </w:p>
    <w:p w14:paraId="2BB69E2D" w14:textId="77777777" w:rsidR="00681730" w:rsidRPr="00C54E2F" w:rsidRDefault="00681730" w:rsidP="0068173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681730">
        <w:rPr>
          <w:rFonts w:ascii="Times New Roman" w:eastAsia="+mn-ea" w:hAnsi="Times New Roman" w:cs="Times New Roman"/>
          <w:b/>
          <w:bCs/>
          <w:i/>
          <w:iCs/>
          <w:color w:val="000000"/>
          <w:kern w:val="24"/>
          <w:sz w:val="20"/>
          <w:szCs w:val="20"/>
          <w:u w:val="single"/>
        </w:rPr>
        <w:t>Proposal 12:</w:t>
      </w:r>
      <w:r w:rsidRPr="00C54E2F">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In case of 16us gap, UE applies Type 2C channel access if </w:t>
      </w:r>
      <w:r w:rsidRPr="00CD6405">
        <w:rPr>
          <w:rFonts w:ascii="Times New Roman" w:eastAsia="+mn-ea" w:hAnsi="Times New Roman" w:cs="Times New Roman"/>
          <w:b/>
          <w:bCs/>
          <w:i/>
          <w:iCs/>
          <w:color w:val="000000"/>
          <w:kern w:val="24"/>
          <w:sz w:val="20"/>
          <w:szCs w:val="20"/>
          <w:u w:val="single"/>
        </w:rPr>
        <w:t xml:space="preserve">the corresponding transmission is </w:t>
      </w:r>
      <w:proofErr w:type="spellStart"/>
      <w:r w:rsidRPr="00CD6405">
        <w:rPr>
          <w:rFonts w:ascii="Times New Roman" w:eastAsia="+mn-ea" w:hAnsi="Times New Roman" w:cs="Times New Roman"/>
          <w:b/>
          <w:bCs/>
          <w:i/>
          <w:iCs/>
          <w:color w:val="000000"/>
          <w:kern w:val="24"/>
          <w:sz w:val="20"/>
          <w:szCs w:val="20"/>
          <w:u w:val="single"/>
        </w:rPr>
        <w:t>not</w:t>
      </w:r>
      <w:r>
        <w:rPr>
          <w:rFonts w:ascii="Times New Roman" w:eastAsia="+mn-ea" w:hAnsi="Times New Roman" w:cs="Times New Roman"/>
          <w:b/>
          <w:bCs/>
          <w:i/>
          <w:iCs/>
          <w:color w:val="000000"/>
          <w:kern w:val="24"/>
          <w:sz w:val="20"/>
          <w:szCs w:val="20"/>
          <w:u w:val="single"/>
        </w:rPr>
        <w:t xml:space="preserve"> </w:t>
      </w:r>
      <w:r w:rsidRPr="00CD6405">
        <w:rPr>
          <w:rFonts w:ascii="Times New Roman" w:eastAsia="+mn-ea" w:hAnsi="Times New Roman" w:cs="Times New Roman"/>
          <w:b/>
          <w:bCs/>
          <w:i/>
          <w:iCs/>
          <w:color w:val="000000"/>
          <w:kern w:val="24"/>
          <w:sz w:val="20"/>
          <w:szCs w:val="20"/>
          <w:u w:val="single"/>
        </w:rPr>
        <w:t>longer</w:t>
      </w:r>
      <w:proofErr w:type="spellEnd"/>
      <w:r w:rsidRPr="00CD6405">
        <w:rPr>
          <w:rFonts w:ascii="Times New Roman" w:eastAsia="+mn-ea" w:hAnsi="Times New Roman" w:cs="Times New Roman"/>
          <w:b/>
          <w:bCs/>
          <w:i/>
          <w:iCs/>
          <w:color w:val="000000"/>
          <w:kern w:val="24"/>
          <w:sz w:val="20"/>
          <w:szCs w:val="20"/>
          <w:u w:val="single"/>
        </w:rPr>
        <w:t xml:space="preserve"> than 584us or Type 2B otherwise</w:t>
      </w:r>
      <w:r w:rsidRPr="00C54E2F">
        <w:rPr>
          <w:rFonts w:ascii="Times New Roman" w:eastAsia="+mn-ea" w:hAnsi="Times New Roman" w:cs="Times New Roman"/>
          <w:b/>
          <w:bCs/>
          <w:i/>
          <w:iCs/>
          <w:color w:val="000000"/>
          <w:kern w:val="24"/>
          <w:sz w:val="20"/>
          <w:szCs w:val="20"/>
          <w:u w:val="single"/>
        </w:rPr>
        <w:t>.</w:t>
      </w:r>
    </w:p>
    <w:p w14:paraId="67A1206C" w14:textId="77777777" w:rsidR="00681730" w:rsidRPr="00681730" w:rsidRDefault="00681730" w:rsidP="0068173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681730">
        <w:rPr>
          <w:rFonts w:ascii="Times New Roman" w:eastAsia="+mn-ea" w:hAnsi="Times New Roman" w:cs="Times New Roman"/>
          <w:b/>
          <w:bCs/>
          <w:i/>
          <w:iCs/>
          <w:color w:val="000000"/>
          <w:kern w:val="24"/>
          <w:sz w:val="20"/>
          <w:szCs w:val="20"/>
          <w:u w:val="single"/>
        </w:rPr>
        <w:t>Proposal 1</w:t>
      </w:r>
      <w:r>
        <w:rPr>
          <w:rFonts w:ascii="Times New Roman" w:eastAsia="+mn-ea" w:hAnsi="Times New Roman" w:cs="Times New Roman"/>
          <w:b/>
          <w:bCs/>
          <w:i/>
          <w:iCs/>
          <w:color w:val="000000"/>
          <w:kern w:val="24"/>
          <w:sz w:val="20"/>
          <w:szCs w:val="20"/>
          <w:u w:val="single"/>
        </w:rPr>
        <w:t>3</w:t>
      </w:r>
      <w:r w:rsidRPr="00681730">
        <w:rPr>
          <w:rFonts w:ascii="Times New Roman" w:eastAsia="+mn-ea" w:hAnsi="Times New Roman" w:cs="Times New Roman"/>
          <w:b/>
          <w:bCs/>
          <w:i/>
          <w:iCs/>
          <w:color w:val="000000"/>
          <w:kern w:val="24"/>
          <w:sz w:val="20"/>
          <w:szCs w:val="20"/>
          <w:u w:val="single"/>
        </w:rPr>
        <w:t>: Support UL multiple channel access procedure from NR-U as in Rel-17 37.213</w:t>
      </w:r>
    </w:p>
    <w:p w14:paraId="2B65B42A" w14:textId="77777777" w:rsidR="00681730" w:rsidRPr="00681730" w:rsidRDefault="00681730" w:rsidP="00681730">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681730">
        <w:rPr>
          <w:rFonts w:ascii="Times New Roman" w:eastAsia="+mn-ea" w:hAnsi="Times New Roman" w:cs="Times New Roman"/>
          <w:b/>
          <w:bCs/>
          <w:i/>
          <w:iCs/>
          <w:color w:val="000000"/>
          <w:kern w:val="24"/>
          <w:sz w:val="20"/>
          <w:szCs w:val="20"/>
          <w:u w:val="single"/>
        </w:rPr>
        <w:t>Proposal 1</w:t>
      </w:r>
      <w:r>
        <w:rPr>
          <w:rFonts w:ascii="Times New Roman" w:eastAsia="+mn-ea" w:hAnsi="Times New Roman" w:cs="Times New Roman"/>
          <w:b/>
          <w:bCs/>
          <w:i/>
          <w:iCs/>
          <w:color w:val="000000"/>
          <w:kern w:val="24"/>
          <w:sz w:val="20"/>
          <w:szCs w:val="20"/>
          <w:u w:val="single"/>
        </w:rPr>
        <w:t>4</w:t>
      </w:r>
      <w:r w:rsidRPr="00681730">
        <w:rPr>
          <w:rFonts w:ascii="Times New Roman" w:eastAsia="+mn-ea" w:hAnsi="Times New Roman" w:cs="Times New Roman"/>
          <w:b/>
          <w:bCs/>
          <w:i/>
          <w:iCs/>
          <w:color w:val="000000"/>
          <w:kern w:val="24"/>
          <w:sz w:val="20"/>
          <w:szCs w:val="20"/>
          <w:u w:val="single"/>
        </w:rPr>
        <w:t xml:space="preserve">: Before discussing relaxations of channel access </w:t>
      </w:r>
      <w:proofErr w:type="spellStart"/>
      <w:r w:rsidRPr="00681730">
        <w:rPr>
          <w:rFonts w:ascii="Times New Roman" w:eastAsia="+mn-ea" w:hAnsi="Times New Roman" w:cs="Times New Roman"/>
          <w:b/>
          <w:bCs/>
          <w:i/>
          <w:iCs/>
          <w:color w:val="000000"/>
          <w:kern w:val="24"/>
          <w:sz w:val="20"/>
          <w:szCs w:val="20"/>
          <w:u w:val="single"/>
        </w:rPr>
        <w:t>behaviour</w:t>
      </w:r>
      <w:proofErr w:type="spellEnd"/>
      <w:r w:rsidRPr="00681730">
        <w:rPr>
          <w:rFonts w:ascii="Times New Roman" w:eastAsia="+mn-ea" w:hAnsi="Times New Roman" w:cs="Times New Roman"/>
          <w:b/>
          <w:bCs/>
          <w:i/>
          <w:iCs/>
          <w:color w:val="000000"/>
          <w:kern w:val="24"/>
          <w:sz w:val="20"/>
          <w:szCs w:val="20"/>
          <w:u w:val="single"/>
        </w:rPr>
        <w:t xml:space="preserve"> for SL-U in case of multiple TB transmissions on a carrier, RAN1 needs to have the technical discussion and agreement whether such a new transmission </w:t>
      </w:r>
      <w:proofErr w:type="spellStart"/>
      <w:r w:rsidRPr="00681730">
        <w:rPr>
          <w:rFonts w:ascii="Times New Roman" w:eastAsia="+mn-ea" w:hAnsi="Times New Roman" w:cs="Times New Roman"/>
          <w:b/>
          <w:bCs/>
          <w:i/>
          <w:iCs/>
          <w:color w:val="000000"/>
          <w:kern w:val="24"/>
          <w:sz w:val="20"/>
          <w:szCs w:val="20"/>
          <w:u w:val="single"/>
        </w:rPr>
        <w:t>behaviour</w:t>
      </w:r>
      <w:proofErr w:type="spellEnd"/>
      <w:r w:rsidRPr="00681730">
        <w:rPr>
          <w:rFonts w:ascii="Times New Roman" w:eastAsia="+mn-ea" w:hAnsi="Times New Roman" w:cs="Times New Roman"/>
          <w:b/>
          <w:bCs/>
          <w:i/>
          <w:iCs/>
          <w:color w:val="000000"/>
          <w:kern w:val="24"/>
          <w:sz w:val="20"/>
          <w:szCs w:val="20"/>
          <w:u w:val="single"/>
        </w:rPr>
        <w:t xml:space="preserve"> will be supported.</w:t>
      </w:r>
    </w:p>
    <w:p w14:paraId="08B32264" w14:textId="13BA36B7" w:rsidR="00C05F99" w:rsidRDefault="00C05F99" w:rsidP="00C05F9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1</w:t>
      </w:r>
      <w:r w:rsidR="00681730">
        <w:rPr>
          <w:rFonts w:ascii="Times New Roman" w:eastAsia="+mn-ea" w:hAnsi="Times New Roman" w:cs="Times New Roman"/>
          <w:b/>
          <w:bCs/>
          <w:i/>
          <w:iCs/>
          <w:color w:val="000000"/>
          <w:kern w:val="24"/>
          <w:sz w:val="20"/>
          <w:szCs w:val="20"/>
          <w:u w:val="single"/>
        </w:rPr>
        <w:t>5</w:t>
      </w:r>
      <w:r w:rsidRPr="00380BE5">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COT sharing indication includes </w:t>
      </w:r>
      <w:r w:rsidRPr="00EB0187">
        <w:rPr>
          <w:rFonts w:ascii="Times New Roman" w:eastAsia="+mn-ea" w:hAnsi="Times New Roman" w:cs="Times New Roman"/>
          <w:b/>
          <w:bCs/>
          <w:i/>
          <w:iCs/>
          <w:color w:val="000000"/>
          <w:kern w:val="24"/>
          <w:sz w:val="20"/>
          <w:szCs w:val="20"/>
          <w:u w:val="single"/>
        </w:rPr>
        <w:t>remaining duration in terms of number of physical slots, channel access priority value, destination id</w:t>
      </w:r>
      <w:r>
        <w:rPr>
          <w:rFonts w:ascii="Times New Roman" w:eastAsia="+mn-ea" w:hAnsi="Times New Roman" w:cs="Times New Roman"/>
          <w:b/>
          <w:bCs/>
          <w:i/>
          <w:iCs/>
          <w:color w:val="000000"/>
          <w:kern w:val="24"/>
          <w:sz w:val="20"/>
          <w:szCs w:val="20"/>
          <w:u w:val="single"/>
        </w:rPr>
        <w:t xml:space="preserve"> and/or range</w:t>
      </w:r>
      <w:r w:rsidRPr="00EB0187">
        <w:rPr>
          <w:rFonts w:ascii="Times New Roman" w:eastAsia="+mn-ea" w:hAnsi="Times New Roman" w:cs="Times New Roman"/>
          <w:b/>
          <w:bCs/>
          <w:i/>
          <w:iCs/>
          <w:color w:val="000000"/>
          <w:kern w:val="24"/>
          <w:sz w:val="20"/>
          <w:szCs w:val="20"/>
          <w:u w:val="single"/>
        </w:rPr>
        <w:t xml:space="preserve"> of the COT recipient</w:t>
      </w:r>
    </w:p>
    <w:p w14:paraId="5F0F7F14" w14:textId="2F880522" w:rsidR="00C05F99" w:rsidRDefault="00C05F99" w:rsidP="002134B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Pr>
          <w:rFonts w:ascii="Times New Roman" w:eastAsia="+mn-ea" w:hAnsi="Times New Roman" w:cs="Times New Roman"/>
          <w:b/>
          <w:bCs/>
          <w:i/>
          <w:iCs/>
          <w:color w:val="000000"/>
          <w:kern w:val="24"/>
          <w:sz w:val="20"/>
          <w:szCs w:val="20"/>
          <w:u w:val="single"/>
        </w:rPr>
        <w:t>Proposal 1</w:t>
      </w:r>
      <w:r w:rsidR="00681730">
        <w:rPr>
          <w:rFonts w:ascii="Times New Roman" w:eastAsia="+mn-ea" w:hAnsi="Times New Roman" w:cs="Times New Roman"/>
          <w:b/>
          <w:bCs/>
          <w:i/>
          <w:iCs/>
          <w:color w:val="000000"/>
          <w:kern w:val="24"/>
          <w:sz w:val="20"/>
          <w:szCs w:val="20"/>
          <w:u w:val="single"/>
        </w:rPr>
        <w:t>6</w:t>
      </w:r>
      <w:r>
        <w:rPr>
          <w:rFonts w:ascii="Times New Roman" w:eastAsia="+mn-ea" w:hAnsi="Times New Roman" w:cs="Times New Roman"/>
          <w:b/>
          <w:bCs/>
          <w:i/>
          <w:iCs/>
          <w:color w:val="000000"/>
          <w:kern w:val="24"/>
          <w:sz w:val="20"/>
          <w:szCs w:val="20"/>
          <w:u w:val="single"/>
        </w:rPr>
        <w:t>: COT initiator should have the flexibility to transmit COT sharing indicator to a one-one or one to many UEs/destinations</w:t>
      </w:r>
    </w:p>
    <w:p w14:paraId="079AD08B" w14:textId="1086BD0F" w:rsidR="00C05F99" w:rsidRPr="00380BE5" w:rsidRDefault="00C05F99" w:rsidP="00C05F9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w:t>
      </w:r>
      <w:r w:rsidR="00681730">
        <w:rPr>
          <w:rFonts w:ascii="Times New Roman" w:eastAsia="+mn-ea" w:hAnsi="Times New Roman" w:cs="Times New Roman"/>
          <w:b/>
          <w:bCs/>
          <w:i/>
          <w:iCs/>
          <w:color w:val="000000"/>
          <w:kern w:val="24"/>
          <w:sz w:val="20"/>
          <w:szCs w:val="20"/>
          <w:u w:val="single"/>
        </w:rPr>
        <w:t>7</w:t>
      </w:r>
      <w:r w:rsidRPr="00380BE5">
        <w:rPr>
          <w:rFonts w:ascii="Times New Roman" w:eastAsia="+mn-ea" w:hAnsi="Times New Roman" w:cs="Times New Roman"/>
          <w:b/>
          <w:bCs/>
          <w:i/>
          <w:iCs/>
          <w:color w:val="000000"/>
          <w:kern w:val="24"/>
          <w:sz w:val="20"/>
          <w:szCs w:val="20"/>
          <w:u w:val="single"/>
        </w:rPr>
        <w:t xml:space="preserve">: COT recipient should have the flexibility to use the shared COT to transmit unicast, groupcast, broadcast data </w:t>
      </w:r>
    </w:p>
    <w:p w14:paraId="4473C4A2" w14:textId="1C4E16C0" w:rsidR="00C05F99" w:rsidRPr="00380BE5" w:rsidRDefault="00C05F99" w:rsidP="00C05F9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w:t>
      </w:r>
      <w:r w:rsidR="00681730">
        <w:rPr>
          <w:rFonts w:ascii="Times New Roman" w:eastAsia="+mn-ea" w:hAnsi="Times New Roman" w:cs="Times New Roman"/>
          <w:b/>
          <w:bCs/>
          <w:i/>
          <w:iCs/>
          <w:color w:val="000000"/>
          <w:kern w:val="24"/>
          <w:sz w:val="20"/>
          <w:szCs w:val="20"/>
          <w:u w:val="single"/>
        </w:rPr>
        <w:t>8</w:t>
      </w:r>
      <w:r w:rsidRPr="00380BE5">
        <w:rPr>
          <w:rFonts w:ascii="Times New Roman" w:eastAsia="+mn-ea" w:hAnsi="Times New Roman" w:cs="Times New Roman"/>
          <w:b/>
          <w:bCs/>
          <w:i/>
          <w:iCs/>
          <w:color w:val="000000"/>
          <w:kern w:val="24"/>
          <w:sz w:val="20"/>
          <w:szCs w:val="20"/>
          <w:u w:val="single"/>
        </w:rPr>
        <w:t xml:space="preserve">: COT recipient could use the shared COT to make PSSCH, PSFCH transmissions to any UEs or destination ids with a restriction that atleast one transmissions is to be made to the UE or source-destination id that provided the COT sharing indicator </w:t>
      </w:r>
    </w:p>
    <w:p w14:paraId="35205FF5" w14:textId="6A33E30B" w:rsidR="002134BD" w:rsidRDefault="002134BD" w:rsidP="002134B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C05F99">
        <w:rPr>
          <w:rFonts w:ascii="Times New Roman" w:eastAsia="+mn-ea" w:hAnsi="Times New Roman" w:cs="Times New Roman"/>
          <w:b/>
          <w:bCs/>
          <w:i/>
          <w:iCs/>
          <w:color w:val="000000"/>
          <w:kern w:val="24"/>
          <w:sz w:val="20"/>
          <w:szCs w:val="20"/>
          <w:u w:val="single"/>
        </w:rPr>
        <w:t>1</w:t>
      </w:r>
      <w:r w:rsidR="00681730">
        <w:rPr>
          <w:rFonts w:ascii="Times New Roman" w:eastAsia="+mn-ea" w:hAnsi="Times New Roman" w:cs="Times New Roman"/>
          <w:b/>
          <w:bCs/>
          <w:i/>
          <w:iCs/>
          <w:color w:val="000000"/>
          <w:kern w:val="24"/>
          <w:sz w:val="20"/>
          <w:szCs w:val="20"/>
          <w:u w:val="single"/>
        </w:rPr>
        <w:t>9</w:t>
      </w:r>
      <w:r w:rsidRPr="00380BE5">
        <w:rPr>
          <w:rFonts w:ascii="Times New Roman" w:eastAsia="+mn-ea" w:hAnsi="Times New Roman" w:cs="Times New Roman"/>
          <w:b/>
          <w:bCs/>
          <w:i/>
          <w:iCs/>
          <w:color w:val="000000"/>
          <w:kern w:val="24"/>
          <w:sz w:val="20"/>
          <w:szCs w:val="20"/>
          <w:u w:val="single"/>
        </w:rPr>
        <w:t xml:space="preserve">: RAN1 needs to study mechanism for COT recipient to select one COT sharing indicator/COT donor </w:t>
      </w:r>
    </w:p>
    <w:p w14:paraId="24BF4701" w14:textId="102CE6D1" w:rsidR="002134BD" w:rsidRDefault="002134BD" w:rsidP="000C654B">
      <w:pPr>
        <w:pStyle w:val="BodyText"/>
        <w:rPr>
          <w:rFonts w:ascii="Arial" w:hAnsi="Arial" w:cs="Arial"/>
          <w:lang w:val="en-US"/>
        </w:rPr>
      </w:pPr>
      <w:r w:rsidRPr="00380BE5">
        <w:rPr>
          <w:rFonts w:eastAsia="+mn-ea"/>
          <w:b/>
          <w:bCs/>
          <w:i/>
          <w:iCs/>
          <w:color w:val="000000"/>
          <w:kern w:val="24"/>
          <w:u w:val="single"/>
          <w:lang w:eastAsia="zh-CN"/>
        </w:rPr>
        <w:t xml:space="preserve">Proposal </w:t>
      </w:r>
      <w:r w:rsidR="00681730">
        <w:rPr>
          <w:rFonts w:eastAsia="+mn-ea"/>
          <w:b/>
          <w:bCs/>
          <w:i/>
          <w:iCs/>
          <w:color w:val="000000"/>
          <w:kern w:val="24"/>
          <w:u w:val="single"/>
          <w:lang w:val="en-US" w:eastAsia="zh-CN"/>
        </w:rPr>
        <w:t>20</w:t>
      </w:r>
      <w:r w:rsidRPr="00380BE5">
        <w:rPr>
          <w:rFonts w:eastAsia="+mn-ea"/>
          <w:b/>
          <w:bCs/>
          <w:i/>
          <w:iCs/>
          <w:color w:val="000000"/>
          <w:kern w:val="24"/>
          <w:u w:val="single"/>
          <w:lang w:eastAsia="zh-CN"/>
        </w:rPr>
        <w:t>: RAN1 support short control signalling exemption in sidelink unlicensed operation  for S-SSB, PSFCH</w:t>
      </w:r>
    </w:p>
    <w:p w14:paraId="20B1DF32" w14:textId="604F6C39" w:rsidR="00C05F99" w:rsidRPr="00380BE5" w:rsidRDefault="00C05F99" w:rsidP="00C05F99">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681730">
        <w:rPr>
          <w:rFonts w:ascii="Times New Roman" w:eastAsia="+mn-ea" w:hAnsi="Times New Roman" w:cs="Times New Roman"/>
          <w:b/>
          <w:bCs/>
          <w:i/>
          <w:iCs/>
          <w:color w:val="000000"/>
          <w:kern w:val="24"/>
          <w:sz w:val="20"/>
          <w:szCs w:val="20"/>
          <w:u w:val="single"/>
        </w:rPr>
        <w:t>21</w:t>
      </w:r>
      <w:r w:rsidRPr="00380BE5">
        <w:rPr>
          <w:rFonts w:ascii="Times New Roman" w:eastAsia="+mn-ea" w:hAnsi="Times New Roman" w:cs="Times New Roman"/>
          <w:b/>
          <w:bCs/>
          <w:i/>
          <w:iCs/>
          <w:color w:val="000000"/>
          <w:kern w:val="24"/>
          <w:sz w:val="20"/>
          <w:szCs w:val="20"/>
          <w:u w:val="single"/>
        </w:rPr>
        <w:t>: RAN1 to study on the contention window size update procedure considering different cast type, transmission/reception from multiple Rx UEs or destinations and different HARQ feedback types</w:t>
      </w:r>
      <w:r>
        <w:rPr>
          <w:rFonts w:ascii="Times New Roman" w:eastAsia="+mn-ea" w:hAnsi="Times New Roman" w:cs="Times New Roman"/>
          <w:b/>
          <w:bCs/>
          <w:i/>
          <w:iCs/>
          <w:color w:val="000000"/>
          <w:kern w:val="24"/>
          <w:sz w:val="20"/>
          <w:szCs w:val="20"/>
          <w:u w:val="single"/>
        </w:rPr>
        <w:t xml:space="preserve"> e.g., groupcast option-1</w:t>
      </w:r>
    </w:p>
    <w:p w14:paraId="62839B6C" w14:textId="6DD6E42B" w:rsidR="002134BD" w:rsidRDefault="002134BD" w:rsidP="002134B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681730">
        <w:rPr>
          <w:rFonts w:ascii="Times New Roman" w:eastAsia="+mn-ea" w:hAnsi="Times New Roman" w:cs="Times New Roman"/>
          <w:b/>
          <w:bCs/>
          <w:i/>
          <w:iCs/>
          <w:color w:val="000000"/>
          <w:kern w:val="24"/>
          <w:sz w:val="20"/>
          <w:szCs w:val="20"/>
          <w:u w:val="single"/>
        </w:rPr>
        <w:t>22</w:t>
      </w:r>
      <w:r w:rsidRPr="00380BE5">
        <w:rPr>
          <w:rFonts w:ascii="Times New Roman" w:eastAsia="+mn-ea" w:hAnsi="Times New Roman" w:cs="Times New Roman"/>
          <w:b/>
          <w:bCs/>
          <w:i/>
          <w:iCs/>
          <w:color w:val="000000"/>
          <w:kern w:val="24"/>
          <w:sz w:val="20"/>
          <w:szCs w:val="20"/>
          <w:u w:val="single"/>
        </w:rPr>
        <w:t xml:space="preserve">: RAN1 to study the benefit of introducing the one-shot HARQ feedback, non-numerical HARQ feedback timing indicator features for sidelink unlicensed operation </w:t>
      </w:r>
    </w:p>
    <w:p w14:paraId="607AE0B0" w14:textId="53ADC5CC" w:rsidR="002134BD" w:rsidRDefault="002134BD" w:rsidP="002134B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C05F99">
        <w:rPr>
          <w:rFonts w:ascii="Times New Roman" w:eastAsia="+mn-ea" w:hAnsi="Times New Roman" w:cs="Times New Roman"/>
          <w:b/>
          <w:bCs/>
          <w:i/>
          <w:iCs/>
          <w:color w:val="000000"/>
          <w:kern w:val="24"/>
          <w:sz w:val="20"/>
          <w:szCs w:val="20"/>
          <w:u w:val="single"/>
        </w:rPr>
        <w:t>2</w:t>
      </w:r>
      <w:r w:rsidR="00681730">
        <w:rPr>
          <w:rFonts w:ascii="Times New Roman" w:eastAsia="+mn-ea" w:hAnsi="Times New Roman" w:cs="Times New Roman"/>
          <w:b/>
          <w:bCs/>
          <w:i/>
          <w:iCs/>
          <w:color w:val="000000"/>
          <w:kern w:val="24"/>
          <w:sz w:val="20"/>
          <w:szCs w:val="20"/>
          <w:u w:val="single"/>
        </w:rPr>
        <w:t>3</w:t>
      </w:r>
      <w:r w:rsidRPr="00380BE5">
        <w:rPr>
          <w:rFonts w:ascii="Times New Roman" w:eastAsia="+mn-ea" w:hAnsi="Times New Roman" w:cs="Times New Roman"/>
          <w:b/>
          <w:bCs/>
          <w:i/>
          <w:iCs/>
          <w:color w:val="000000"/>
          <w:kern w:val="24"/>
          <w:sz w:val="20"/>
          <w:szCs w:val="20"/>
          <w:u w:val="single"/>
        </w:rPr>
        <w:t>: RAN1 to study the benefit of delaying the generation and transmission of SL HARQ feedback using non-numerical HARQ feedback timing value for an unlicensed spectrum</w:t>
      </w:r>
    </w:p>
    <w:p w14:paraId="05E48421" w14:textId="63B433B7" w:rsidR="002134BD" w:rsidRPr="00380BE5" w:rsidRDefault="002134BD" w:rsidP="002134BD">
      <w:pPr>
        <w:pStyle w:val="NormalWeb"/>
        <w:spacing w:before="77" w:beforeAutospacing="0" w:after="120" w:afterAutospacing="0"/>
        <w:rPr>
          <w:rFonts w:ascii="Times New Roman" w:eastAsia="+mn-ea" w:hAnsi="Times New Roman" w:cs="Times New Roman"/>
          <w:b/>
          <w:bCs/>
          <w:i/>
          <w:iCs/>
          <w:color w:val="000000"/>
          <w:kern w:val="24"/>
          <w:sz w:val="20"/>
          <w:szCs w:val="20"/>
          <w:u w:val="single"/>
        </w:rPr>
      </w:pPr>
      <w:r w:rsidRPr="00380BE5">
        <w:rPr>
          <w:rFonts w:ascii="Times New Roman" w:eastAsia="+mn-ea" w:hAnsi="Times New Roman" w:cs="Times New Roman"/>
          <w:b/>
          <w:bCs/>
          <w:i/>
          <w:iCs/>
          <w:color w:val="000000"/>
          <w:kern w:val="24"/>
          <w:sz w:val="20"/>
          <w:szCs w:val="20"/>
          <w:u w:val="single"/>
        </w:rPr>
        <w:t xml:space="preserve">Proposal </w:t>
      </w:r>
      <w:r w:rsidR="00C05F99">
        <w:rPr>
          <w:rFonts w:ascii="Times New Roman" w:eastAsia="+mn-ea" w:hAnsi="Times New Roman" w:cs="Times New Roman"/>
          <w:b/>
          <w:bCs/>
          <w:i/>
          <w:iCs/>
          <w:color w:val="000000"/>
          <w:kern w:val="24"/>
          <w:sz w:val="20"/>
          <w:szCs w:val="20"/>
          <w:u w:val="single"/>
        </w:rPr>
        <w:t>2</w:t>
      </w:r>
      <w:r w:rsidR="00681730">
        <w:rPr>
          <w:rFonts w:ascii="Times New Roman" w:eastAsia="+mn-ea" w:hAnsi="Times New Roman" w:cs="Times New Roman"/>
          <w:b/>
          <w:bCs/>
          <w:i/>
          <w:iCs/>
          <w:color w:val="000000"/>
          <w:kern w:val="24"/>
          <w:sz w:val="20"/>
          <w:szCs w:val="20"/>
          <w:u w:val="single"/>
        </w:rPr>
        <w:t>4</w:t>
      </w:r>
      <w:r w:rsidRPr="00380BE5">
        <w:rPr>
          <w:rFonts w:ascii="Times New Roman" w:eastAsia="+mn-ea" w:hAnsi="Times New Roman" w:cs="Times New Roman"/>
          <w:b/>
          <w:bCs/>
          <w:i/>
          <w:iCs/>
          <w:color w:val="000000"/>
          <w:kern w:val="24"/>
          <w:sz w:val="20"/>
          <w:szCs w:val="20"/>
          <w:u w:val="single"/>
        </w:rPr>
        <w:t>: RAN1 could further study the PSFCH enhancement to mitigate problems arising due to delayed sidelink HARQ feedback reception for an unlicensed spectrum</w:t>
      </w:r>
    </w:p>
    <w:p w14:paraId="62C710D8" w14:textId="09DE11C1" w:rsidR="002134BD" w:rsidRDefault="002134BD" w:rsidP="000C654B">
      <w:pPr>
        <w:pStyle w:val="BodyText"/>
        <w:rPr>
          <w:rFonts w:ascii="Arial" w:hAnsi="Arial" w:cs="Arial"/>
          <w:lang w:val="en-US"/>
        </w:rPr>
      </w:pPr>
    </w:p>
    <w:p w14:paraId="275BC014" w14:textId="77777777" w:rsidR="002134BD" w:rsidRPr="00FF07FE" w:rsidRDefault="002134BD"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6B035161" w14:textId="72143E18" w:rsidR="002134BD" w:rsidRDefault="002134BD" w:rsidP="002134BD">
      <w:pPr>
        <w:pStyle w:val="References"/>
        <w:rPr>
          <w:lang w:bidi="en-US"/>
        </w:rPr>
      </w:pPr>
      <w:bookmarkStart w:id="8" w:name="_Ref7816821"/>
      <w:bookmarkStart w:id="9" w:name="_Ref21117639"/>
      <w:r w:rsidRPr="00433EC8">
        <w:rPr>
          <w:lang w:bidi="en-US"/>
        </w:rPr>
        <w:t>RP-213678, “New WID on NR Sidelink evolution”, RAN#94-e, Dec. 2021.</w:t>
      </w:r>
      <w:bookmarkEnd w:id="8"/>
      <w:bookmarkEnd w:id="9"/>
    </w:p>
    <w:p w14:paraId="0D9F182E" w14:textId="3870C7AD" w:rsidR="00880669" w:rsidRPr="00880669" w:rsidRDefault="00880669" w:rsidP="00880669">
      <w:pPr>
        <w:pStyle w:val="References"/>
        <w:rPr>
          <w:lang w:bidi="en-US"/>
        </w:rPr>
      </w:pPr>
      <w:r>
        <w:rPr>
          <w:lang w:bidi="en-US"/>
        </w:rPr>
        <w:t>Chairman’s notes on RAN1#109e</w:t>
      </w:r>
    </w:p>
    <w:p w14:paraId="5B79326A" w14:textId="2801E036" w:rsidR="000C654B" w:rsidRDefault="000C654B" w:rsidP="002134BD">
      <w:pPr>
        <w:pStyle w:val="References"/>
        <w:numPr>
          <w:ilvl w:val="0"/>
          <w:numId w:val="0"/>
        </w:numPr>
        <w:ind w:left="360"/>
      </w:pPr>
    </w:p>
    <w:p w14:paraId="599B833B" w14:textId="77777777" w:rsidR="001A2F7B" w:rsidRPr="001A2F7B" w:rsidRDefault="001A2F7B" w:rsidP="001A2F7B">
      <w:pPr>
        <w:rPr>
          <w:lang w:eastAsia="en-US"/>
        </w:rPr>
      </w:pP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E6F18" w14:textId="77777777" w:rsidR="00B06C3D" w:rsidRDefault="00B06C3D" w:rsidP="000D45AD">
      <w:pPr>
        <w:spacing w:after="0" w:line="240" w:lineRule="auto"/>
      </w:pPr>
      <w:r>
        <w:separator/>
      </w:r>
    </w:p>
  </w:endnote>
  <w:endnote w:type="continuationSeparator" w:id="0">
    <w:p w14:paraId="4A879EBC" w14:textId="77777777" w:rsidR="00B06C3D" w:rsidRDefault="00B06C3D"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n-ea">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AF163" w14:textId="77777777" w:rsidR="00B06C3D" w:rsidRDefault="00B06C3D" w:rsidP="000D45AD">
      <w:pPr>
        <w:spacing w:after="0" w:line="240" w:lineRule="auto"/>
      </w:pPr>
      <w:r>
        <w:separator/>
      </w:r>
    </w:p>
  </w:footnote>
  <w:footnote w:type="continuationSeparator" w:id="0">
    <w:p w14:paraId="38FC7018" w14:textId="77777777" w:rsidR="00B06C3D" w:rsidRDefault="00B06C3D"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845897"/>
    <w:multiLevelType w:val="hybridMultilevel"/>
    <w:tmpl w:val="B7583CB6"/>
    <w:lvl w:ilvl="0" w:tplc="04090005">
      <w:start w:val="1"/>
      <w:numFmt w:val="bullet"/>
      <w:lvlText w:val=""/>
      <w:lvlJc w:val="left"/>
      <w:pPr>
        <w:ind w:left="824" w:hanging="360"/>
      </w:pPr>
      <w:rPr>
        <w:rFonts w:ascii="Wingdings" w:hAnsi="Wingdings"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50836"/>
    <w:multiLevelType w:val="hybridMultilevel"/>
    <w:tmpl w:val="49686730"/>
    <w:lvl w:ilvl="0" w:tplc="F188A6D8">
      <w:start w:val="1"/>
      <w:numFmt w:val="bullet"/>
      <w:lvlText w:val="•"/>
      <w:lvlJc w:val="left"/>
      <w:pPr>
        <w:tabs>
          <w:tab w:val="num" w:pos="720"/>
        </w:tabs>
        <w:ind w:left="720" w:hanging="360"/>
      </w:pPr>
      <w:rPr>
        <w:rFonts w:ascii="Arial" w:hAnsi="Arial" w:hint="default"/>
      </w:rPr>
    </w:lvl>
    <w:lvl w:ilvl="1" w:tplc="1E981B8E" w:tentative="1">
      <w:start w:val="1"/>
      <w:numFmt w:val="bullet"/>
      <w:lvlText w:val="•"/>
      <w:lvlJc w:val="left"/>
      <w:pPr>
        <w:tabs>
          <w:tab w:val="num" w:pos="1440"/>
        </w:tabs>
        <w:ind w:left="1440" w:hanging="360"/>
      </w:pPr>
      <w:rPr>
        <w:rFonts w:ascii="Arial" w:hAnsi="Arial" w:hint="default"/>
      </w:rPr>
    </w:lvl>
    <w:lvl w:ilvl="2" w:tplc="61D80EC2" w:tentative="1">
      <w:start w:val="1"/>
      <w:numFmt w:val="bullet"/>
      <w:lvlText w:val="•"/>
      <w:lvlJc w:val="left"/>
      <w:pPr>
        <w:tabs>
          <w:tab w:val="num" w:pos="2160"/>
        </w:tabs>
        <w:ind w:left="2160" w:hanging="360"/>
      </w:pPr>
      <w:rPr>
        <w:rFonts w:ascii="Arial" w:hAnsi="Arial" w:hint="default"/>
      </w:rPr>
    </w:lvl>
    <w:lvl w:ilvl="3" w:tplc="976CB0A0" w:tentative="1">
      <w:start w:val="1"/>
      <w:numFmt w:val="bullet"/>
      <w:lvlText w:val="•"/>
      <w:lvlJc w:val="left"/>
      <w:pPr>
        <w:tabs>
          <w:tab w:val="num" w:pos="2880"/>
        </w:tabs>
        <w:ind w:left="2880" w:hanging="360"/>
      </w:pPr>
      <w:rPr>
        <w:rFonts w:ascii="Arial" w:hAnsi="Arial" w:hint="default"/>
      </w:rPr>
    </w:lvl>
    <w:lvl w:ilvl="4" w:tplc="6C8CBCC2" w:tentative="1">
      <w:start w:val="1"/>
      <w:numFmt w:val="bullet"/>
      <w:lvlText w:val="•"/>
      <w:lvlJc w:val="left"/>
      <w:pPr>
        <w:tabs>
          <w:tab w:val="num" w:pos="3600"/>
        </w:tabs>
        <w:ind w:left="3600" w:hanging="360"/>
      </w:pPr>
      <w:rPr>
        <w:rFonts w:ascii="Arial" w:hAnsi="Arial" w:hint="default"/>
      </w:rPr>
    </w:lvl>
    <w:lvl w:ilvl="5" w:tplc="0CFC65FE" w:tentative="1">
      <w:start w:val="1"/>
      <w:numFmt w:val="bullet"/>
      <w:lvlText w:val="•"/>
      <w:lvlJc w:val="left"/>
      <w:pPr>
        <w:tabs>
          <w:tab w:val="num" w:pos="4320"/>
        </w:tabs>
        <w:ind w:left="4320" w:hanging="360"/>
      </w:pPr>
      <w:rPr>
        <w:rFonts w:ascii="Arial" w:hAnsi="Arial" w:hint="default"/>
      </w:rPr>
    </w:lvl>
    <w:lvl w:ilvl="6" w:tplc="40AA1A96" w:tentative="1">
      <w:start w:val="1"/>
      <w:numFmt w:val="bullet"/>
      <w:lvlText w:val="•"/>
      <w:lvlJc w:val="left"/>
      <w:pPr>
        <w:tabs>
          <w:tab w:val="num" w:pos="5040"/>
        </w:tabs>
        <w:ind w:left="5040" w:hanging="360"/>
      </w:pPr>
      <w:rPr>
        <w:rFonts w:ascii="Arial" w:hAnsi="Arial" w:hint="default"/>
      </w:rPr>
    </w:lvl>
    <w:lvl w:ilvl="7" w:tplc="4FD2C170" w:tentative="1">
      <w:start w:val="1"/>
      <w:numFmt w:val="bullet"/>
      <w:lvlText w:val="•"/>
      <w:lvlJc w:val="left"/>
      <w:pPr>
        <w:tabs>
          <w:tab w:val="num" w:pos="5760"/>
        </w:tabs>
        <w:ind w:left="5760" w:hanging="360"/>
      </w:pPr>
      <w:rPr>
        <w:rFonts w:ascii="Arial" w:hAnsi="Arial" w:hint="default"/>
      </w:rPr>
    </w:lvl>
    <w:lvl w:ilvl="8" w:tplc="620244D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D0D272F"/>
    <w:multiLevelType w:val="hybridMultilevel"/>
    <w:tmpl w:val="FF8412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D360F4"/>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5066E05"/>
    <w:multiLevelType w:val="hybridMultilevel"/>
    <w:tmpl w:val="265AD4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5" w15:restartNumberingAfterBreak="0">
    <w:nsid w:val="44471F25"/>
    <w:multiLevelType w:val="hybridMultilevel"/>
    <w:tmpl w:val="B2948494"/>
    <w:lvl w:ilvl="0" w:tplc="78AE4DB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6071BE4"/>
    <w:multiLevelType w:val="hybridMultilevel"/>
    <w:tmpl w:val="5010CBD8"/>
    <w:lvl w:ilvl="0" w:tplc="81D8CC4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97227A"/>
    <w:multiLevelType w:val="hybridMultilevel"/>
    <w:tmpl w:val="14FC8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10E737E"/>
    <w:multiLevelType w:val="hybridMultilevel"/>
    <w:tmpl w:val="66DEBAD0"/>
    <w:lvl w:ilvl="0" w:tplc="81D8CC46">
      <w:numFmt w:val="bullet"/>
      <w:lvlText w:val="•"/>
      <w:lvlJc w:val="left"/>
      <w:pPr>
        <w:ind w:left="720" w:hanging="360"/>
      </w:pPr>
      <w:rPr>
        <w:rFonts w:ascii="Arial" w:eastAsia="Times New Roman" w:hAnsi="Arial" w:cs="Arial" w:hint="default"/>
      </w:rPr>
    </w:lvl>
    <w:lvl w:ilvl="1" w:tplc="9AF06FAE">
      <w:start w:val="1"/>
      <w:numFmt w:val="bullet"/>
      <w:lvlText w:val="•"/>
      <w:lvlJc w:val="left"/>
      <w:pPr>
        <w:ind w:left="1440" w:hanging="360"/>
      </w:pPr>
      <w:rPr>
        <w:rFonts w:ascii="Arial" w:hAnsi="Arial" w:hint="default"/>
      </w:rPr>
    </w:lvl>
    <w:lvl w:ilvl="2" w:tplc="04090005">
      <w:start w:val="1"/>
      <w:numFmt w:val="bullet"/>
      <w:lvlText w:val=""/>
      <w:lvlJc w:val="left"/>
      <w:pPr>
        <w:ind w:left="2160" w:hanging="180"/>
      </w:pPr>
      <w:rPr>
        <w:rFonts w:ascii="Wingdings" w:hAnsi="Wingdings" w:hint="default"/>
      </w:rPr>
    </w:lvl>
    <w:lvl w:ilvl="3" w:tplc="04090009">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655BD8"/>
    <w:multiLevelType w:val="hybridMultilevel"/>
    <w:tmpl w:val="6874C502"/>
    <w:lvl w:ilvl="0" w:tplc="A73C1F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E271BC"/>
    <w:multiLevelType w:val="hybridMultilevel"/>
    <w:tmpl w:val="FE00028E"/>
    <w:lvl w:ilvl="0" w:tplc="803CE20E">
      <w:start w:val="1"/>
      <w:numFmt w:val="bullet"/>
      <w:lvlText w:val="•"/>
      <w:lvlJc w:val="left"/>
      <w:pPr>
        <w:tabs>
          <w:tab w:val="num" w:pos="720"/>
        </w:tabs>
        <w:ind w:left="720" w:hanging="360"/>
      </w:pPr>
      <w:rPr>
        <w:rFonts w:ascii="Arial" w:hAnsi="Arial" w:hint="default"/>
      </w:rPr>
    </w:lvl>
    <w:lvl w:ilvl="1" w:tplc="DAE049A0" w:tentative="1">
      <w:start w:val="1"/>
      <w:numFmt w:val="bullet"/>
      <w:lvlText w:val="•"/>
      <w:lvlJc w:val="left"/>
      <w:pPr>
        <w:tabs>
          <w:tab w:val="num" w:pos="1440"/>
        </w:tabs>
        <w:ind w:left="1440" w:hanging="360"/>
      </w:pPr>
      <w:rPr>
        <w:rFonts w:ascii="Arial" w:hAnsi="Arial" w:hint="default"/>
      </w:rPr>
    </w:lvl>
    <w:lvl w:ilvl="2" w:tplc="153E4578" w:tentative="1">
      <w:start w:val="1"/>
      <w:numFmt w:val="bullet"/>
      <w:lvlText w:val="•"/>
      <w:lvlJc w:val="left"/>
      <w:pPr>
        <w:tabs>
          <w:tab w:val="num" w:pos="2160"/>
        </w:tabs>
        <w:ind w:left="2160" w:hanging="360"/>
      </w:pPr>
      <w:rPr>
        <w:rFonts w:ascii="Arial" w:hAnsi="Arial" w:hint="default"/>
      </w:rPr>
    </w:lvl>
    <w:lvl w:ilvl="3" w:tplc="81E84692" w:tentative="1">
      <w:start w:val="1"/>
      <w:numFmt w:val="bullet"/>
      <w:lvlText w:val="•"/>
      <w:lvlJc w:val="left"/>
      <w:pPr>
        <w:tabs>
          <w:tab w:val="num" w:pos="2880"/>
        </w:tabs>
        <w:ind w:left="2880" w:hanging="360"/>
      </w:pPr>
      <w:rPr>
        <w:rFonts w:ascii="Arial" w:hAnsi="Arial" w:hint="default"/>
      </w:rPr>
    </w:lvl>
    <w:lvl w:ilvl="4" w:tplc="9EB8A5A0" w:tentative="1">
      <w:start w:val="1"/>
      <w:numFmt w:val="bullet"/>
      <w:lvlText w:val="•"/>
      <w:lvlJc w:val="left"/>
      <w:pPr>
        <w:tabs>
          <w:tab w:val="num" w:pos="3600"/>
        </w:tabs>
        <w:ind w:left="3600" w:hanging="360"/>
      </w:pPr>
      <w:rPr>
        <w:rFonts w:ascii="Arial" w:hAnsi="Arial" w:hint="default"/>
      </w:rPr>
    </w:lvl>
    <w:lvl w:ilvl="5" w:tplc="709455AE" w:tentative="1">
      <w:start w:val="1"/>
      <w:numFmt w:val="bullet"/>
      <w:lvlText w:val="•"/>
      <w:lvlJc w:val="left"/>
      <w:pPr>
        <w:tabs>
          <w:tab w:val="num" w:pos="4320"/>
        </w:tabs>
        <w:ind w:left="4320" w:hanging="360"/>
      </w:pPr>
      <w:rPr>
        <w:rFonts w:ascii="Arial" w:hAnsi="Arial" w:hint="default"/>
      </w:rPr>
    </w:lvl>
    <w:lvl w:ilvl="6" w:tplc="73085B8A" w:tentative="1">
      <w:start w:val="1"/>
      <w:numFmt w:val="bullet"/>
      <w:lvlText w:val="•"/>
      <w:lvlJc w:val="left"/>
      <w:pPr>
        <w:tabs>
          <w:tab w:val="num" w:pos="5040"/>
        </w:tabs>
        <w:ind w:left="5040" w:hanging="360"/>
      </w:pPr>
      <w:rPr>
        <w:rFonts w:ascii="Arial" w:hAnsi="Arial" w:hint="default"/>
      </w:rPr>
    </w:lvl>
    <w:lvl w:ilvl="7" w:tplc="1EE6BAC0" w:tentative="1">
      <w:start w:val="1"/>
      <w:numFmt w:val="bullet"/>
      <w:lvlText w:val="•"/>
      <w:lvlJc w:val="left"/>
      <w:pPr>
        <w:tabs>
          <w:tab w:val="num" w:pos="5760"/>
        </w:tabs>
        <w:ind w:left="5760" w:hanging="360"/>
      </w:pPr>
      <w:rPr>
        <w:rFonts w:ascii="Arial" w:hAnsi="Arial" w:hint="default"/>
      </w:rPr>
    </w:lvl>
    <w:lvl w:ilvl="8" w:tplc="F8E86E5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0"/>
  </w:num>
  <w:num w:numId="3">
    <w:abstractNumId w:val="3"/>
  </w:num>
  <w:num w:numId="4">
    <w:abstractNumId w:val="0"/>
  </w:num>
  <w:num w:numId="5">
    <w:abstractNumId w:val="22"/>
  </w:num>
  <w:num w:numId="6">
    <w:abstractNumId w:val="24"/>
  </w:num>
  <w:num w:numId="7">
    <w:abstractNumId w:val="14"/>
  </w:num>
  <w:num w:numId="8">
    <w:abstractNumId w:val="17"/>
  </w:num>
  <w:num w:numId="9">
    <w:abstractNumId w:val="23"/>
  </w:num>
  <w:num w:numId="10">
    <w:abstractNumId w:val="2"/>
  </w:num>
  <w:num w:numId="11">
    <w:abstractNumId w:val="21"/>
  </w:num>
  <w:num w:numId="12">
    <w:abstractNumId w:val="20"/>
  </w:num>
  <w:num w:numId="13">
    <w:abstractNumId w:val="1"/>
  </w:num>
  <w:num w:numId="14">
    <w:abstractNumId w:val="4"/>
  </w:num>
  <w:num w:numId="15">
    <w:abstractNumId w:val="5"/>
  </w:num>
  <w:num w:numId="16">
    <w:abstractNumId w:val="15"/>
  </w:num>
  <w:num w:numId="17">
    <w:abstractNumId w:val="18"/>
  </w:num>
  <w:num w:numId="18">
    <w:abstractNumId w:val="10"/>
  </w:num>
  <w:num w:numId="19">
    <w:abstractNumId w:val="16"/>
  </w:num>
  <w:num w:numId="20">
    <w:abstractNumId w:val="7"/>
  </w:num>
  <w:num w:numId="21">
    <w:abstractNumId w:val="9"/>
  </w:num>
  <w:num w:numId="22">
    <w:abstractNumId w:val="6"/>
  </w:num>
  <w:num w:numId="23">
    <w:abstractNumId w:val="19"/>
  </w:num>
  <w:num w:numId="24">
    <w:abstractNumId w:val="12"/>
  </w:num>
  <w:num w:numId="25">
    <w:abstractNumId w:val="10"/>
  </w:num>
  <w:num w:numId="26">
    <w:abstractNumId w:val="8"/>
  </w:num>
  <w:num w:numId="27">
    <w:abstractNumId w:val="13"/>
  </w:num>
  <w:num w:numId="2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10905"/>
    <w:rsid w:val="00013198"/>
    <w:rsid w:val="00015320"/>
    <w:rsid w:val="000169F0"/>
    <w:rsid w:val="00021643"/>
    <w:rsid w:val="00023422"/>
    <w:rsid w:val="00027C50"/>
    <w:rsid w:val="00032974"/>
    <w:rsid w:val="000420C4"/>
    <w:rsid w:val="00051C6A"/>
    <w:rsid w:val="00061623"/>
    <w:rsid w:val="0006166C"/>
    <w:rsid w:val="00070BC6"/>
    <w:rsid w:val="00074850"/>
    <w:rsid w:val="0008638F"/>
    <w:rsid w:val="0009547B"/>
    <w:rsid w:val="00096365"/>
    <w:rsid w:val="000976B6"/>
    <w:rsid w:val="000976D7"/>
    <w:rsid w:val="000A0039"/>
    <w:rsid w:val="000A024E"/>
    <w:rsid w:val="000A41C4"/>
    <w:rsid w:val="000A631F"/>
    <w:rsid w:val="000B7C0D"/>
    <w:rsid w:val="000C0A27"/>
    <w:rsid w:val="000C654B"/>
    <w:rsid w:val="000D0F3E"/>
    <w:rsid w:val="000D2D17"/>
    <w:rsid w:val="000D45AD"/>
    <w:rsid w:val="000D69E4"/>
    <w:rsid w:val="000E5E18"/>
    <w:rsid w:val="000E6B5D"/>
    <w:rsid w:val="000E75CB"/>
    <w:rsid w:val="000F45D0"/>
    <w:rsid w:val="000F638D"/>
    <w:rsid w:val="001007C3"/>
    <w:rsid w:val="00116207"/>
    <w:rsid w:val="00126E78"/>
    <w:rsid w:val="00145053"/>
    <w:rsid w:val="00145BCA"/>
    <w:rsid w:val="00150C3E"/>
    <w:rsid w:val="00151080"/>
    <w:rsid w:val="00166FE1"/>
    <w:rsid w:val="00182923"/>
    <w:rsid w:val="00185A17"/>
    <w:rsid w:val="001877F2"/>
    <w:rsid w:val="00190D43"/>
    <w:rsid w:val="001918F4"/>
    <w:rsid w:val="00192E52"/>
    <w:rsid w:val="001A2F7B"/>
    <w:rsid w:val="001B3E93"/>
    <w:rsid w:val="001B7E1B"/>
    <w:rsid w:val="001C044A"/>
    <w:rsid w:val="001D2BE8"/>
    <w:rsid w:val="001D6D70"/>
    <w:rsid w:val="00207872"/>
    <w:rsid w:val="00210A17"/>
    <w:rsid w:val="002116CE"/>
    <w:rsid w:val="002134BD"/>
    <w:rsid w:val="0022007B"/>
    <w:rsid w:val="002234D8"/>
    <w:rsid w:val="002275A9"/>
    <w:rsid w:val="00230C30"/>
    <w:rsid w:val="00234617"/>
    <w:rsid w:val="002402AC"/>
    <w:rsid w:val="00247005"/>
    <w:rsid w:val="0025006B"/>
    <w:rsid w:val="00250271"/>
    <w:rsid w:val="0025236B"/>
    <w:rsid w:val="00257A41"/>
    <w:rsid w:val="002627D1"/>
    <w:rsid w:val="002660E2"/>
    <w:rsid w:val="002661A9"/>
    <w:rsid w:val="00267F53"/>
    <w:rsid w:val="00272678"/>
    <w:rsid w:val="00274132"/>
    <w:rsid w:val="002842B2"/>
    <w:rsid w:val="002869F6"/>
    <w:rsid w:val="002926EA"/>
    <w:rsid w:val="00296DB6"/>
    <w:rsid w:val="002A1439"/>
    <w:rsid w:val="002A22E1"/>
    <w:rsid w:val="002B19B3"/>
    <w:rsid w:val="002B37C9"/>
    <w:rsid w:val="002C017D"/>
    <w:rsid w:val="002C22A4"/>
    <w:rsid w:val="002C46E1"/>
    <w:rsid w:val="002C5B35"/>
    <w:rsid w:val="002C7D5F"/>
    <w:rsid w:val="002E0517"/>
    <w:rsid w:val="002E1478"/>
    <w:rsid w:val="002E2777"/>
    <w:rsid w:val="002E61A7"/>
    <w:rsid w:val="002E7704"/>
    <w:rsid w:val="002F17C2"/>
    <w:rsid w:val="002F321F"/>
    <w:rsid w:val="002F35C0"/>
    <w:rsid w:val="00301291"/>
    <w:rsid w:val="0030192F"/>
    <w:rsid w:val="00301EDA"/>
    <w:rsid w:val="0031345C"/>
    <w:rsid w:val="003227FB"/>
    <w:rsid w:val="0032538A"/>
    <w:rsid w:val="00327FE2"/>
    <w:rsid w:val="003364FB"/>
    <w:rsid w:val="00336902"/>
    <w:rsid w:val="00344312"/>
    <w:rsid w:val="003466EC"/>
    <w:rsid w:val="003506CC"/>
    <w:rsid w:val="00360639"/>
    <w:rsid w:val="0036220F"/>
    <w:rsid w:val="003656BA"/>
    <w:rsid w:val="003716A7"/>
    <w:rsid w:val="00373420"/>
    <w:rsid w:val="0037578B"/>
    <w:rsid w:val="00375D7A"/>
    <w:rsid w:val="00380BE5"/>
    <w:rsid w:val="00382349"/>
    <w:rsid w:val="00387B56"/>
    <w:rsid w:val="003901A6"/>
    <w:rsid w:val="00390556"/>
    <w:rsid w:val="00390AF0"/>
    <w:rsid w:val="003964E2"/>
    <w:rsid w:val="003B1CE6"/>
    <w:rsid w:val="003B34E2"/>
    <w:rsid w:val="003B76FE"/>
    <w:rsid w:val="003C1EEC"/>
    <w:rsid w:val="003C266A"/>
    <w:rsid w:val="003C3815"/>
    <w:rsid w:val="003C389E"/>
    <w:rsid w:val="003C4961"/>
    <w:rsid w:val="003C7FC8"/>
    <w:rsid w:val="003E7C35"/>
    <w:rsid w:val="003F0F8B"/>
    <w:rsid w:val="003F2822"/>
    <w:rsid w:val="0040163D"/>
    <w:rsid w:val="004146BB"/>
    <w:rsid w:val="004148EB"/>
    <w:rsid w:val="00415521"/>
    <w:rsid w:val="004170BF"/>
    <w:rsid w:val="004209B4"/>
    <w:rsid w:val="0043245B"/>
    <w:rsid w:val="00433A31"/>
    <w:rsid w:val="004358CA"/>
    <w:rsid w:val="00442888"/>
    <w:rsid w:val="00444568"/>
    <w:rsid w:val="00447542"/>
    <w:rsid w:val="004537BF"/>
    <w:rsid w:val="004618EE"/>
    <w:rsid w:val="00462CC3"/>
    <w:rsid w:val="00464095"/>
    <w:rsid w:val="00477909"/>
    <w:rsid w:val="004902ED"/>
    <w:rsid w:val="00490F11"/>
    <w:rsid w:val="00491510"/>
    <w:rsid w:val="004A1023"/>
    <w:rsid w:val="004B0A6C"/>
    <w:rsid w:val="004B682D"/>
    <w:rsid w:val="004B776B"/>
    <w:rsid w:val="004C0B6B"/>
    <w:rsid w:val="004C3128"/>
    <w:rsid w:val="004C67A3"/>
    <w:rsid w:val="004E636A"/>
    <w:rsid w:val="004F0B77"/>
    <w:rsid w:val="004F3E93"/>
    <w:rsid w:val="005036CD"/>
    <w:rsid w:val="00514979"/>
    <w:rsid w:val="005150E2"/>
    <w:rsid w:val="00520495"/>
    <w:rsid w:val="00523C2E"/>
    <w:rsid w:val="00524E79"/>
    <w:rsid w:val="0053335C"/>
    <w:rsid w:val="0053343B"/>
    <w:rsid w:val="00533D25"/>
    <w:rsid w:val="00536BC5"/>
    <w:rsid w:val="005403B5"/>
    <w:rsid w:val="00560C45"/>
    <w:rsid w:val="005708D2"/>
    <w:rsid w:val="00585CC8"/>
    <w:rsid w:val="00592CA0"/>
    <w:rsid w:val="00593E99"/>
    <w:rsid w:val="00595017"/>
    <w:rsid w:val="00597A61"/>
    <w:rsid w:val="005A0804"/>
    <w:rsid w:val="005A247E"/>
    <w:rsid w:val="005A5AB6"/>
    <w:rsid w:val="005C2FA8"/>
    <w:rsid w:val="005C34EE"/>
    <w:rsid w:val="005C5263"/>
    <w:rsid w:val="005C73D6"/>
    <w:rsid w:val="005D4BBC"/>
    <w:rsid w:val="005F387F"/>
    <w:rsid w:val="00602684"/>
    <w:rsid w:val="00602D29"/>
    <w:rsid w:val="006133CF"/>
    <w:rsid w:val="0062143A"/>
    <w:rsid w:val="00624B56"/>
    <w:rsid w:val="00633B3D"/>
    <w:rsid w:val="00633EFE"/>
    <w:rsid w:val="00637F1A"/>
    <w:rsid w:val="006450B5"/>
    <w:rsid w:val="0065178F"/>
    <w:rsid w:val="00652834"/>
    <w:rsid w:val="006552F2"/>
    <w:rsid w:val="006627C0"/>
    <w:rsid w:val="00665274"/>
    <w:rsid w:val="00666139"/>
    <w:rsid w:val="00681730"/>
    <w:rsid w:val="00683D2D"/>
    <w:rsid w:val="0069062D"/>
    <w:rsid w:val="006B0875"/>
    <w:rsid w:val="006B5A36"/>
    <w:rsid w:val="006B734C"/>
    <w:rsid w:val="006B7CB1"/>
    <w:rsid w:val="006C0715"/>
    <w:rsid w:val="006C5794"/>
    <w:rsid w:val="006D181B"/>
    <w:rsid w:val="006D42E0"/>
    <w:rsid w:val="006E3176"/>
    <w:rsid w:val="006E4FEA"/>
    <w:rsid w:val="006F131B"/>
    <w:rsid w:val="006F5F38"/>
    <w:rsid w:val="006F61A3"/>
    <w:rsid w:val="0071362E"/>
    <w:rsid w:val="00715E66"/>
    <w:rsid w:val="007175D8"/>
    <w:rsid w:val="00725851"/>
    <w:rsid w:val="0073116A"/>
    <w:rsid w:val="00731355"/>
    <w:rsid w:val="00731FFD"/>
    <w:rsid w:val="00741720"/>
    <w:rsid w:val="007452EB"/>
    <w:rsid w:val="007479E9"/>
    <w:rsid w:val="00747DE7"/>
    <w:rsid w:val="00750FA6"/>
    <w:rsid w:val="00751C15"/>
    <w:rsid w:val="007528E9"/>
    <w:rsid w:val="00755BFB"/>
    <w:rsid w:val="00755C3F"/>
    <w:rsid w:val="00760D18"/>
    <w:rsid w:val="0076250E"/>
    <w:rsid w:val="007771DA"/>
    <w:rsid w:val="007777B0"/>
    <w:rsid w:val="007806C3"/>
    <w:rsid w:val="00781A0B"/>
    <w:rsid w:val="00792A45"/>
    <w:rsid w:val="007A5F55"/>
    <w:rsid w:val="007A6D77"/>
    <w:rsid w:val="007A787E"/>
    <w:rsid w:val="007B27C4"/>
    <w:rsid w:val="007B2C25"/>
    <w:rsid w:val="007C435D"/>
    <w:rsid w:val="007C562D"/>
    <w:rsid w:val="007C6313"/>
    <w:rsid w:val="007D6399"/>
    <w:rsid w:val="007E4EEB"/>
    <w:rsid w:val="007E65CC"/>
    <w:rsid w:val="007F06B0"/>
    <w:rsid w:val="007F5598"/>
    <w:rsid w:val="00811C71"/>
    <w:rsid w:val="00822FC8"/>
    <w:rsid w:val="008274A6"/>
    <w:rsid w:val="0084140E"/>
    <w:rsid w:val="00844A65"/>
    <w:rsid w:val="008457B8"/>
    <w:rsid w:val="00852930"/>
    <w:rsid w:val="0085506C"/>
    <w:rsid w:val="008552F9"/>
    <w:rsid w:val="00855D95"/>
    <w:rsid w:val="00860BDD"/>
    <w:rsid w:val="00864E11"/>
    <w:rsid w:val="0086500D"/>
    <w:rsid w:val="00872C22"/>
    <w:rsid w:val="00874CE2"/>
    <w:rsid w:val="00880669"/>
    <w:rsid w:val="00882723"/>
    <w:rsid w:val="00883211"/>
    <w:rsid w:val="0089630A"/>
    <w:rsid w:val="0089679E"/>
    <w:rsid w:val="00896FD8"/>
    <w:rsid w:val="008974B7"/>
    <w:rsid w:val="008A4BFF"/>
    <w:rsid w:val="008B0ECC"/>
    <w:rsid w:val="008C1DE0"/>
    <w:rsid w:val="008C3879"/>
    <w:rsid w:val="008C3C4F"/>
    <w:rsid w:val="008D60AB"/>
    <w:rsid w:val="008E2508"/>
    <w:rsid w:val="008E3213"/>
    <w:rsid w:val="008E52B4"/>
    <w:rsid w:val="008F0401"/>
    <w:rsid w:val="008F4AD7"/>
    <w:rsid w:val="00900890"/>
    <w:rsid w:val="009034A1"/>
    <w:rsid w:val="009037B9"/>
    <w:rsid w:val="00903DA7"/>
    <w:rsid w:val="0090537B"/>
    <w:rsid w:val="0091044B"/>
    <w:rsid w:val="009125B1"/>
    <w:rsid w:val="00940BBC"/>
    <w:rsid w:val="009462BB"/>
    <w:rsid w:val="0094687B"/>
    <w:rsid w:val="009529E8"/>
    <w:rsid w:val="00962451"/>
    <w:rsid w:val="00963EC9"/>
    <w:rsid w:val="00965BCB"/>
    <w:rsid w:val="00966E05"/>
    <w:rsid w:val="00967EF3"/>
    <w:rsid w:val="0097159A"/>
    <w:rsid w:val="00976B75"/>
    <w:rsid w:val="0098202C"/>
    <w:rsid w:val="009820F2"/>
    <w:rsid w:val="00984F89"/>
    <w:rsid w:val="00995B80"/>
    <w:rsid w:val="009A1614"/>
    <w:rsid w:val="009A2BB4"/>
    <w:rsid w:val="009B2DC7"/>
    <w:rsid w:val="009B77CF"/>
    <w:rsid w:val="009C7176"/>
    <w:rsid w:val="009C7187"/>
    <w:rsid w:val="009D3B87"/>
    <w:rsid w:val="009D4936"/>
    <w:rsid w:val="009E1BDD"/>
    <w:rsid w:val="009E7B77"/>
    <w:rsid w:val="009F4BC0"/>
    <w:rsid w:val="009F6A26"/>
    <w:rsid w:val="009F7A0B"/>
    <w:rsid w:val="00A01CE9"/>
    <w:rsid w:val="00A0236E"/>
    <w:rsid w:val="00A13B7A"/>
    <w:rsid w:val="00A16DBA"/>
    <w:rsid w:val="00A17407"/>
    <w:rsid w:val="00A2045B"/>
    <w:rsid w:val="00A25992"/>
    <w:rsid w:val="00A31BBA"/>
    <w:rsid w:val="00A33E8C"/>
    <w:rsid w:val="00A40295"/>
    <w:rsid w:val="00A42B74"/>
    <w:rsid w:val="00A44BA4"/>
    <w:rsid w:val="00A45460"/>
    <w:rsid w:val="00A50851"/>
    <w:rsid w:val="00A667FC"/>
    <w:rsid w:val="00A93F81"/>
    <w:rsid w:val="00A944F8"/>
    <w:rsid w:val="00A97F8A"/>
    <w:rsid w:val="00AB1564"/>
    <w:rsid w:val="00AB288C"/>
    <w:rsid w:val="00AB2CA0"/>
    <w:rsid w:val="00AB328A"/>
    <w:rsid w:val="00AB3AF5"/>
    <w:rsid w:val="00AC4B97"/>
    <w:rsid w:val="00AC7116"/>
    <w:rsid w:val="00AC7FB8"/>
    <w:rsid w:val="00AD1434"/>
    <w:rsid w:val="00B03CF0"/>
    <w:rsid w:val="00B06C3D"/>
    <w:rsid w:val="00B10413"/>
    <w:rsid w:val="00B10887"/>
    <w:rsid w:val="00B119A0"/>
    <w:rsid w:val="00B12A8A"/>
    <w:rsid w:val="00B35F57"/>
    <w:rsid w:val="00B3679E"/>
    <w:rsid w:val="00B420BF"/>
    <w:rsid w:val="00B437E3"/>
    <w:rsid w:val="00B45092"/>
    <w:rsid w:val="00B4663E"/>
    <w:rsid w:val="00B468CC"/>
    <w:rsid w:val="00B476D6"/>
    <w:rsid w:val="00B5362B"/>
    <w:rsid w:val="00B677A9"/>
    <w:rsid w:val="00B75AF8"/>
    <w:rsid w:val="00B80ACB"/>
    <w:rsid w:val="00B879C7"/>
    <w:rsid w:val="00B917CD"/>
    <w:rsid w:val="00BA0676"/>
    <w:rsid w:val="00BA3DD4"/>
    <w:rsid w:val="00BB06D9"/>
    <w:rsid w:val="00BB431A"/>
    <w:rsid w:val="00BB5983"/>
    <w:rsid w:val="00BC1535"/>
    <w:rsid w:val="00BC2C50"/>
    <w:rsid w:val="00BD3836"/>
    <w:rsid w:val="00BD4FB4"/>
    <w:rsid w:val="00BD6E41"/>
    <w:rsid w:val="00BE10DB"/>
    <w:rsid w:val="00BE2DE3"/>
    <w:rsid w:val="00BE4DE3"/>
    <w:rsid w:val="00BF6629"/>
    <w:rsid w:val="00C003D8"/>
    <w:rsid w:val="00C05F99"/>
    <w:rsid w:val="00C07499"/>
    <w:rsid w:val="00C21BC9"/>
    <w:rsid w:val="00C2217F"/>
    <w:rsid w:val="00C30336"/>
    <w:rsid w:val="00C34CBC"/>
    <w:rsid w:val="00C3655C"/>
    <w:rsid w:val="00C439FA"/>
    <w:rsid w:val="00C4509E"/>
    <w:rsid w:val="00C534B6"/>
    <w:rsid w:val="00C54E2F"/>
    <w:rsid w:val="00C55996"/>
    <w:rsid w:val="00C56F5A"/>
    <w:rsid w:val="00C65037"/>
    <w:rsid w:val="00C70E4E"/>
    <w:rsid w:val="00C734AF"/>
    <w:rsid w:val="00C7633B"/>
    <w:rsid w:val="00C80511"/>
    <w:rsid w:val="00C85B1F"/>
    <w:rsid w:val="00C95382"/>
    <w:rsid w:val="00CC11BC"/>
    <w:rsid w:val="00CC52C8"/>
    <w:rsid w:val="00CC6540"/>
    <w:rsid w:val="00CD1776"/>
    <w:rsid w:val="00CD482C"/>
    <w:rsid w:val="00CD5D02"/>
    <w:rsid w:val="00CD6405"/>
    <w:rsid w:val="00CE6528"/>
    <w:rsid w:val="00CF0ECE"/>
    <w:rsid w:val="00CF6ED9"/>
    <w:rsid w:val="00CF75C5"/>
    <w:rsid w:val="00D01415"/>
    <w:rsid w:val="00D02606"/>
    <w:rsid w:val="00D06C9B"/>
    <w:rsid w:val="00D075FE"/>
    <w:rsid w:val="00D21E80"/>
    <w:rsid w:val="00D22122"/>
    <w:rsid w:val="00D23190"/>
    <w:rsid w:val="00D27935"/>
    <w:rsid w:val="00D3171F"/>
    <w:rsid w:val="00D44579"/>
    <w:rsid w:val="00D520C0"/>
    <w:rsid w:val="00D560F8"/>
    <w:rsid w:val="00D57654"/>
    <w:rsid w:val="00D66CF9"/>
    <w:rsid w:val="00D67877"/>
    <w:rsid w:val="00D7293C"/>
    <w:rsid w:val="00D73651"/>
    <w:rsid w:val="00D758E6"/>
    <w:rsid w:val="00D80666"/>
    <w:rsid w:val="00D82AB4"/>
    <w:rsid w:val="00D82C42"/>
    <w:rsid w:val="00D97FC3"/>
    <w:rsid w:val="00DC123F"/>
    <w:rsid w:val="00DC7141"/>
    <w:rsid w:val="00DE055A"/>
    <w:rsid w:val="00DE2A7F"/>
    <w:rsid w:val="00DE4C9D"/>
    <w:rsid w:val="00DF43B0"/>
    <w:rsid w:val="00E0083C"/>
    <w:rsid w:val="00E01B71"/>
    <w:rsid w:val="00E06D4D"/>
    <w:rsid w:val="00E071E1"/>
    <w:rsid w:val="00E12BEF"/>
    <w:rsid w:val="00E141DD"/>
    <w:rsid w:val="00E43131"/>
    <w:rsid w:val="00E522C0"/>
    <w:rsid w:val="00E541A9"/>
    <w:rsid w:val="00E567B9"/>
    <w:rsid w:val="00E56876"/>
    <w:rsid w:val="00E623CA"/>
    <w:rsid w:val="00E662F6"/>
    <w:rsid w:val="00E701DE"/>
    <w:rsid w:val="00E762CF"/>
    <w:rsid w:val="00E8724D"/>
    <w:rsid w:val="00E97910"/>
    <w:rsid w:val="00EA7381"/>
    <w:rsid w:val="00EB0187"/>
    <w:rsid w:val="00EB09D7"/>
    <w:rsid w:val="00EB6F9E"/>
    <w:rsid w:val="00EC3DE9"/>
    <w:rsid w:val="00ED0505"/>
    <w:rsid w:val="00ED34A9"/>
    <w:rsid w:val="00ED52B2"/>
    <w:rsid w:val="00EE3CB3"/>
    <w:rsid w:val="00EE51C4"/>
    <w:rsid w:val="00EF7683"/>
    <w:rsid w:val="00F1223F"/>
    <w:rsid w:val="00F13D2A"/>
    <w:rsid w:val="00F1651D"/>
    <w:rsid w:val="00F16756"/>
    <w:rsid w:val="00F2315D"/>
    <w:rsid w:val="00F279E4"/>
    <w:rsid w:val="00F32E26"/>
    <w:rsid w:val="00F41739"/>
    <w:rsid w:val="00F419EC"/>
    <w:rsid w:val="00F517E4"/>
    <w:rsid w:val="00F61D24"/>
    <w:rsid w:val="00F62A46"/>
    <w:rsid w:val="00F7174D"/>
    <w:rsid w:val="00F80825"/>
    <w:rsid w:val="00F8574A"/>
    <w:rsid w:val="00FA6144"/>
    <w:rsid w:val="00FB0AA1"/>
    <w:rsid w:val="00FB1005"/>
    <w:rsid w:val="00FB2AD1"/>
    <w:rsid w:val="00FB309C"/>
    <w:rsid w:val="00FC1D12"/>
    <w:rsid w:val="00FD2FBB"/>
    <w:rsid w:val="00FD611B"/>
    <w:rsid w:val="00FE3658"/>
    <w:rsid w:val="00FE4286"/>
    <w:rsid w:val="00FE7EC6"/>
    <w:rsid w:val="00FF03E0"/>
    <w:rsid w:val="00FF07FE"/>
    <w:rsid w:val="00FF2291"/>
    <w:rsid w:val="00FF6873"/>
    <w:rsid w:val="00FF6EBB"/>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9"/>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13"/>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11.bin"/><Relationship Id="rId39" Type="http://schemas.openxmlformats.org/officeDocument/2006/relationships/oleObject" Target="embeddings/oleObject21.bin"/><Relationship Id="rId21" Type="http://schemas.openxmlformats.org/officeDocument/2006/relationships/oleObject" Target="embeddings/oleObject7.bin"/><Relationship Id="rId34" Type="http://schemas.openxmlformats.org/officeDocument/2006/relationships/image" Target="media/image10.wmf"/><Relationship Id="rId42" Type="http://schemas.openxmlformats.org/officeDocument/2006/relationships/image" Target="media/image14.png"/><Relationship Id="rId47" Type="http://schemas.openxmlformats.org/officeDocument/2006/relationships/fontTable" Target="fontTable.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oleObject" Target="embeddings/oleObject4.bin"/><Relationship Id="rId29" Type="http://schemas.openxmlformats.org/officeDocument/2006/relationships/oleObject" Target="embeddings/oleObject1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9.wmf"/><Relationship Id="rId37" Type="http://schemas.openxmlformats.org/officeDocument/2006/relationships/oleObject" Target="embeddings/oleObject19.bin"/><Relationship Id="rId40" Type="http://schemas.openxmlformats.org/officeDocument/2006/relationships/image" Target="media/image12.png"/><Relationship Id="rId45" Type="http://schemas.openxmlformats.org/officeDocument/2006/relationships/image" Target="media/image16.e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8.wmf"/><Relationship Id="rId28" Type="http://schemas.openxmlformats.org/officeDocument/2006/relationships/oleObject" Target="embeddings/oleObject13.bin"/><Relationship Id="rId36" Type="http://schemas.openxmlformats.org/officeDocument/2006/relationships/image" Target="media/image11.wmf"/><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6.bin"/><Relationship Id="rId44"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8.bin"/><Relationship Id="rId43" Type="http://schemas.openxmlformats.org/officeDocument/2006/relationships/image" Target="media/image15.emf"/><Relationship Id="rId48" Type="http://schemas.openxmlformats.org/officeDocument/2006/relationships/theme" Target="theme/theme1.xml"/><Relationship Id="rId8" Type="http://schemas.openxmlformats.org/officeDocument/2006/relationships/oleObject" Target="embeddings/Microsoft_Visio_2003-2010_Drawing.vsd"/><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0.bin"/><Relationship Id="rId46" Type="http://schemas.openxmlformats.org/officeDocument/2006/relationships/package" Target="embeddings/Microsoft_Visio_Drawing1.vsdx"/><Relationship Id="rId20" Type="http://schemas.openxmlformats.org/officeDocument/2006/relationships/image" Target="media/image7.wmf"/><Relationship Id="rId41"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14</Pages>
  <Words>5943</Words>
  <Characters>33879</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3</cp:revision>
  <dcterms:created xsi:type="dcterms:W3CDTF">2022-09-29T11:14:00Z</dcterms:created>
  <dcterms:modified xsi:type="dcterms:W3CDTF">2022-09-29T11:21:00Z</dcterms:modified>
</cp:coreProperties>
</file>