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r>
              <w:t>Vip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r>
              <w:rPr>
                <w:rFonts w:eastAsia="Malgun Gothic" w:hint="eastAsia"/>
                <w:lang w:val="en-US" w:eastAsia="ko-KR"/>
              </w:rPr>
              <w:t>Sunghoon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057A68">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r>
              <w:rPr>
                <w:rFonts w:eastAsiaTheme="minorEastAsia"/>
                <w:lang w:val="en-US" w:eastAsia="zh-CN"/>
              </w:rPr>
              <w:t>Lijie HU</w:t>
            </w:r>
          </w:p>
        </w:tc>
        <w:tc>
          <w:tcPr>
            <w:tcW w:w="4394" w:type="dxa"/>
          </w:tcPr>
          <w:p w14:paraId="6ED20967" w14:textId="77777777" w:rsidR="00A465ED" w:rsidRDefault="00FE78DE">
            <w:pPr>
              <w:spacing w:after="0"/>
              <w:jc w:val="center"/>
              <w:rPr>
                <w:lang w:val="en-US"/>
              </w:rPr>
            </w:pPr>
            <w:r>
              <w:rPr>
                <w:lang w:val="en-US"/>
              </w:rPr>
              <w:t>hulijie@chinamobile.com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宋体"/>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lastRenderedPageBreak/>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15 kHz SCS, 25 contiguous RBs are assumed to fit within the 5 MHz.</w:t>
            </w:r>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For 30 kHz SCS, 11 contiguous RBs are assumed to fit within the 5 MHz.</w:t>
            </w:r>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等线"/>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宋体"/>
          <w:lang w:eastAsia="ja-JP"/>
        </w:rPr>
      </w:pPr>
      <w:r>
        <w:rPr>
          <w:rFonts w:eastAsia="宋体"/>
          <w:lang w:eastAsia="ja-JP"/>
        </w:rPr>
        <w:lastRenderedPageBreak/>
        <w:br/>
        <w:t xml:space="preserve">An initial draft template is provided in </w:t>
      </w:r>
      <w:hyperlink r:id="rId17" w:history="1">
        <w:r>
          <w:rPr>
            <w:rStyle w:val="Hyperlink"/>
            <w:rFonts w:eastAsia="宋体"/>
            <w:lang w:eastAsia="ja-JP"/>
          </w:rPr>
          <w:t>eRedCapComplexityTemplate-v000.xlsx</w:t>
        </w:r>
      </w:hyperlink>
      <w:r>
        <w:rPr>
          <w:rFonts w:eastAsia="宋体"/>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宋体"/>
          <w:lang w:eastAsia="ja-JP"/>
        </w:rPr>
      </w:pPr>
      <w:r>
        <w:rPr>
          <w:rFonts w:eastAsia="宋体"/>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宋体"/>
          <w:lang w:eastAsia="ja-JP"/>
        </w:rPr>
      </w:pPr>
      <w:r>
        <w:rPr>
          <w:rFonts w:eastAsia="宋体"/>
          <w:lang w:eastAsia="ja-JP"/>
        </w:rPr>
        <w:t>The first row on each tab is “Rel-17 RedCap ref” and then follows the individual options (BW1, BW2, BW3, PR1, PR2, PR3) and the combinations (BW1 + PT1, BW1 + PT1 + PT2, etc.). An attempt has been made to sort the options and 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lastRenderedPageBreak/>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宋体"/>
            <w:b/>
            <w:lang w:eastAsia="ja-JP"/>
          </w:rPr>
          <w:t>eRedCapComplexityTemplate-v000.xlsx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r>
              <w:rPr>
                <w:rFonts w:eastAsiaTheme="minorEastAsia" w:hint="eastAsia"/>
                <w:lang w:val="en-US" w:eastAsia="zh-CN"/>
              </w:rPr>
              <w:t>Spreadtrum</w:t>
            </w:r>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宋体"/>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Hisilicon</w:t>
            </w:r>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宋体"/>
                <w:lang w:val="en-US" w:eastAsia="zh-CN"/>
              </w:rPr>
            </w:pPr>
            <w:r>
              <w:rPr>
                <w:rFonts w:eastAsia="宋体" w:hint="eastAsia"/>
                <w:lang w:val="en-US" w:eastAsia="zh-CN"/>
              </w:rPr>
              <w:t>ZTE, Sanechips</w:t>
            </w:r>
          </w:p>
        </w:tc>
        <w:tc>
          <w:tcPr>
            <w:tcW w:w="8268" w:type="dxa"/>
            <w:gridSpan w:val="3"/>
          </w:tcPr>
          <w:p w14:paraId="55D16255" w14:textId="77777777" w:rsidR="00A465ED" w:rsidRDefault="00FE78DE">
            <w:pPr>
              <w:rPr>
                <w:rFonts w:eastAsia="宋体"/>
                <w:lang w:val="en-US" w:eastAsia="zh-CN"/>
              </w:rPr>
            </w:pPr>
            <w:r>
              <w:rPr>
                <w:rFonts w:eastAsia="宋体" w:hint="eastAsia"/>
                <w:lang w:val="en-US" w:eastAsia="zh-CN"/>
              </w:rPr>
              <w:t xml:space="preserve">Generally fine and we think the sheet HD-FDD 1Rx, TDD 2Rx, FD-FDD 2Rx and HD-FDD 2Rx should be tagged as </w:t>
            </w:r>
            <w:r>
              <w:rPr>
                <w:rFonts w:eastAsia="宋体"/>
                <w:lang w:val="en-US" w:eastAsia="zh-CN"/>
              </w:rPr>
              <w:t>‘</w:t>
            </w:r>
            <w:r>
              <w:rPr>
                <w:rFonts w:eastAsia="宋体" w:hint="eastAsia"/>
                <w:lang w:val="en-US" w:eastAsia="zh-CN"/>
              </w:rPr>
              <w:t>optional</w:t>
            </w:r>
            <w:r>
              <w:rPr>
                <w:rFonts w:eastAsia="宋体"/>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宋体"/>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r>
              <w:rPr>
                <w:rFonts w:eastAsiaTheme="minorEastAsia" w:hint="eastAsia"/>
                <w:lang w:val="en-US" w:eastAsia="zh-CN"/>
              </w:rPr>
              <w:t>Spreadtrum</w:t>
            </w:r>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Hisilicon</w:t>
            </w:r>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等线"/>
                <w:color w:val="000000"/>
                <w:lang w:val="en-US" w:eastAsia="zh-CN"/>
              </w:rPr>
            </w:pPr>
          </w:p>
          <w:p w14:paraId="64DB221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等线"/>
                <w:color w:val="000000"/>
                <w:lang w:val="en-US" w:eastAsia="zh-CN"/>
              </w:rPr>
            </w:pPr>
          </w:p>
          <w:p w14:paraId="029B30CB"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2E06942E"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C39E43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宋体"/>
                <w:color w:val="000000"/>
                <w:lang w:val="en-US" w:eastAsia="zh-CN"/>
              </w:rPr>
            </w:pPr>
          </w:p>
          <w:p w14:paraId="279A5AB1"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等线"/>
                <w:color w:val="000000"/>
                <w:lang w:val="en-US" w:eastAsia="zh-CN"/>
              </w:rPr>
            </w:pPr>
          </w:p>
          <w:p w14:paraId="4DC5B91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宋体"/>
                      <w:color w:val="000000"/>
                      <w:lang w:val="en-US" w:eastAsia="zh-CN"/>
                    </w:rPr>
                  </w:pPr>
                  <w:r>
                    <w:rPr>
                      <w:rFonts w:eastAsia="宋体"/>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宋体"/>
                      <w:color w:val="000000"/>
                      <w:lang w:val="en-US" w:eastAsia="zh-CN"/>
                    </w:rPr>
                  </w:pPr>
                  <w:r>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宋体"/>
                      <w:color w:val="000000"/>
                      <w:lang w:val="en-US" w:eastAsia="zh-CN"/>
                    </w:rPr>
                  </w:pPr>
                  <w:r>
                    <w:rPr>
                      <w:rFonts w:eastAsia="宋体"/>
                      <w:color w:val="000000"/>
                      <w:lang w:eastAsia="zh-CN"/>
                    </w:rPr>
                    <w:t>Rural: 5 MHz (25 PRBs, 15 kHz SCS)</w:t>
                  </w:r>
                </w:p>
                <w:p w14:paraId="0441AB68" w14:textId="77777777" w:rsidR="00A465ED" w:rsidRDefault="00FE78DE">
                  <w:pPr>
                    <w:spacing w:after="0" w:line="233" w:lineRule="atLeast"/>
                    <w:rPr>
                      <w:rFonts w:eastAsia="宋体"/>
                      <w:color w:val="000000"/>
                      <w:lang w:val="en-US" w:eastAsia="zh-CN"/>
                    </w:rPr>
                  </w:pPr>
                  <w:r>
                    <w:rPr>
                      <w:rFonts w:eastAsia="宋体"/>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6DB0D51C"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Rural: 250 kbps on DL and 25 kbps in UL</w:t>
            </w:r>
          </w:p>
          <w:p w14:paraId="7D86D1C2"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宋体"/>
                <w:color w:val="000000"/>
                <w:lang w:val="en-US" w:eastAsia="zh-CN"/>
              </w:rPr>
            </w:pPr>
            <w:r>
              <w:rPr>
                <w:rFonts w:eastAsia="宋体"/>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t> </w:t>
            </w:r>
          </w:p>
          <w:p w14:paraId="5CA12FA6"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lastRenderedPageBreak/>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等线"/>
                <w:color w:val="000000"/>
                <w:lang w:val="en-US" w:eastAsia="zh-CN"/>
              </w:rPr>
              <w:t xml:space="preserve">UE bandwidth, cell edge </w:t>
            </w:r>
            <w:r>
              <w:rPr>
                <w:color w:val="000000"/>
                <w:lang w:val="en-US" w:eastAsia="zh-CN"/>
              </w:rPr>
              <w:t>data</w:t>
            </w:r>
            <w:r>
              <w:rPr>
                <w:rFonts w:eastAsia="等线"/>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宋体"/>
                <w:color w:val="000000"/>
                <w:lang w:val="en-US" w:eastAsia="zh-CN"/>
              </w:rPr>
            </w:pPr>
          </w:p>
          <w:p w14:paraId="500F9F52"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宋体"/>
                <w:color w:val="000000"/>
                <w:lang w:val="en-US" w:eastAsia="zh-CN"/>
              </w:rPr>
            </w:pPr>
          </w:p>
          <w:p w14:paraId="38D338F4"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宋体"/>
                <w:color w:val="000000"/>
                <w:lang w:val="en-US" w:eastAsia="zh-CN"/>
              </w:rPr>
            </w:pPr>
            <w:r>
              <w:rPr>
                <w:rFonts w:eastAsia="宋体"/>
                <w:color w:val="000000"/>
                <w:lang w:val="en-US" w:eastAsia="zh-CN"/>
              </w:rPr>
              <w:lastRenderedPageBreak/>
              <w:t> </w:t>
            </w:r>
          </w:p>
          <w:p w14:paraId="47B7EF00"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等线"/>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等线"/>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等线"/>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等线"/>
                <w:color w:val="000000"/>
                <w:lang w:val="en-US" w:eastAsia="zh-CN"/>
              </w:rPr>
            </w:pPr>
          </w:p>
          <w:p w14:paraId="4AAB58DF"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color w:val="000000"/>
                <w:lang w:val="en-US" w:eastAsia="zh-CN"/>
              </w:rPr>
              <w:t>Following</w:t>
            </w:r>
            <w:r>
              <w:rPr>
                <w:rFonts w:eastAsia="宋体"/>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等线"/>
                <w:color w:val="000000"/>
                <w:lang w:val="en-US" w:eastAsia="zh-CN"/>
              </w:rPr>
            </w:pPr>
          </w:p>
          <w:p w14:paraId="71C5E5C9" w14:textId="77777777" w:rsidR="00A465ED" w:rsidRDefault="00FE78DE">
            <w:pPr>
              <w:shd w:val="clear" w:color="auto" w:fill="FFFFFF"/>
              <w:spacing w:after="0" w:line="233" w:lineRule="atLeast"/>
              <w:rPr>
                <w:rFonts w:eastAsia="宋体"/>
                <w:color w:val="000000"/>
                <w:lang w:val="en-US" w:eastAsia="zh-CN"/>
              </w:rPr>
            </w:pPr>
            <w:r>
              <w:rPr>
                <w:rFonts w:eastAsia="宋体"/>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宋体"/>
                <w:color w:val="000000"/>
                <w:lang w:val="en-US" w:eastAsia="zh-CN"/>
              </w:rPr>
            </w:pPr>
            <w:r>
              <w:rPr>
                <w:rFonts w:eastAsia="宋体"/>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宋体"/>
          <w:lang w:eastAsia="ja-JP"/>
        </w:rPr>
      </w:pPr>
      <w:r>
        <w:rPr>
          <w:rFonts w:eastAsia="宋体"/>
          <w:lang w:eastAsia="ja-JP"/>
        </w:rPr>
        <w:lastRenderedPageBreak/>
        <w:br/>
        <w:t>Initial draft templates are provided in the following spreadsheets, which are based on the templates used during the Rel-17 RedCap SI [5, 6].</w:t>
      </w:r>
    </w:p>
    <w:p w14:paraId="6AFDE11F" w14:textId="77777777" w:rsidR="00A465ED" w:rsidRDefault="00057A68">
      <w:pPr>
        <w:pStyle w:val="ListParagraph"/>
        <w:numPr>
          <w:ilvl w:val="0"/>
          <w:numId w:val="28"/>
        </w:numPr>
        <w:rPr>
          <w:sz w:val="20"/>
          <w:szCs w:val="22"/>
        </w:rPr>
      </w:pPr>
      <w:hyperlink r:id="rId23" w:history="1">
        <w:r w:rsidR="00FE78DE">
          <w:rPr>
            <w:rStyle w:val="Hyperlink"/>
            <w:sz w:val="20"/>
            <w:szCs w:val="22"/>
          </w:rPr>
          <w:t>eRedCapCoverageTemplate-0.7GHz-v000.xlsx</w:t>
        </w:r>
      </w:hyperlink>
    </w:p>
    <w:p w14:paraId="28B24133" w14:textId="77777777" w:rsidR="00A465ED" w:rsidRDefault="00057A68">
      <w:pPr>
        <w:pStyle w:val="ListParagraph"/>
        <w:numPr>
          <w:ilvl w:val="0"/>
          <w:numId w:val="28"/>
        </w:numPr>
        <w:rPr>
          <w:sz w:val="20"/>
          <w:szCs w:val="22"/>
        </w:rPr>
      </w:pPr>
      <w:hyperlink r:id="rId24" w:history="1">
        <w:r w:rsidR="00FE78DE">
          <w:rPr>
            <w:rStyle w:val="Hyperlink"/>
            <w:sz w:val="20"/>
            <w:szCs w:val="22"/>
          </w:rPr>
          <w:t>eRedCapCoverageTemplate-2.6GHz-11PRBs-v000.xlsx</w:t>
        </w:r>
      </w:hyperlink>
    </w:p>
    <w:p w14:paraId="597BFA66" w14:textId="77777777" w:rsidR="00A465ED" w:rsidRDefault="00057A68">
      <w:pPr>
        <w:pStyle w:val="ListParagraph"/>
        <w:numPr>
          <w:ilvl w:val="0"/>
          <w:numId w:val="28"/>
        </w:numPr>
        <w:rPr>
          <w:sz w:val="20"/>
          <w:szCs w:val="22"/>
        </w:rPr>
      </w:pPr>
      <w:hyperlink r:id="rId25" w:history="1">
        <w:r w:rsidR="00FE78DE">
          <w:rPr>
            <w:rStyle w:val="Hyperlink"/>
            <w:sz w:val="20"/>
            <w:szCs w:val="22"/>
          </w:rPr>
          <w:t>eRedCapCoverageTemplate-2.6GHz-12PRBs-v000.xlsx</w:t>
        </w:r>
      </w:hyperlink>
    </w:p>
    <w:p w14:paraId="0441EFBA" w14:textId="77777777" w:rsidR="00A465ED" w:rsidRDefault="00057A68">
      <w:pPr>
        <w:pStyle w:val="ListParagraph"/>
        <w:numPr>
          <w:ilvl w:val="0"/>
          <w:numId w:val="28"/>
        </w:numPr>
        <w:rPr>
          <w:sz w:val="20"/>
          <w:szCs w:val="22"/>
          <w:lang w:val="en-US"/>
        </w:rPr>
      </w:pPr>
      <w:hyperlink r:id="rId26" w:history="1">
        <w:r w:rsidR="00FE78DE">
          <w:rPr>
            <w:rStyle w:val="Hyperlink"/>
            <w:sz w:val="20"/>
            <w:szCs w:val="22"/>
            <w:lang w:val="en-US"/>
          </w:rPr>
          <w:t>eRedCapCoverageTemplate-4GHz-11PRBs-24dBmPSD-v000.xlsx</w:t>
        </w:r>
      </w:hyperlink>
    </w:p>
    <w:p w14:paraId="70966FC9" w14:textId="77777777" w:rsidR="00A465ED" w:rsidRDefault="00057A68">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eRedCapCoverageTemplate-4GHz-11PRBs-33dBmPSD-v000.xlsx</w:t>
        </w:r>
      </w:hyperlink>
    </w:p>
    <w:p w14:paraId="564B5B38" w14:textId="77777777" w:rsidR="00A465ED" w:rsidRDefault="00FE78DE">
      <w:pPr>
        <w:rPr>
          <w:rFonts w:eastAsia="宋体"/>
          <w:lang w:eastAsia="ja-JP"/>
        </w:rPr>
      </w:pPr>
      <w:r>
        <w:rPr>
          <w:rFonts w:eastAsia="宋体"/>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lastRenderedPageBreak/>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r>
              <w:rPr>
                <w:rFonts w:eastAsiaTheme="minorEastAsia"/>
                <w:lang w:val="en-US" w:eastAsia="zh-CN"/>
              </w:rPr>
              <w:t>Spreadtrum</w:t>
            </w:r>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Huawei, Hisilicon</w:t>
            </w:r>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宋体"/>
                <w:lang w:val="en-US" w:eastAsia="zh-CN"/>
              </w:rPr>
            </w:pPr>
            <w:r>
              <w:rPr>
                <w:rFonts w:eastAsia="宋体"/>
                <w:lang w:val="en-US" w:eastAsia="zh-CN"/>
              </w:rPr>
              <w:t>ZTE, Sanechips</w:t>
            </w:r>
          </w:p>
        </w:tc>
        <w:tc>
          <w:tcPr>
            <w:tcW w:w="8268" w:type="dxa"/>
          </w:tcPr>
          <w:p w14:paraId="718A24F8" w14:textId="77777777" w:rsidR="00A465ED" w:rsidRDefault="00FE78DE">
            <w:pPr>
              <w:rPr>
                <w:rFonts w:eastAsia="宋体"/>
                <w:lang w:val="en-US" w:eastAsia="zh-CN"/>
              </w:rPr>
            </w:pPr>
            <w:r>
              <w:rPr>
                <w:rFonts w:eastAsia="宋体"/>
                <w:lang w:val="en-US" w:eastAsia="zh-CN"/>
              </w:rPr>
              <w:t>We are OK with the FL assignment and also agree optional sheet can be tagged. For example,</w:t>
            </w:r>
          </w:p>
          <w:p w14:paraId="5BB93228" w14:textId="77777777" w:rsidR="00A465ED" w:rsidRDefault="00057A68">
            <w:pPr>
              <w:pStyle w:val="ListParagraph"/>
              <w:numPr>
                <w:ilvl w:val="0"/>
                <w:numId w:val="31"/>
              </w:numPr>
              <w:ind w:left="360"/>
              <w:rPr>
                <w:rFonts w:ascii="Times New Roman" w:hAnsi="Times New Roman" w:cs="Times New Roman"/>
                <w:sz w:val="20"/>
                <w:szCs w:val="20"/>
              </w:rPr>
            </w:pPr>
            <w:hyperlink r:id="rId28" w:history="1">
              <w:r w:rsidR="00FE78DE">
                <w:rPr>
                  <w:rStyle w:val="Hyperlink"/>
                  <w:rFonts w:ascii="Times New Roman" w:eastAsia="Batang" w:hAnsi="Times New Roman" w:cs="Times New Roman"/>
                  <w:sz w:val="20"/>
                  <w:szCs w:val="20"/>
                </w:rPr>
                <w:t>eRedCapCoverageTemplate-0.7GHz-v000.xlsx</w:t>
              </w:r>
            </w:hyperlink>
          </w:p>
          <w:p w14:paraId="6AC6104E" w14:textId="77777777" w:rsidR="00A465ED" w:rsidRDefault="00057A68">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057A68">
            <w:pPr>
              <w:pStyle w:val="ListParagraph"/>
              <w:numPr>
                <w:ilvl w:val="0"/>
                <w:numId w:val="31"/>
              </w:numPr>
              <w:ind w:left="360"/>
              <w:rPr>
                <w:rFonts w:ascii="Times New Roman" w:hAnsi="Times New Roman" w:cs="Times New Roman"/>
                <w:sz w:val="20"/>
                <w:szCs w:val="20"/>
                <w:lang w:val="en-US"/>
              </w:rPr>
            </w:pPr>
            <w:hyperlink r:id="rId30"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057A68">
            <w:pPr>
              <w:pStyle w:val="ListParagraph"/>
              <w:numPr>
                <w:ilvl w:val="0"/>
                <w:numId w:val="31"/>
              </w:numPr>
              <w:ind w:left="360"/>
              <w:rPr>
                <w:rFonts w:ascii="Times New Roman" w:hAnsi="Times New Roman" w:cs="Times New Roman"/>
                <w:sz w:val="20"/>
                <w:szCs w:val="20"/>
                <w:lang w:val="en-US"/>
              </w:rPr>
            </w:pPr>
            <w:hyperlink r:id="rId31"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057A68">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“Opt” was added in the in file names for the “more optional” scenarios in the updated versions in Proposal 3-7a.</w:t>
            </w:r>
          </w:p>
          <w:p w14:paraId="5696F577" w14:textId="77777777" w:rsidR="00A465ED" w:rsidRDefault="00FE78DE">
            <w:pPr>
              <w:rPr>
                <w:bCs/>
                <w:lang w:val="en-US"/>
              </w:rPr>
            </w:pPr>
            <w:r>
              <w:rPr>
                <w:bCs/>
                <w:lang w:val="en-US"/>
              </w:rPr>
              <w:lastRenderedPageBreak/>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dBm/MHz.</w:t>
            </w:r>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lastRenderedPageBreak/>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宋体"/>
          <w:lang w:val="en-US" w:eastAsia="ja-JP"/>
        </w:rPr>
      </w:pPr>
    </w:p>
    <w:p w14:paraId="41ABEFDB" w14:textId="77777777" w:rsidR="00A465ED" w:rsidRDefault="00FE78DE">
      <w:pPr>
        <w:rPr>
          <w:rFonts w:eastAsia="宋体"/>
          <w:lang w:eastAsia="ja-JP"/>
        </w:rPr>
      </w:pPr>
      <w:r>
        <w:rPr>
          <w:rFonts w:eastAsia="宋体"/>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宋体"/>
          <w:lang w:eastAsia="ja-JP"/>
        </w:rPr>
      </w:pPr>
    </w:p>
    <w:p w14:paraId="6CDAEB27" w14:textId="77777777" w:rsidR="00A465ED" w:rsidRDefault="00FE78DE">
      <w:pPr>
        <w:rPr>
          <w:rFonts w:eastAsia="宋体"/>
          <w:lang w:eastAsia="ja-JP"/>
        </w:rPr>
      </w:pPr>
      <w:r>
        <w:rPr>
          <w:rFonts w:eastAsia="宋体"/>
          <w:lang w:eastAsia="ja-JP"/>
        </w:rPr>
        <w:t xml:space="preserve">Each company can provide coverage impact evaluation results in the </w:t>
      </w:r>
      <w:r>
        <w:rPr>
          <w:rFonts w:eastAsia="宋体"/>
          <w:shd w:val="clear" w:color="auto" w:fill="F4B083" w:themeFill="accent2" w:themeFillTint="99"/>
          <w:lang w:eastAsia="ja-JP"/>
        </w:rPr>
        <w:t>orange cells</w:t>
      </w:r>
      <w:r>
        <w:rPr>
          <w:rFonts w:eastAsia="宋体"/>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lastRenderedPageBreak/>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lastRenderedPageBreak/>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etc,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5C6171E7" w14:textId="77777777" w:rsidR="00A465ED" w:rsidRDefault="00FE78DE">
            <w:pPr>
              <w:rPr>
                <w:rFonts w:eastAsia="宋体"/>
                <w:lang w:val="en-US" w:eastAsia="zh-CN"/>
              </w:rPr>
            </w:pPr>
            <w:r>
              <w:rPr>
                <w:rFonts w:eastAsia="宋体" w:hint="eastAsia"/>
                <w:lang w:val="en-US" w:eastAsia="zh-CN"/>
              </w:rPr>
              <w:t xml:space="preserve">Other options evaluation can be viewed as </w:t>
            </w:r>
            <w:r>
              <w:rPr>
                <w:rFonts w:eastAsia="Yu Mincho"/>
                <w:lang w:val="en-US" w:eastAsia="ja-JP"/>
              </w:rPr>
              <w:t>a subset of the BW1 evaluation results</w:t>
            </w:r>
            <w:r>
              <w:rPr>
                <w:rFonts w:eastAsia="宋体"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Vivo’s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The number of gNB transmit or receive chains 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lastRenderedPageBreak/>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宋体"/>
          <w:lang w:val="en-US" w:eastAsia="ja-JP"/>
        </w:rPr>
      </w:pPr>
    </w:p>
    <w:p w14:paraId="290B2306" w14:textId="77777777" w:rsidR="00A465ED" w:rsidRDefault="00FE78DE">
      <w:pPr>
        <w:rPr>
          <w:rFonts w:eastAsia="宋体"/>
          <w:color w:val="000000"/>
          <w:lang w:val="en-US" w:eastAsia="zh-CN"/>
        </w:rPr>
      </w:pPr>
      <w:r>
        <w:rPr>
          <w:rFonts w:eastAsia="宋体"/>
          <w:lang w:eastAsia="ja-JP"/>
        </w:rPr>
        <w:t xml:space="preserve">It has been agreed that a </w:t>
      </w:r>
      <w:r>
        <w:rPr>
          <w:rFonts w:eastAsia="宋体"/>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宋体"/>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宋体" w:hint="eastAsia"/>
                <w:lang w:val="en-US" w:eastAsia="zh-CN"/>
              </w:rPr>
              <w:t>ZTE, Sanechips</w:t>
            </w:r>
          </w:p>
        </w:tc>
        <w:tc>
          <w:tcPr>
            <w:tcW w:w="8262" w:type="dxa"/>
          </w:tcPr>
          <w:p w14:paraId="44A67A47" w14:textId="77777777" w:rsidR="00A465ED" w:rsidRDefault="00FE78DE">
            <w:pPr>
              <w:rPr>
                <w:rFonts w:eastAsia="宋体"/>
                <w:lang w:val="en-US" w:eastAsia="zh-CN"/>
              </w:rPr>
            </w:pPr>
            <w:r>
              <w:rPr>
                <w:rFonts w:eastAsia="宋体"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bl>
    <w:p w14:paraId="1F400AC7" w14:textId="77777777" w:rsidR="00A465ED" w:rsidRDefault="00A465ED"/>
    <w:p w14:paraId="76EA2525" w14:textId="77777777" w:rsidR="00A465ED" w:rsidRDefault="00FE78DE">
      <w:pPr>
        <w:rPr>
          <w:lang w:val="en-US"/>
        </w:rPr>
      </w:pPr>
      <w:r>
        <w:rPr>
          <w:lang w:val="en-US"/>
        </w:rPr>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lastRenderedPageBreak/>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宋体"/>
                <w:lang w:val="en-US" w:eastAsia="zh-CN"/>
              </w:rPr>
            </w:pPr>
            <w:r>
              <w:rPr>
                <w:rFonts w:eastAsia="宋体" w:hint="eastAsia"/>
                <w:lang w:val="en-US" w:eastAsia="zh-CN"/>
              </w:rPr>
              <w:t>ZTE, Sanechips</w:t>
            </w:r>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bookmarkStart w:id="5" w:name="_GoBack"/>
            <w:r>
              <w:rPr>
                <w:rFonts w:eastAsiaTheme="minorEastAsia"/>
                <w:lang w:val="en-US" w:eastAsia="zh-CN"/>
              </w:rPr>
              <w:t>FL2</w:t>
            </w:r>
            <w:bookmarkEnd w:id="5"/>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We would like to suggest that companies could report clearly its simulation assumptions of PBCH, PDCCH CSS, SIB1, etc., whether their bandwidth exceed 5 MHz, whether these channels are received by simply punctured or soft-combination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057A68">
      <w:pPr>
        <w:pStyle w:val="ListParagraph"/>
        <w:numPr>
          <w:ilvl w:val="0"/>
          <w:numId w:val="33"/>
        </w:numPr>
        <w:rPr>
          <w:b/>
          <w:bCs/>
          <w:sz w:val="20"/>
          <w:szCs w:val="22"/>
        </w:rPr>
      </w:pPr>
      <w:hyperlink r:id="rId33" w:history="1">
        <w:r w:rsidR="00FE78DE">
          <w:rPr>
            <w:rStyle w:val="Hyperlink"/>
            <w:b/>
            <w:bCs/>
            <w:sz w:val="20"/>
            <w:szCs w:val="22"/>
          </w:rPr>
          <w:t>eRedCapCoverageTemplate-0.7GHz-v001.xlsx</w:t>
        </w:r>
      </w:hyperlink>
    </w:p>
    <w:p w14:paraId="7C427141" w14:textId="77777777" w:rsidR="00A465ED" w:rsidRDefault="00057A68">
      <w:pPr>
        <w:pStyle w:val="ListParagraph"/>
        <w:numPr>
          <w:ilvl w:val="0"/>
          <w:numId w:val="33"/>
        </w:numPr>
        <w:rPr>
          <w:b/>
          <w:bCs/>
          <w:sz w:val="20"/>
          <w:szCs w:val="22"/>
        </w:rPr>
      </w:pPr>
      <w:hyperlink r:id="rId34" w:history="1">
        <w:r w:rsidR="00FE78DE">
          <w:rPr>
            <w:rStyle w:val="Hyperlink"/>
            <w:b/>
            <w:bCs/>
            <w:sz w:val="20"/>
            <w:szCs w:val="22"/>
          </w:rPr>
          <w:t>eRedCapCoverageTemplate-2.6GHz-11PRBs-v001.xlsx</w:t>
        </w:r>
      </w:hyperlink>
    </w:p>
    <w:p w14:paraId="1BFFBBD5" w14:textId="77777777" w:rsidR="00A465ED" w:rsidRDefault="00057A68">
      <w:pPr>
        <w:pStyle w:val="ListParagraph"/>
        <w:numPr>
          <w:ilvl w:val="0"/>
          <w:numId w:val="33"/>
        </w:numPr>
        <w:rPr>
          <w:b/>
          <w:bCs/>
          <w:sz w:val="20"/>
          <w:szCs w:val="22"/>
        </w:rPr>
      </w:pPr>
      <w:hyperlink r:id="rId35" w:history="1">
        <w:r w:rsidR="00FE78DE">
          <w:rPr>
            <w:rStyle w:val="Hyperlink"/>
            <w:b/>
            <w:bCs/>
            <w:sz w:val="20"/>
            <w:szCs w:val="22"/>
          </w:rPr>
          <w:t>eRedCapCoverageTemplate-2.6GHz-12PRBs-Opt-v001.xlsx</w:t>
        </w:r>
      </w:hyperlink>
    </w:p>
    <w:p w14:paraId="3CD59F8A" w14:textId="77777777" w:rsidR="00A465ED" w:rsidRDefault="00057A68">
      <w:pPr>
        <w:pStyle w:val="ListParagraph"/>
        <w:numPr>
          <w:ilvl w:val="0"/>
          <w:numId w:val="33"/>
        </w:numPr>
        <w:rPr>
          <w:b/>
          <w:bCs/>
          <w:sz w:val="20"/>
          <w:szCs w:val="22"/>
          <w:lang w:val="en-US"/>
        </w:rPr>
      </w:pPr>
      <w:hyperlink r:id="rId36" w:history="1">
        <w:r w:rsidR="00FE78DE">
          <w:rPr>
            <w:rStyle w:val="Hyperlink"/>
            <w:b/>
            <w:bCs/>
            <w:sz w:val="20"/>
            <w:szCs w:val="22"/>
            <w:lang w:val="en-US"/>
          </w:rPr>
          <w:t>eRedCapCoverageTemplate-4GHz-11PRBs-24dBmPSD-Opt-v001.xlsx</w:t>
        </w:r>
      </w:hyperlink>
    </w:p>
    <w:p w14:paraId="6A563DB5" w14:textId="77777777" w:rsidR="00A465ED" w:rsidRDefault="00057A68">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48 PRBs</w:t>
                  </w:r>
                  <w:r>
                    <w:rPr>
                      <w:rFonts w:eastAsia="宋体"/>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 xml:space="preserve">5 MHz RedCap UE (BW1, 11 PRBs; </w:t>
                  </w:r>
                  <w:r>
                    <w:rPr>
                      <w:rFonts w:eastAsia="宋体"/>
                      <w:b/>
                      <w:bCs/>
                      <w:sz w:val="18"/>
                      <w:szCs w:val="22"/>
                      <w:highlight w:val="yellow"/>
                      <w:lang w:val="en-US" w:eastAsia="zh-CN"/>
                    </w:rPr>
                    <w:t>SIB1 BW 11 PRBs</w:t>
                  </w:r>
                  <w:r>
                    <w:rPr>
                      <w:rFonts w:eastAsia="宋体"/>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宋体"/>
                      <w:b/>
                      <w:bCs/>
                      <w:sz w:val="18"/>
                      <w:szCs w:val="22"/>
                      <w:lang w:val="en-US" w:eastAsia="zh-CN"/>
                    </w:rPr>
                  </w:pPr>
                  <w:r>
                    <w:rPr>
                      <w:rFonts w:eastAsia="宋体"/>
                      <w:b/>
                      <w:bCs/>
                      <w:sz w:val="18"/>
                      <w:szCs w:val="22"/>
                      <w:lang w:val="en-US" w:eastAsia="zh-CN"/>
                    </w:rPr>
                    <w:t>5 MHz RedCap UE (BW1, 11 PRBs;</w:t>
                  </w:r>
                  <w:r>
                    <w:rPr>
                      <w:rFonts w:eastAsia="宋体"/>
                      <w:b/>
                      <w:bCs/>
                      <w:color w:val="C00000"/>
                      <w:sz w:val="18"/>
                      <w:szCs w:val="22"/>
                      <w:lang w:val="en-US" w:eastAsia="zh-CN"/>
                    </w:rPr>
                    <w:t xml:space="preserve"> [Insert SIB1 parameters]</w:t>
                  </w:r>
                  <w:r>
                    <w:rPr>
                      <w:rFonts w:eastAsia="宋体"/>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宋体"/>
                <w:b/>
                <w:bCs/>
                <w:color w:val="C00000"/>
                <w:sz w:val="18"/>
                <w:szCs w:val="22"/>
                <w:lang w:val="en-US" w:eastAsia="zh-CN"/>
              </w:rPr>
              <w:t>[Insert SIB1 parameters]</w:t>
            </w:r>
            <w:r>
              <w:rPr>
                <w:rFonts w:eastAsiaTheme="minorEastAsia"/>
                <w:lang w:val="en-US" w:eastAsia="zh-CN"/>
              </w:rPr>
              <w:t>,</w:t>
            </w:r>
            <w:r>
              <w:rPr>
                <w:rFonts w:eastAsia="宋体"/>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vivo’s question, in our understanding, companies can additionally provide other TBS value (and SIB1 BW) in </w:t>
            </w:r>
            <w:r>
              <w:rPr>
                <w:rFonts w:eastAsia="宋体"/>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宋体"/>
                <w:lang w:val="en-US" w:eastAsia="zh-CN"/>
              </w:rPr>
            </w:pPr>
            <w:r>
              <w:rPr>
                <w:rFonts w:eastAsia="宋体" w:hint="eastAsia"/>
                <w:lang w:val="en-US" w:eastAsia="zh-CN"/>
              </w:rPr>
              <w:t>ZTE, Sanechips</w:t>
            </w:r>
          </w:p>
        </w:tc>
        <w:tc>
          <w:tcPr>
            <w:tcW w:w="773" w:type="dxa"/>
          </w:tcPr>
          <w:p w14:paraId="47459B20" w14:textId="77777777" w:rsidR="00A465ED" w:rsidRDefault="00FE78DE">
            <w:pPr>
              <w:rPr>
                <w:rFonts w:eastAsia="宋体"/>
                <w:lang w:val="en-US" w:eastAsia="zh-CN"/>
              </w:rPr>
            </w:pPr>
            <w:r>
              <w:rPr>
                <w:rFonts w:eastAsia="宋体"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宋体"/>
                <w:lang w:val="en-US" w:eastAsia="zh-CN"/>
              </w:rPr>
            </w:pPr>
            <w:r>
              <w:rPr>
                <w:rFonts w:eastAsia="宋体"/>
                <w:lang w:val="en-US" w:eastAsia="zh-CN"/>
              </w:rPr>
              <w:t>CMCC</w:t>
            </w:r>
          </w:p>
        </w:tc>
        <w:tc>
          <w:tcPr>
            <w:tcW w:w="773" w:type="dxa"/>
          </w:tcPr>
          <w:p w14:paraId="60948D5A" w14:textId="77777777" w:rsidR="00A465ED" w:rsidRDefault="00A465ED">
            <w:pPr>
              <w:rPr>
                <w:rFonts w:eastAsia="宋体"/>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宋体"/>
                      <w:b/>
                      <w:bCs/>
                      <w:color w:val="C00000"/>
                      <w:sz w:val="16"/>
                      <w:szCs w:val="16"/>
                    </w:rPr>
                  </w:pPr>
                  <w:r>
                    <w:rPr>
                      <w:rFonts w:eastAsia="宋体"/>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宋体"/>
                      <w:b/>
                      <w:bCs/>
                      <w:color w:val="000000"/>
                      <w:sz w:val="16"/>
                      <w:szCs w:val="16"/>
                    </w:rPr>
                  </w:pPr>
                  <w:r>
                    <w:rPr>
                      <w:rFonts w:eastAsia="宋体"/>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宋体"/>
                      <w:b/>
                      <w:bCs/>
                      <w:color w:val="000000"/>
                      <w:sz w:val="16"/>
                      <w:szCs w:val="16"/>
                      <w:highlight w:val="yellow"/>
                    </w:rPr>
                  </w:pPr>
                  <w:r>
                    <w:rPr>
                      <w:rFonts w:eastAsia="宋体"/>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宋体"/>
                      <w:b/>
                      <w:bCs/>
                      <w:color w:val="000000"/>
                      <w:sz w:val="16"/>
                      <w:szCs w:val="16"/>
                    </w:rPr>
                  </w:pPr>
                  <w:r>
                    <w:rPr>
                      <w:rStyle w:val="font31"/>
                      <w:rFonts w:eastAsia="宋体"/>
                      <w:sz w:val="16"/>
                      <w:szCs w:val="16"/>
                      <w:lang w:val="en-US" w:eastAsia="zh-CN" w:bidi="ar"/>
                    </w:rPr>
                    <w:t xml:space="preserve">5 MHz RedCap UE (BW1, 11 PRBs; CORESET: </w:t>
                  </w:r>
                  <w:r>
                    <w:rPr>
                      <w:rStyle w:val="font21"/>
                      <w:rFonts w:eastAsia="宋体"/>
                      <w:sz w:val="16"/>
                      <w:szCs w:val="16"/>
                      <w:lang w:val="en-US" w:eastAsia="zh-CN" w:bidi="ar"/>
                    </w:rPr>
                    <w:t>[Insert parameters]</w:t>
                  </w:r>
                  <w:r>
                    <w:rPr>
                      <w:rStyle w:val="font31"/>
                      <w:rFonts w:eastAsia="宋体"/>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lastRenderedPageBreak/>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等线"/>
                <w:highlight w:val="green"/>
                <w:lang w:val="en-US" w:eastAsia="zh-CN"/>
              </w:rPr>
            </w:pPr>
            <w:r>
              <w:rPr>
                <w:rFonts w:eastAsia="Microsoft YaHei UI"/>
                <w:color w:val="000000"/>
                <w:lang w:val="en-US" w:eastAsia="zh-CN"/>
              </w:rPr>
              <w:t> </w:t>
            </w:r>
            <w:r>
              <w:rPr>
                <w:rFonts w:eastAsia="等线"/>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等线"/>
                <w:highlight w:val="green"/>
                <w:lang w:val="en-US" w:eastAsia="zh-CN"/>
              </w:rPr>
            </w:pPr>
            <w:r>
              <w:rPr>
                <w:rFonts w:eastAsia="等线"/>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r w:rsidR="00F00134" w14:paraId="4E3C643A" w14:textId="77777777" w:rsidTr="00F00134">
        <w:tc>
          <w:tcPr>
            <w:tcW w:w="1105" w:type="dxa"/>
          </w:tcPr>
          <w:p w14:paraId="14F31E4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Hisilicon</w:t>
            </w:r>
          </w:p>
        </w:tc>
        <w:tc>
          <w:tcPr>
            <w:tcW w:w="773" w:type="dxa"/>
          </w:tcPr>
          <w:p w14:paraId="4DDC5E5B"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7756" w:type="dxa"/>
          </w:tcPr>
          <w:p w14:paraId="1A1CB27C" w14:textId="77777777" w:rsidR="00F00134" w:rsidRDefault="00F00134" w:rsidP="00D66164">
            <w:pPr>
              <w:rPr>
                <w:rFonts w:eastAsiaTheme="minorEastAsia"/>
                <w:lang w:val="en-US" w:eastAsia="zh-CN"/>
              </w:rPr>
            </w:pPr>
            <w:r>
              <w:rPr>
                <w:rFonts w:eastAsiaTheme="minorEastAsia"/>
                <w:lang w:val="en-US" w:eastAsia="zh-CN"/>
              </w:rPr>
              <w:t>vivo’s suggestion is acceptable for us.</w:t>
            </w:r>
          </w:p>
          <w:p w14:paraId="59F80853" w14:textId="77777777" w:rsidR="00F00134" w:rsidRDefault="00F00134" w:rsidP="00D66164">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Default="00F00134" w:rsidP="00D66164">
            <w:pPr>
              <w:rPr>
                <w:highlight w:val="green"/>
                <w:lang w:val="en-US" w:eastAsia="zh-CN"/>
              </w:rPr>
            </w:pPr>
            <w:r>
              <w:rPr>
                <w:highlight w:val="green"/>
                <w:shd w:val="clear" w:color="auto" w:fill="FFFF00"/>
                <w:lang w:val="en-US" w:eastAsia="zh-CN"/>
              </w:rPr>
              <w:t>Agreement</w:t>
            </w:r>
          </w:p>
          <w:p w14:paraId="71934444" w14:textId="77777777" w:rsidR="00F00134" w:rsidRPr="002368FC"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39AED339" w14:textId="77777777" w:rsidR="00F00134" w:rsidRPr="002368FC" w:rsidRDefault="00F00134" w:rsidP="00D66164">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Default="00F00134" w:rsidP="00D66164">
            <w:pPr>
              <w:rPr>
                <w:rFonts w:eastAsiaTheme="minorEastAsia"/>
                <w:lang w:val="en-US" w:eastAsia="zh-CN"/>
              </w:rPr>
            </w:pPr>
            <w:r>
              <w:rPr>
                <w:rFonts w:eastAsiaTheme="minorEastAsia"/>
                <w:lang w:val="en-US" w:eastAsia="zh-CN"/>
              </w:rPr>
              <w:t>Therefore, we would like to suggest the following</w:t>
            </w:r>
          </w:p>
          <w:p w14:paraId="6756D0B4" w14:textId="77777777" w:rsidR="00F00134" w:rsidRPr="00E553A3" w:rsidRDefault="00F00134" w:rsidP="00F00134">
            <w:pPr>
              <w:pStyle w:val="ListParagraph"/>
              <w:numPr>
                <w:ilvl w:val="0"/>
                <w:numId w:val="35"/>
              </w:numPr>
              <w:rPr>
                <w:rFonts w:eastAsiaTheme="minorEastAsia"/>
                <w:lang w:val="en-US" w:eastAsia="zh-CN"/>
              </w:rPr>
            </w:pPr>
            <w:r w:rsidRPr="00E553A3">
              <w:rPr>
                <w:rFonts w:eastAsiaTheme="minorEastAsia"/>
                <w:lang w:val="en-US" w:eastAsia="zh-CN"/>
              </w:rPr>
              <w:t xml:space="preserve">Revise the filename for 33dBm as “eRedCapCoverageTemplate-4GHz-11PRBs-33dBmPSD-Opt </w:t>
            </w:r>
            <w:r w:rsidRPr="002368FC">
              <w:rPr>
                <w:rFonts w:eastAsiaTheme="minorEastAsia"/>
                <w:color w:val="00B0F0"/>
                <w:lang w:val="en-US" w:eastAsia="zh-CN"/>
              </w:rPr>
              <w:t xml:space="preserve">(mandatory if 24dBm reported)” </w:t>
            </w:r>
            <w:r>
              <w:rPr>
                <w:rFonts w:eastAsiaTheme="minorEastAsia"/>
                <w:lang w:val="en-US" w:eastAsia="zh-CN"/>
              </w:rPr>
              <w:t>or add “results for 33dBm should be also reported” into the comment rows of the excel file of 24dBm.</w:t>
            </w:r>
          </w:p>
          <w:p w14:paraId="08916E2D" w14:textId="77777777" w:rsidR="00F00134" w:rsidRDefault="00F00134" w:rsidP="00D66164">
            <w:pPr>
              <w:rPr>
                <w:rFonts w:eastAsiaTheme="minorEastAsia"/>
                <w:lang w:val="en-US" w:eastAsia="zh-CN"/>
              </w:rPr>
            </w:pP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No. Any formal email discussion should have been requested and approved in the last RAN meeting. The moderators can collect the results submitted in tdocs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Tdoc deadline. We can accept to collect results after Tdoc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t>Huawei, Hisilicon</w:t>
            </w:r>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宋体"/>
                <w:lang w:val="en-US" w:eastAsia="zh-CN"/>
              </w:rPr>
            </w:pPr>
            <w:r>
              <w:rPr>
                <w:rFonts w:eastAsia="宋体" w:hint="eastAsia"/>
                <w:lang w:val="en-US" w:eastAsia="zh-CN"/>
              </w:rPr>
              <w:t>ZTE, Sanechips</w:t>
            </w:r>
          </w:p>
        </w:tc>
        <w:tc>
          <w:tcPr>
            <w:tcW w:w="8262" w:type="dxa"/>
            <w:gridSpan w:val="2"/>
          </w:tcPr>
          <w:p w14:paraId="496D03E9" w14:textId="77777777" w:rsidR="00A465ED" w:rsidRDefault="00FE78DE">
            <w:pPr>
              <w:rPr>
                <w:rFonts w:eastAsia="宋体"/>
                <w:lang w:val="en-US" w:eastAsia="zh-CN"/>
              </w:rPr>
            </w:pPr>
            <w:r>
              <w:rPr>
                <w:rFonts w:eastAsia="宋体"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Agree with Samsung that we can also accept to collect results after Tdoc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lastRenderedPageBreak/>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lastRenderedPageBreak/>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We share the same considerations with FL. Results collection after Tdoc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Maybe some relaxation is to delay the start point a bit late, e.g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meting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We support the FL suggestion to have an e-mail discussion for early collection which would help the preparation and the effective discussion in the meeting. We tend to agree with Spreadtrum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To alleviate Futurewei</w:t>
            </w:r>
            <w:r>
              <w:rPr>
                <w:rFonts w:eastAsiaTheme="minorEastAsia"/>
                <w:lang w:eastAsia="zh-CN"/>
              </w:rPr>
              <w:t>’</w:t>
            </w:r>
            <w:r>
              <w:rPr>
                <w:rFonts w:eastAsiaTheme="minorEastAsia" w:hint="eastAsia"/>
                <w:lang w:eastAsia="zh-CN"/>
              </w:rPr>
              <w:t>s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ZTE, Sanechips</w:t>
            </w:r>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lastRenderedPageBreak/>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We prefer a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First of all, we suggest to start the data collection after Tdoc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6"/>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057A68">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057A68">
            <w:pPr>
              <w:jc w:val="left"/>
              <w:rPr>
                <w:color w:val="0000FF"/>
              </w:rPr>
            </w:pPr>
            <w:hyperlink r:id="rId39"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057A68">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t>[4]</w:t>
            </w:r>
          </w:p>
        </w:tc>
        <w:tc>
          <w:tcPr>
            <w:tcW w:w="1456" w:type="dxa"/>
            <w:tcMar>
              <w:top w:w="0" w:type="dxa"/>
              <w:left w:w="70" w:type="dxa"/>
              <w:bottom w:w="0" w:type="dxa"/>
              <w:right w:w="70" w:type="dxa"/>
            </w:tcMar>
          </w:tcPr>
          <w:p w14:paraId="54CBB909" w14:textId="77777777" w:rsidR="00A465ED" w:rsidRDefault="00057A68">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057A68">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057A68">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057A68">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69838" w14:textId="77777777" w:rsidR="00057A68" w:rsidRDefault="00057A68">
      <w:pPr>
        <w:spacing w:line="240" w:lineRule="auto"/>
      </w:pPr>
      <w:r>
        <w:separator/>
      </w:r>
    </w:p>
  </w:endnote>
  <w:endnote w:type="continuationSeparator" w:id="0">
    <w:p w14:paraId="5E76A802" w14:textId="77777777" w:rsidR="00057A68" w:rsidRDefault="00057A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77ADE" w14:textId="77777777" w:rsidR="00057A68" w:rsidRDefault="00057A68">
      <w:pPr>
        <w:spacing w:after="0"/>
      </w:pPr>
      <w:r>
        <w:separator/>
      </w:r>
    </w:p>
  </w:footnote>
  <w:footnote w:type="continuationSeparator" w:id="0">
    <w:p w14:paraId="2D37BB88" w14:textId="77777777" w:rsidR="00057A68" w:rsidRDefault="00057A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6"/>
  </w:num>
  <w:num w:numId="12">
    <w:abstractNumId w:val="29"/>
  </w:num>
  <w:num w:numId="13">
    <w:abstractNumId w:val="15"/>
  </w:num>
  <w:num w:numId="14">
    <w:abstractNumId w:val="13"/>
  </w:num>
  <w:num w:numId="15">
    <w:abstractNumId w:val="20"/>
  </w:num>
  <w:num w:numId="16">
    <w:abstractNumId w:val="16"/>
  </w:num>
  <w:num w:numId="17">
    <w:abstractNumId w:val="31"/>
  </w:num>
  <w:num w:numId="18">
    <w:abstractNumId w:val="7"/>
  </w:num>
  <w:num w:numId="19">
    <w:abstractNumId w:val="30"/>
  </w:num>
  <w:num w:numId="20">
    <w:abstractNumId w:val="6"/>
  </w:num>
  <w:num w:numId="21">
    <w:abstractNumId w:val="28"/>
  </w:num>
  <w:num w:numId="22">
    <w:abstractNumId w:val="17"/>
  </w:num>
  <w:num w:numId="23">
    <w:abstractNumId w:val="27"/>
  </w:num>
  <w:num w:numId="24">
    <w:abstractNumId w:val="14"/>
  </w:num>
  <w:num w:numId="25">
    <w:abstractNumId w:val="24"/>
  </w:num>
  <w:num w:numId="26">
    <w:abstractNumId w:val="11"/>
  </w:num>
  <w:num w:numId="27">
    <w:abstractNumId w:val="33"/>
  </w:num>
  <w:num w:numId="28">
    <w:abstractNumId w:val="34"/>
  </w:num>
  <w:num w:numId="29">
    <w:abstractNumId w:val="25"/>
  </w:num>
  <w:num w:numId="30">
    <w:abstractNumId w:val="21"/>
  </w:num>
  <w:num w:numId="31">
    <w:abstractNumId w:val="0"/>
  </w:num>
  <w:num w:numId="32">
    <w:abstractNumId w:val="9"/>
  </w:num>
  <w:num w:numId="33">
    <w:abstractNumId w:val="32"/>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8103</Words>
  <Characters>46192</Characters>
  <Application>Microsoft Office Word</Application>
  <DocSecurity>0</DocSecurity>
  <Lines>384</Lines>
  <Paragraphs>108</Paragraphs>
  <ScaleCrop>false</ScaleCrop>
  <Company>Panasonic Corporation</Company>
  <LinksUpToDate>false</LinksUpToDate>
  <CharactersWithSpaces>54187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Frank</cp:lastModifiedBy>
  <cp:revision>4</cp:revision>
  <dcterms:created xsi:type="dcterms:W3CDTF">2022-06-16T11:05:00Z</dcterms:created>
  <dcterms:modified xsi:type="dcterms:W3CDTF">2022-06-16T12:00:00Z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