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C819B" w14:textId="77777777" w:rsidR="001F4D55" w:rsidRPr="00A15DA3" w:rsidRDefault="0026544B">
      <w:pPr>
        <w:pStyle w:val="af0"/>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af0"/>
        <w:tabs>
          <w:tab w:val="right" w:pos="9498"/>
        </w:tabs>
        <w:rPr>
          <w:rFonts w:cs="Arial"/>
          <w:bCs/>
          <w:sz w:val="22"/>
        </w:rPr>
      </w:pPr>
      <w:r>
        <w:rPr>
          <w:rFonts w:cs="Arial"/>
          <w:bCs/>
          <w:sz w:val="22"/>
        </w:rPr>
        <w:t>e-Meeting, May 9th – 20th, 2022</w:t>
      </w:r>
    </w:p>
    <w:p w14:paraId="05AFAAEB" w14:textId="77777777" w:rsidR="001F4D55" w:rsidRDefault="001F4D55">
      <w:pPr>
        <w:pStyle w:val="af0"/>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af0"/>
        <w:tabs>
          <w:tab w:val="right" w:pos="9639"/>
        </w:tabs>
        <w:rPr>
          <w:rFonts w:cs="Arial"/>
          <w:bCs/>
          <w:sz w:val="22"/>
        </w:rPr>
      </w:pPr>
    </w:p>
    <w:p w14:paraId="47DAFE1F" w14:textId="77777777"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af4"/>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af4"/>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f4"/>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af6"/>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af2"/>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af6"/>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af6"/>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af6"/>
              <w:ind w:left="360"/>
            </w:pPr>
          </w:p>
          <w:p w14:paraId="2903FA72" w14:textId="77777777" w:rsidR="003959B3" w:rsidRDefault="003959B3" w:rsidP="003959B3">
            <w:pPr>
              <w:pStyle w:val="af6"/>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af6"/>
            </w:pPr>
          </w:p>
          <w:p w14:paraId="0D16AF56" w14:textId="77777777" w:rsidR="003959B3" w:rsidRDefault="003959B3" w:rsidP="003959B3">
            <w:pPr>
              <w:pStyle w:val="af6"/>
              <w:numPr>
                <w:ilvl w:val="0"/>
                <w:numId w:val="6"/>
              </w:numPr>
            </w:pPr>
            <w:r>
              <w:t xml:space="preserve">Impact to legacy operation: The impact to legacy operation has two parts: </w:t>
            </w:r>
          </w:p>
          <w:p w14:paraId="3A512D8A" w14:textId="77777777" w:rsidR="003959B3" w:rsidRDefault="003959B3" w:rsidP="003959B3">
            <w:pPr>
              <w:pStyle w:val="af6"/>
            </w:pPr>
          </w:p>
          <w:p w14:paraId="574CE2EB" w14:textId="77777777" w:rsidR="003959B3" w:rsidRDefault="003959B3" w:rsidP="003959B3">
            <w:pPr>
              <w:pStyle w:val="af6"/>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af6"/>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af6"/>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af6"/>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af6"/>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af6"/>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af6"/>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af6"/>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af6"/>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af6"/>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af6"/>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1"/>
      </w:pPr>
      <w:r>
        <w:t>4</w:t>
      </w:r>
      <w:r>
        <w:tab/>
        <w:t>2</w:t>
      </w:r>
      <w:r w:rsidRPr="00AC213B">
        <w:rPr>
          <w:vertAlign w:val="superscript"/>
        </w:rPr>
        <w:t>nd</w:t>
      </w:r>
      <w:r>
        <w:t xml:space="preserve"> Round Discussion</w:t>
      </w:r>
    </w:p>
    <w:p w14:paraId="0EE90F77" w14:textId="5CD08A29" w:rsidR="009A4D96" w:rsidRPr="00FB7032" w:rsidRDefault="009A4D96" w:rsidP="009A4D96">
      <w:pPr>
        <w:pStyle w:val="af6"/>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af4"/>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af6"/>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af6"/>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af6"/>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af6"/>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It may not be necessary to decide now exactly what goes into this section. It will become more clear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PCell, SCell or SpCell use SBFD should be discussed in 7.3. For purpose of UE or gNB CLI handling, e.g., both UE reportable or gNB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lang w:eastAsia="zh-CN"/>
              </w:rPr>
            </w:pPr>
            <w:r>
              <w:rPr>
                <w:lang w:eastAsia="zh-CN"/>
              </w:rPr>
              <w:t>We tend to agree with Ericsson, we don’t need to decide now exactly what goes into this section. This can be part of the subsequent RAN1 discussion.</w:t>
            </w:r>
          </w:p>
        </w:tc>
      </w:tr>
      <w:tr w:rsidR="00F87196" w14:paraId="606E5F59" w14:textId="77777777" w:rsidTr="000203E7">
        <w:tc>
          <w:tcPr>
            <w:tcW w:w="1188" w:type="dxa"/>
          </w:tcPr>
          <w:p w14:paraId="425A7CFA" w14:textId="12D3C4F1" w:rsidR="00F87196" w:rsidRDefault="006A3853" w:rsidP="00F87196">
            <w:pPr>
              <w:rPr>
                <w:rFonts w:hint="eastAsia"/>
                <w:lang w:eastAsia="zh-CN"/>
              </w:rPr>
            </w:pPr>
            <w:r>
              <w:rPr>
                <w:rFonts w:hint="eastAsia"/>
                <w:lang w:eastAsia="zh-CN"/>
              </w:rPr>
              <w:t>X</w:t>
            </w:r>
            <w:r>
              <w:rPr>
                <w:lang w:eastAsia="zh-CN"/>
              </w:rPr>
              <w:t>iaomi</w:t>
            </w:r>
          </w:p>
        </w:tc>
        <w:tc>
          <w:tcPr>
            <w:tcW w:w="8443" w:type="dxa"/>
          </w:tcPr>
          <w:p w14:paraId="6ACA4283" w14:textId="77777777" w:rsidR="00F87196" w:rsidRDefault="006A3853" w:rsidP="00F87196">
            <w:pPr>
              <w:rPr>
                <w:lang w:eastAsia="zh-CN"/>
              </w:rPr>
            </w:pPr>
            <w:r>
              <w:rPr>
                <w:rFonts w:hint="eastAsia"/>
                <w:lang w:eastAsia="zh-CN"/>
              </w:rPr>
              <w:t>W</w:t>
            </w:r>
            <w:r>
              <w:rPr>
                <w:lang w:eastAsia="zh-CN"/>
              </w:rPr>
              <w:t>e agree with Ericsson and ZTE that we may not need to hurry into the details at an early stage.</w:t>
            </w:r>
          </w:p>
          <w:p w14:paraId="247966ED" w14:textId="2ED4148E" w:rsidR="006A3853" w:rsidRDefault="006A3853" w:rsidP="006A3853">
            <w:pPr>
              <w:rPr>
                <w:rFonts w:hint="eastAsia"/>
                <w:lang w:eastAsia="zh-CN"/>
              </w:rPr>
            </w:pPr>
            <w:r>
              <w:rPr>
                <w:lang w:eastAsia="zh-CN"/>
              </w:rPr>
              <w:t xml:space="preserve">For section 9, we don’t quite understand why we need feasibility simulation for dynamic TDD. Different from SBFD, it is a technique already supported since Rel-15. </w:t>
            </w:r>
          </w:p>
        </w:tc>
      </w:tr>
      <w:tr w:rsidR="00F87196" w14:paraId="0964353A" w14:textId="77777777" w:rsidTr="000203E7">
        <w:tc>
          <w:tcPr>
            <w:tcW w:w="1188" w:type="dxa"/>
          </w:tcPr>
          <w:p w14:paraId="054CBD97" w14:textId="77777777" w:rsidR="00F87196" w:rsidRDefault="00F87196" w:rsidP="00F87196"/>
        </w:tc>
        <w:tc>
          <w:tcPr>
            <w:tcW w:w="8443" w:type="dxa"/>
          </w:tcPr>
          <w:p w14:paraId="6C11FEAD" w14:textId="77777777" w:rsidR="00F87196" w:rsidRDefault="00F87196" w:rsidP="00F87196"/>
        </w:tc>
      </w:tr>
      <w:tr w:rsidR="00F87196" w14:paraId="5C6078BC" w14:textId="77777777" w:rsidTr="000203E7">
        <w:tc>
          <w:tcPr>
            <w:tcW w:w="1188" w:type="dxa"/>
          </w:tcPr>
          <w:p w14:paraId="645AA7A4" w14:textId="77777777" w:rsidR="00F87196" w:rsidRDefault="00F87196" w:rsidP="00F87196"/>
        </w:tc>
        <w:tc>
          <w:tcPr>
            <w:tcW w:w="8443" w:type="dxa"/>
          </w:tcPr>
          <w:p w14:paraId="04DE39EA" w14:textId="77777777" w:rsidR="00F87196" w:rsidRDefault="00F87196" w:rsidP="00F87196"/>
        </w:tc>
      </w:tr>
    </w:tbl>
    <w:p w14:paraId="4C1254A0" w14:textId="77777777" w:rsidR="009F114A" w:rsidRDefault="009F114A" w:rsidP="00842688"/>
    <w:p w14:paraId="6CD283B8" w14:textId="2F6F30CA" w:rsidR="00842688" w:rsidRPr="00FB7032" w:rsidRDefault="009A4D96" w:rsidP="00842688">
      <w:pPr>
        <w:pStyle w:val="af6"/>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af4"/>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r>
              <w:rPr>
                <w:rFonts w:hint="eastAsia"/>
                <w:lang w:eastAsia="zh-CN"/>
              </w:rPr>
              <w:t>S</w:t>
            </w:r>
            <w:r>
              <w:rPr>
                <w:lang w:eastAsia="zh-CN"/>
              </w:rPr>
              <w:t>preadtrum</w:t>
            </w:r>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gNB side in R18. So we suggest adding </w:t>
            </w:r>
            <w:r>
              <w:rPr>
                <w:i/>
                <w:iCs/>
              </w:rPr>
              <w:t>“gNB”</w:t>
            </w:r>
            <w:r>
              <w:t xml:space="preserve"> to the title as </w:t>
            </w:r>
            <w:r>
              <w:rPr>
                <w:i/>
                <w:iCs/>
              </w:rPr>
              <w:t>“</w:t>
            </w:r>
            <w:r>
              <w:rPr>
                <w:i/>
                <w:iCs/>
                <w:color w:val="FF0000"/>
              </w:rPr>
              <w:t>gNB</w:t>
            </w:r>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af3"/>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af3"/>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af3"/>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(gNB-gNB and UE-UE CLI handling) are applicable also in the context of  SBFD coexistence with legacy (static TDD) and dynamic TDD coexistence with legacy (static TDD), it is a bit confusing to mention inter- and intra-subband CLI, since there are no subbands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Inter-gNB and inter-UE CLI handling schemes</w:t>
            </w:r>
            <w:bookmarkEnd w:id="22"/>
          </w:p>
          <w:p w14:paraId="010FB30E" w14:textId="77777777" w:rsidR="00F87196" w:rsidRPr="00331DDD" w:rsidRDefault="00F87196" w:rsidP="00F87196">
            <w:pPr>
              <w:jc w:val="both"/>
              <w:rPr>
                <w:rFonts w:eastAsia="等线"/>
                <w:i/>
                <w:color w:val="0000FF"/>
              </w:rPr>
            </w:pPr>
            <w:r w:rsidRPr="00331DDD">
              <w:rPr>
                <w:rFonts w:eastAsia="等线"/>
                <w:i/>
                <w:color w:val="0000FF"/>
              </w:rPr>
              <w:t>Editor’s note: This section captures the potential inter-gNB and inter-UE CLI handling schemes that are specific for SBFD</w:t>
            </w:r>
            <w:r w:rsidRPr="00331DDD">
              <w:rPr>
                <w:rFonts w:eastAsia="等线"/>
                <w:i/>
                <w:strike/>
                <w:color w:val="FF0000"/>
              </w:rPr>
              <w:t>, and the schemes that are common for both SBFD and dynamic/flexible TDD are captured in 8.2. Specifically, the inter-subband CLI handling schemes are captures in 6.3, and intra-subband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Inter-gNB and inter-UE CLI handling schemes</w:t>
            </w:r>
            <w:bookmarkEnd w:id="23"/>
          </w:p>
          <w:p w14:paraId="5D4D082C" w14:textId="77777777" w:rsidR="00F87196" w:rsidRDefault="00F87196" w:rsidP="00F87196">
            <w:pPr>
              <w:rPr>
                <w:rFonts w:eastAsia="等线"/>
                <w:i/>
                <w:strike/>
                <w:color w:val="FF0000"/>
              </w:rPr>
            </w:pPr>
            <w:r w:rsidRPr="00331DDD">
              <w:rPr>
                <w:rFonts w:eastAsia="等线"/>
                <w:i/>
                <w:color w:val="0000FF"/>
              </w:rPr>
              <w:t xml:space="preserve">Editor’s note: This section </w:t>
            </w:r>
            <w:r w:rsidRPr="00331DDD">
              <w:rPr>
                <w:rFonts w:eastAsia="等线"/>
                <w:i/>
                <w:strike/>
                <w:color w:val="FF0000"/>
              </w:rPr>
              <w:t>only</w:t>
            </w:r>
            <w:r w:rsidRPr="00331DDD">
              <w:rPr>
                <w:rFonts w:eastAsia="等线"/>
                <w:i/>
                <w:color w:val="FF0000"/>
              </w:rPr>
              <w:t xml:space="preserve"> </w:t>
            </w:r>
            <w:r w:rsidRPr="00331DDD">
              <w:rPr>
                <w:rFonts w:eastAsia="等线"/>
                <w:i/>
                <w:color w:val="0000FF"/>
              </w:rPr>
              <w:t xml:space="preserve">captures the potential inter-gNB and inter-UE CLI handling schemes </w:t>
            </w:r>
            <w:r w:rsidRPr="00331DDD">
              <w:rPr>
                <w:rFonts w:eastAsia="等线"/>
                <w:i/>
                <w:strike/>
                <w:color w:val="FF0000"/>
              </w:rPr>
              <w:t>including schemes</w:t>
            </w:r>
            <w:r w:rsidRPr="00331DDD">
              <w:rPr>
                <w:rFonts w:eastAsia="等线"/>
                <w:i/>
                <w:color w:val="FF0000"/>
              </w:rPr>
              <w:t xml:space="preserve"> </w:t>
            </w:r>
            <w:r w:rsidRPr="00331DDD">
              <w:rPr>
                <w:rFonts w:eastAsia="等线"/>
                <w:i/>
                <w:color w:val="0000FF"/>
              </w:rPr>
              <w:t xml:space="preserve">that are specific for dynamic TDD and schemes that are common for both SBFD and dynamic/flexible TDD. </w:t>
            </w:r>
            <w:r w:rsidRPr="00331DDD">
              <w:rPr>
                <w:rFonts w:eastAsia="等线"/>
                <w:i/>
                <w:strike/>
                <w:color w:val="FF0000"/>
              </w:rPr>
              <w:t>Specifically, intra-subband CLI handling schemes are captured in section 8.2.</w:t>
            </w:r>
          </w:p>
          <w:p w14:paraId="704298D5" w14:textId="77777777" w:rsidR="00F87196" w:rsidRDefault="00F87196" w:rsidP="00F87196">
            <w:pPr>
              <w:rPr>
                <w:rFonts w:eastAsia="等线"/>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gNBs.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t>New H3C</w:t>
            </w:r>
          </w:p>
        </w:tc>
        <w:tc>
          <w:tcPr>
            <w:tcW w:w="8443" w:type="dxa"/>
          </w:tcPr>
          <w:p w14:paraId="5A5CF323" w14:textId="77777777" w:rsidR="00F87196" w:rsidRDefault="0080469F" w:rsidP="00F87196">
            <w:r>
              <w:t xml:space="preserve">Regarding section 6.2, it is better to modify title for “ Intra-gNB </w:t>
            </w:r>
            <w:r w:rsidRPr="0080469F">
              <w:t>Self-interference handling schemes</w:t>
            </w:r>
            <w:r>
              <w:t>”</w:t>
            </w:r>
          </w:p>
          <w:p w14:paraId="0213F31F" w14:textId="77777777" w:rsidR="000A34B2" w:rsidRDefault="000A34B2" w:rsidP="00F87196">
            <w:r>
              <w:t>due to only gNB with full duplex mode in Rel-18.</w:t>
            </w:r>
          </w:p>
          <w:p w14:paraId="6DF1CD31" w14:textId="348EE4B5" w:rsidR="000A34B2" w:rsidRDefault="000A34B2" w:rsidP="000A34B2">
            <w:r>
              <w:t>We are fine with Ericssion’s modification on section  6.3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2"/>
            </w:pPr>
            <w:bookmarkStart w:id="24" w:name="_Toc103163469"/>
            <w:r w:rsidRPr="00BA27AE">
              <w:t>7.</w:t>
            </w:r>
            <w:r>
              <w:t>2</w:t>
            </w:r>
            <w:r w:rsidRPr="00BA27AE">
              <w:tab/>
              <w:t>Evaluation Methodologies</w:t>
            </w:r>
            <w:bookmarkEnd w:id="24"/>
          </w:p>
          <w:p w14:paraId="528AA37A" w14:textId="3BC3138E" w:rsidR="000722B5" w:rsidRDefault="000722B5" w:rsidP="000722B5">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 xml:space="preserve">y </w:t>
            </w:r>
            <w:r w:rsidRPr="000722B5">
              <w:rPr>
                <w:color w:val="FF0000"/>
                <w:u w:val="single"/>
              </w:rPr>
              <w:t>and interference models</w:t>
            </w:r>
            <w:r>
              <w:t>.</w:t>
            </w:r>
          </w:p>
          <w:p w14:paraId="23E66F4A" w14:textId="799961F5" w:rsidR="000722B5" w:rsidRPr="000722B5" w:rsidRDefault="000722B5" w:rsidP="00F87196">
            <w:pPr>
              <w:rPr>
                <w:lang w:eastAsia="zh-CN"/>
              </w:rPr>
            </w:pPr>
          </w:p>
        </w:tc>
      </w:tr>
      <w:tr w:rsidR="00F87196" w14:paraId="3F1A9942" w14:textId="77777777" w:rsidTr="000203E7">
        <w:tc>
          <w:tcPr>
            <w:tcW w:w="1188" w:type="dxa"/>
          </w:tcPr>
          <w:p w14:paraId="51C14666" w14:textId="4A43A3A8" w:rsidR="00F87196" w:rsidRDefault="00151011" w:rsidP="00F87196">
            <w:r>
              <w:rPr>
                <w:rFonts w:hint="eastAsia"/>
                <w:lang w:eastAsia="zh-CN"/>
              </w:rPr>
              <w:t>X</w:t>
            </w:r>
            <w:r>
              <w:rPr>
                <w:lang w:eastAsia="zh-CN"/>
              </w:rPr>
              <w:t>iaomi</w:t>
            </w:r>
          </w:p>
        </w:tc>
        <w:tc>
          <w:tcPr>
            <w:tcW w:w="8443" w:type="dxa"/>
          </w:tcPr>
          <w:p w14:paraId="7EB69FBA" w14:textId="2BD4F8B2" w:rsidR="00F87196" w:rsidRDefault="00151011" w:rsidP="00F87196">
            <w:pPr>
              <w:rPr>
                <w:rFonts w:hint="eastAsia"/>
                <w:lang w:eastAsia="zh-CN"/>
              </w:rPr>
            </w:pPr>
            <w:r>
              <w:rPr>
                <w:rFonts w:hint="eastAsia"/>
                <w:lang w:eastAsia="zh-CN"/>
              </w:rPr>
              <w:t>W</w:t>
            </w:r>
            <w:r>
              <w:rPr>
                <w:lang w:eastAsia="zh-CN"/>
              </w:rPr>
              <w:t>e are not quite sure why section 9.3 is needed.</w:t>
            </w:r>
            <w:r w:rsidR="00527D10">
              <w:rPr>
                <w:lang w:eastAsia="zh-CN"/>
              </w:rPr>
              <w:t xml:space="preserve"> Different from SBFD, dynamic TDD is supported since Rel-15. We may introduce some enhancement to handle CLI. But we are not sure why and how to execute the feasibility evaluation. Clarification is appreciated.</w:t>
            </w:r>
            <w:bookmarkStart w:id="25" w:name="_GoBack"/>
            <w:bookmarkEnd w:id="25"/>
          </w:p>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1"/>
        <w:ind w:left="431" w:firstLine="0"/>
        <w:jc w:val="both"/>
        <w:rPr>
          <w:lang w:val="en-US"/>
        </w:rPr>
      </w:pPr>
      <w:r>
        <w:rPr>
          <w:lang w:val="en-US"/>
        </w:rPr>
        <w:t>References</w:t>
      </w:r>
      <w:bookmarkStart w:id="26" w:name="_Ref450735844"/>
      <w:bookmarkStart w:id="27" w:name="_Ref450342757"/>
      <w:bookmarkStart w:id="28" w:name="_Ref457730460"/>
    </w:p>
    <w:p w14:paraId="50AE54CE" w14:textId="77777777" w:rsidR="001F4D55" w:rsidRDefault="0026544B">
      <w:pPr>
        <w:pStyle w:val="af6"/>
        <w:numPr>
          <w:ilvl w:val="0"/>
          <w:numId w:val="4"/>
        </w:numPr>
        <w:spacing w:after="0" w:line="240" w:lineRule="auto"/>
        <w:contextualSpacing w:val="0"/>
        <w:rPr>
          <w:lang w:eastAsia="ko-KR"/>
        </w:rPr>
      </w:pPr>
      <w:bookmarkStart w:id="29" w:name="_Ref102202366"/>
      <w:bookmarkEnd w:id="26"/>
      <w:bookmarkEnd w:id="27"/>
      <w:bookmarkEnd w:id="28"/>
      <w:r>
        <w:rPr>
          <w:lang w:eastAsia="ko-KR"/>
        </w:rPr>
        <w:t>RP-213591, New SI: Study on evolution of NR duplex operation, CMCC</w:t>
      </w:r>
      <w:bookmarkEnd w:id="29"/>
    </w:p>
    <w:p w14:paraId="4AF83602" w14:textId="77777777" w:rsidR="001F4D55" w:rsidRDefault="0026544B">
      <w:pPr>
        <w:pStyle w:val="af6"/>
        <w:numPr>
          <w:ilvl w:val="0"/>
          <w:numId w:val="4"/>
        </w:numPr>
        <w:spacing w:after="0" w:line="240" w:lineRule="auto"/>
        <w:contextualSpacing w:val="0"/>
        <w:rPr>
          <w:lang w:eastAsia="ko-KR"/>
        </w:rPr>
      </w:pPr>
      <w:bookmarkStart w:id="30" w:name="_Ref102202373"/>
      <w:r>
        <w:rPr>
          <w:lang w:eastAsia="ko-KR"/>
        </w:rPr>
        <w:t>RP-220633, Revised SID: Study on evolution of NR duplex operation, CMCC</w:t>
      </w:r>
      <w:bookmarkEnd w:id="30"/>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D5C59" w14:textId="77777777" w:rsidR="004C7ED8" w:rsidRDefault="004C7ED8">
      <w:pPr>
        <w:spacing w:after="0"/>
      </w:pPr>
      <w:r>
        <w:separator/>
      </w:r>
    </w:p>
  </w:endnote>
  <w:endnote w:type="continuationSeparator" w:id="0">
    <w:p w14:paraId="0C560550" w14:textId="77777777" w:rsidR="004C7ED8" w:rsidRDefault="004C7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90DF" w14:textId="77777777" w:rsidR="004C7ED8" w:rsidRDefault="004C7ED8">
      <w:pPr>
        <w:spacing w:after="0"/>
      </w:pPr>
      <w:r>
        <w:separator/>
      </w:r>
    </w:p>
  </w:footnote>
  <w:footnote w:type="continuationSeparator" w:id="0">
    <w:p w14:paraId="732E991B" w14:textId="77777777" w:rsidR="004C7ED8" w:rsidRDefault="004C7E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2"/>
  </w:num>
  <w:num w:numId="8">
    <w:abstractNumId w:val="7"/>
  </w:num>
  <w:num w:numId="9">
    <w:abstractNumId w:val="9"/>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01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D10"/>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853"/>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Segoe UI" w:hAnsi="Segoe UI" w:cs="Segoe UI"/>
      <w:sz w:val="18"/>
      <w:szCs w:val="18"/>
    </w:rPr>
  </w:style>
  <w:style w:type="paragraph" w:styleId="a5">
    <w:name w:val="Body Text"/>
    <w:basedOn w:val="a"/>
    <w:link w:val="a6"/>
    <w:unhideWhenUsed/>
    <w:qFormat/>
    <w:pPr>
      <w:overflowPunct w:val="0"/>
      <w:autoSpaceDE w:val="0"/>
      <w:autoSpaceDN w:val="0"/>
      <w:adjustRightInd w:val="0"/>
      <w:spacing w:after="120"/>
      <w:jc w:val="both"/>
    </w:pPr>
    <w:rPr>
      <w:rFonts w:ascii="Arial" w:hAnsi="Arial"/>
      <w:lang w:val="en-US" w:eastAsia="zh-CN"/>
    </w:rPr>
  </w:style>
  <w:style w:type="paragraph" w:styleId="a7">
    <w:name w:val="caption"/>
    <w:basedOn w:val="a"/>
    <w:next w:val="a"/>
    <w:link w:val="a8"/>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9">
    <w:name w:val="annotation reference"/>
    <w:uiPriority w:val="99"/>
    <w:qFormat/>
    <w:rPr>
      <w:sz w:val="16"/>
      <w:szCs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character" w:styleId="ae">
    <w:name w:val="FollowedHyperlink"/>
    <w:qFormat/>
    <w:rPr>
      <w:color w:val="954F72"/>
      <w:u w:val="single"/>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hAnsi="Arial"/>
      <w:b/>
      <w:sz w:val="18"/>
      <w:lang w:val="en-GB" w:eastAsia="ja-JP"/>
    </w:rPr>
  </w:style>
  <w:style w:type="character" w:styleId="af2">
    <w:name w:val="Hyperlink"/>
    <w:qFormat/>
    <w:rPr>
      <w:color w:val="0563C1"/>
      <w:u w:val="single"/>
    </w:rPr>
  </w:style>
  <w:style w:type="paragraph" w:styleId="af3">
    <w:name w:val="Normal (Web)"/>
    <w:basedOn w:val="a"/>
    <w:uiPriority w:val="99"/>
    <w:unhideWhenUsed/>
    <w:qFormat/>
    <w:pPr>
      <w:spacing w:before="100" w:beforeAutospacing="1" w:after="100" w:afterAutospacing="1"/>
    </w:pPr>
    <w:rPr>
      <w:sz w:val="24"/>
      <w:szCs w:val="24"/>
      <w:lang w:eastAsia="en-GB"/>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toc 2"/>
    <w:basedOn w:val="10"/>
    <w:next w:val="a"/>
    <w:uiPriority w:val="39"/>
    <w:qFormat/>
    <w:pPr>
      <w:keepNext w:val="0"/>
      <w:spacing w:before="0"/>
      <w:ind w:left="851" w:hanging="851"/>
    </w:pPr>
    <w:rPr>
      <w:sz w:val="20"/>
    </w:rPr>
  </w:style>
  <w:style w:type="paragraph" w:styleId="31">
    <w:name w:val="toc 3"/>
    <w:basedOn w:val="21"/>
    <w:next w:val="a"/>
    <w:uiPriority w:val="39"/>
    <w:qFormat/>
    <w:pPr>
      <w:ind w:left="1134" w:hanging="1134"/>
    </w:pPr>
  </w:style>
  <w:style w:type="paragraph" w:styleId="40">
    <w:name w:val="toc 4"/>
    <w:basedOn w:val="31"/>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1">
    <w:name w:val="toc 8"/>
    <w:basedOn w:val="10"/>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11">
    <w:name w:val="未处理的提及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0">
    <w:name w:val="标题 3 字符"/>
    <w:link w:val="3"/>
    <w:qFormat/>
    <w:rPr>
      <w:rFonts w:ascii="Arial" w:hAnsi="Arial"/>
      <w:sz w:val="28"/>
      <w:lang w:val="en-GB" w:eastAsia="en-US"/>
    </w:rPr>
  </w:style>
  <w:style w:type="character" w:customStyle="1" w:styleId="af5">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a"/>
    <w:link w:val="af5"/>
    <w:uiPriority w:val="34"/>
    <w:qFormat/>
    <w:pPr>
      <w:spacing w:line="254" w:lineRule="auto"/>
      <w:ind w:left="720"/>
      <w:contextualSpacing/>
    </w:pPr>
    <w:rPr>
      <w:rFonts w:ascii="Times" w:hAnsi="Times" w:cs="Times"/>
      <w:sz w:val="22"/>
      <w:szCs w:val="24"/>
      <w:lang w:val="sv-SE" w:eastAsia="ja-JP"/>
    </w:rPr>
  </w:style>
  <w:style w:type="character" w:customStyle="1" w:styleId="ab">
    <w:name w:val="批注文字 字符"/>
    <w:link w:val="aa"/>
    <w:uiPriority w:val="99"/>
    <w:qFormat/>
    <w:rPr>
      <w:lang w:val="en-GB" w:eastAsia="en-US"/>
    </w:rPr>
  </w:style>
  <w:style w:type="character" w:customStyle="1" w:styleId="ad">
    <w:name w:val="批注主题 字符"/>
    <w:link w:val="ac"/>
    <w:qFormat/>
    <w:rPr>
      <w:b/>
      <w:bCs/>
      <w:lang w:val="en-GB" w:eastAsia="en-US"/>
    </w:rPr>
  </w:style>
  <w:style w:type="character" w:customStyle="1" w:styleId="af1">
    <w:name w:val="页眉 字符"/>
    <w:link w:val="af0"/>
    <w:qFormat/>
    <w:rPr>
      <w:rFonts w:ascii="Arial" w:hAnsi="Arial"/>
      <w:b/>
      <w:sz w:val="18"/>
      <w:lang w:val="en-GB" w:eastAsia="ja-JP"/>
    </w:rPr>
  </w:style>
  <w:style w:type="character" w:customStyle="1" w:styleId="a6">
    <w:name w:val="正文文本 字符"/>
    <w:basedOn w:val="a0"/>
    <w:link w:val="a5"/>
    <w:qFormat/>
    <w:rPr>
      <w:rFonts w:ascii="Arial" w:hAnsi="Arial"/>
      <w:lang w:val="en-US" w:eastAsia="zh-CN"/>
    </w:rPr>
  </w:style>
  <w:style w:type="character" w:customStyle="1" w:styleId="12">
    <w:name w:val="@他1"/>
    <w:basedOn w:val="a0"/>
    <w:uiPriority w:val="99"/>
    <w:unhideWhenUsed/>
    <w:qFormat/>
    <w:rPr>
      <w:color w:val="2B579A"/>
      <w:shd w:val="clear" w:color="auto" w:fill="E1DFDD"/>
    </w:rPr>
  </w:style>
  <w:style w:type="table" w:customStyle="1" w:styleId="13">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a8">
    <w:name w:val="题注 字符"/>
    <w:link w:val="a7"/>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0">
    <w:name w:val="标题 2 字符"/>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6201</Words>
  <Characters>33154</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p:lastModifiedBy>
  <cp:revision>2</cp:revision>
  <cp:lastPrinted>2020-05-14T06:07:00Z</cp:lastPrinted>
  <dcterms:created xsi:type="dcterms:W3CDTF">2022-05-12T08:50:00Z</dcterms:created>
  <dcterms:modified xsi:type="dcterms:W3CDTF">2022-05-12T08:50:00Z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