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C819B" w14:textId="77777777" w:rsidR="001F4D55" w:rsidRPr="00A15DA3" w:rsidRDefault="0026544B">
      <w:pPr>
        <w:pStyle w:val="ab"/>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ab"/>
        <w:tabs>
          <w:tab w:val="right" w:pos="9498"/>
        </w:tabs>
        <w:rPr>
          <w:rFonts w:cs="Arial"/>
          <w:bCs/>
          <w:sz w:val="22"/>
        </w:rPr>
      </w:pPr>
      <w:r>
        <w:rPr>
          <w:rFonts w:cs="Arial"/>
          <w:bCs/>
          <w:sz w:val="22"/>
        </w:rPr>
        <w:t>e-Meeting, May 9th – 20th, 2022</w:t>
      </w:r>
    </w:p>
    <w:p w14:paraId="05AFAAEB" w14:textId="77777777" w:rsidR="001F4D55" w:rsidRDefault="001F4D55">
      <w:pPr>
        <w:pStyle w:val="ab"/>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ab"/>
        <w:tabs>
          <w:tab w:val="right" w:pos="9639"/>
        </w:tabs>
        <w:rPr>
          <w:rFonts w:cs="Arial"/>
          <w:bCs/>
          <w:sz w:val="22"/>
        </w:rPr>
      </w:pPr>
    </w:p>
    <w:p w14:paraId="47DAFE1F" w14:textId="77777777"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‘Inbox/drafts/9.3/draftSkeleton’).</w:t>
      </w:r>
    </w:p>
    <w:p w14:paraId="139454F7" w14:textId="72B248D7"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ae"/>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ae"/>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e"/>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af"/>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ac"/>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lastRenderedPageBreak/>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af"/>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af"/>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af"/>
              <w:ind w:left="360"/>
            </w:pPr>
          </w:p>
          <w:p w14:paraId="2903FA72" w14:textId="77777777" w:rsidR="003959B3" w:rsidRDefault="003959B3" w:rsidP="003959B3">
            <w:pPr>
              <w:pStyle w:val="af"/>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af"/>
            </w:pPr>
          </w:p>
          <w:p w14:paraId="0D16AF56" w14:textId="77777777" w:rsidR="003959B3" w:rsidRDefault="003959B3" w:rsidP="003959B3">
            <w:pPr>
              <w:pStyle w:val="af"/>
              <w:numPr>
                <w:ilvl w:val="0"/>
                <w:numId w:val="6"/>
              </w:numPr>
            </w:pPr>
            <w:r>
              <w:t xml:space="preserve">Impact to legacy operation: The impact to legacy operation has two parts: </w:t>
            </w:r>
          </w:p>
          <w:p w14:paraId="3A512D8A" w14:textId="77777777" w:rsidR="003959B3" w:rsidRDefault="003959B3" w:rsidP="003959B3">
            <w:pPr>
              <w:pStyle w:val="af"/>
            </w:pPr>
          </w:p>
          <w:p w14:paraId="574CE2EB" w14:textId="77777777" w:rsidR="003959B3" w:rsidRDefault="003959B3" w:rsidP="003959B3">
            <w:pPr>
              <w:pStyle w:val="af"/>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af"/>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af"/>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af"/>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af"/>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af"/>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af"/>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af"/>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af"/>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af"/>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af"/>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af"/>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af"/>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af"/>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af"/>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af"/>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af"/>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1"/>
      </w:pPr>
      <w:r>
        <w:t>4</w:t>
      </w:r>
      <w:r>
        <w:tab/>
        <w:t>2</w:t>
      </w:r>
      <w:r w:rsidRPr="00AC213B">
        <w:rPr>
          <w:vertAlign w:val="superscript"/>
        </w:rPr>
        <w:t>nd</w:t>
      </w:r>
      <w:r>
        <w:t xml:space="preserve"> Round Discussion</w:t>
      </w:r>
    </w:p>
    <w:p w14:paraId="0EE90F77" w14:textId="5CD08A29" w:rsidR="009A4D96" w:rsidRPr="00FB7032" w:rsidRDefault="009A4D96" w:rsidP="009A4D96">
      <w:pPr>
        <w:pStyle w:val="af"/>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ae"/>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af"/>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af"/>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af"/>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af"/>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It may not be necessary to decide now exactly what goes into this section. It will become more clear as the SI progresses.</w:t>
            </w:r>
          </w:p>
        </w:tc>
      </w:tr>
      <w:tr w:rsidR="00F87196" w14:paraId="7CF786C8" w14:textId="77777777" w:rsidTr="000203E7">
        <w:tc>
          <w:tcPr>
            <w:tcW w:w="1188" w:type="dxa"/>
          </w:tcPr>
          <w:p w14:paraId="7E24AB40" w14:textId="28D264F6" w:rsidR="00F87196" w:rsidRDefault="00F87196" w:rsidP="00F87196"/>
        </w:tc>
        <w:tc>
          <w:tcPr>
            <w:tcW w:w="8443" w:type="dxa"/>
          </w:tcPr>
          <w:p w14:paraId="5FCAAA63" w14:textId="77777777" w:rsidR="00F87196" w:rsidRDefault="00F87196" w:rsidP="00F87196"/>
        </w:tc>
      </w:tr>
      <w:tr w:rsidR="00F87196" w14:paraId="2832DD24" w14:textId="77777777" w:rsidTr="000203E7">
        <w:tc>
          <w:tcPr>
            <w:tcW w:w="1188" w:type="dxa"/>
          </w:tcPr>
          <w:p w14:paraId="3EFA994C" w14:textId="77777777" w:rsidR="00F87196" w:rsidRDefault="00F87196" w:rsidP="00F87196"/>
        </w:tc>
        <w:tc>
          <w:tcPr>
            <w:tcW w:w="8443" w:type="dxa"/>
          </w:tcPr>
          <w:p w14:paraId="2ED7CF27" w14:textId="77777777" w:rsidR="00F87196" w:rsidRDefault="00F87196" w:rsidP="00F87196"/>
        </w:tc>
      </w:tr>
      <w:tr w:rsidR="00F87196" w14:paraId="606E5F59" w14:textId="77777777" w:rsidTr="000203E7">
        <w:tc>
          <w:tcPr>
            <w:tcW w:w="1188" w:type="dxa"/>
          </w:tcPr>
          <w:p w14:paraId="425A7CFA" w14:textId="77777777" w:rsidR="00F87196" w:rsidRDefault="00F87196" w:rsidP="00F87196"/>
        </w:tc>
        <w:tc>
          <w:tcPr>
            <w:tcW w:w="8443" w:type="dxa"/>
          </w:tcPr>
          <w:p w14:paraId="247966ED" w14:textId="77777777" w:rsidR="00F87196" w:rsidRDefault="00F87196" w:rsidP="00F87196"/>
        </w:tc>
      </w:tr>
      <w:tr w:rsidR="00F87196" w14:paraId="0964353A" w14:textId="77777777" w:rsidTr="000203E7">
        <w:tc>
          <w:tcPr>
            <w:tcW w:w="1188" w:type="dxa"/>
          </w:tcPr>
          <w:p w14:paraId="054CBD97" w14:textId="77777777" w:rsidR="00F87196" w:rsidRDefault="00F87196" w:rsidP="00F87196"/>
        </w:tc>
        <w:tc>
          <w:tcPr>
            <w:tcW w:w="8443" w:type="dxa"/>
          </w:tcPr>
          <w:p w14:paraId="6C11FEAD" w14:textId="77777777" w:rsidR="00F87196" w:rsidRDefault="00F87196" w:rsidP="00F87196"/>
        </w:tc>
      </w:tr>
      <w:tr w:rsidR="00F87196" w14:paraId="5C6078BC" w14:textId="77777777" w:rsidTr="000203E7">
        <w:tc>
          <w:tcPr>
            <w:tcW w:w="1188" w:type="dxa"/>
          </w:tcPr>
          <w:p w14:paraId="645AA7A4" w14:textId="77777777" w:rsidR="00F87196" w:rsidRDefault="00F87196" w:rsidP="00F87196"/>
        </w:tc>
        <w:tc>
          <w:tcPr>
            <w:tcW w:w="8443" w:type="dxa"/>
          </w:tcPr>
          <w:p w14:paraId="04DE39EA" w14:textId="77777777" w:rsidR="00F87196" w:rsidRDefault="00F87196" w:rsidP="00F87196"/>
        </w:tc>
      </w:tr>
    </w:tbl>
    <w:p w14:paraId="4C1254A0" w14:textId="77777777" w:rsidR="009F114A" w:rsidRDefault="009F114A" w:rsidP="00842688"/>
    <w:p w14:paraId="6CD283B8" w14:textId="2F6F30CA" w:rsidR="00842688" w:rsidRPr="00FB7032" w:rsidRDefault="009A4D96" w:rsidP="00842688">
      <w:pPr>
        <w:pStyle w:val="af"/>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ae"/>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r>
              <w:rPr>
                <w:rFonts w:hint="eastAsia"/>
                <w:lang w:eastAsia="zh-CN"/>
              </w:rPr>
              <w:t>S</w:t>
            </w:r>
            <w:r>
              <w:rPr>
                <w:lang w:eastAsia="zh-CN"/>
              </w:rPr>
              <w:t>preadtrum</w:t>
            </w:r>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gNB side in R18. So we suggest adding </w:t>
            </w:r>
            <w:r>
              <w:rPr>
                <w:i/>
                <w:iCs/>
              </w:rPr>
              <w:t>“gNB”</w:t>
            </w:r>
            <w:r>
              <w:t xml:space="preserve"> to the title as </w:t>
            </w:r>
            <w:r>
              <w:rPr>
                <w:i/>
                <w:iCs/>
              </w:rPr>
              <w:t>“</w:t>
            </w:r>
            <w:r>
              <w:rPr>
                <w:i/>
                <w:iCs/>
                <w:color w:val="FF0000"/>
              </w:rPr>
              <w:t>gNB</w:t>
            </w:r>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ad"/>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ad"/>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ad"/>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 xml:space="preserve">Since Sections 6.3 and 8.2 (gNB-gNB and UE-UE CLI handling) are applicable also in the context of  SBFD coexistence with legacy (static TDD) and dynamic TDD coexistence with legacy (static TDD), </w:t>
            </w:r>
            <w:r>
              <w:lastRenderedPageBreak/>
              <w:t>it is a bit confusing to mention inter- and intra-subband CLI, since there are no subbands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t>6.3</w:t>
            </w:r>
            <w:r w:rsidRPr="00331DDD">
              <w:rPr>
                <w:rFonts w:ascii="Cambria" w:hAnsi="Cambria"/>
                <w:b/>
                <w:bCs/>
                <w:iCs/>
                <w:sz w:val="28"/>
                <w:szCs w:val="28"/>
                <w:lang w:eastAsia="ja-JP"/>
              </w:rPr>
              <w:tab/>
              <w:t>Inter-gNB and inter-UE CLI handling schemes</w:t>
            </w:r>
            <w:bookmarkEnd w:id="22"/>
          </w:p>
          <w:p w14:paraId="010FB30E" w14:textId="77777777" w:rsidR="00F87196" w:rsidRPr="00331DDD" w:rsidRDefault="00F87196" w:rsidP="00F87196">
            <w:pPr>
              <w:jc w:val="both"/>
              <w:rPr>
                <w:rFonts w:eastAsia="等线"/>
                <w:i/>
                <w:color w:val="0000FF"/>
              </w:rPr>
            </w:pPr>
            <w:r w:rsidRPr="00331DDD">
              <w:rPr>
                <w:rFonts w:eastAsia="等线"/>
                <w:i/>
                <w:color w:val="0000FF"/>
              </w:rPr>
              <w:t>Editor’s note: This section captures the potential inter-gNB and inter-UE CLI handling schemes that are specific for SBFD</w:t>
            </w:r>
            <w:r w:rsidRPr="00331DDD">
              <w:rPr>
                <w:rFonts w:eastAsia="等线"/>
                <w:i/>
                <w:strike/>
                <w:color w:val="FF0000"/>
              </w:rPr>
              <w:t>, and the schemes that are common for both SBFD and dynamic/flexible TDD are captured in 8.2. Specifically, the inter-subband CLI handling schemes are captures in 6.3, and intra-subband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Inter-gNB and inter-UE CLI handling schemes</w:t>
            </w:r>
            <w:bookmarkEnd w:id="23"/>
          </w:p>
          <w:p w14:paraId="5D4D082C" w14:textId="77777777" w:rsidR="00F87196" w:rsidRDefault="00F87196" w:rsidP="00F87196">
            <w:pPr>
              <w:rPr>
                <w:rFonts w:eastAsia="等线"/>
                <w:i/>
                <w:strike/>
                <w:color w:val="FF0000"/>
              </w:rPr>
            </w:pPr>
            <w:r w:rsidRPr="00331DDD">
              <w:rPr>
                <w:rFonts w:eastAsia="等线"/>
                <w:i/>
                <w:color w:val="0000FF"/>
              </w:rPr>
              <w:t xml:space="preserve">Editor’s note: This section </w:t>
            </w:r>
            <w:r w:rsidRPr="00331DDD">
              <w:rPr>
                <w:rFonts w:eastAsia="等线"/>
                <w:i/>
                <w:strike/>
                <w:color w:val="FF0000"/>
              </w:rPr>
              <w:t>only</w:t>
            </w:r>
            <w:r w:rsidRPr="00331DDD">
              <w:rPr>
                <w:rFonts w:eastAsia="等线"/>
                <w:i/>
                <w:color w:val="FF0000"/>
              </w:rPr>
              <w:t xml:space="preserve"> </w:t>
            </w:r>
            <w:r w:rsidRPr="00331DDD">
              <w:rPr>
                <w:rFonts w:eastAsia="等线"/>
                <w:i/>
                <w:color w:val="0000FF"/>
              </w:rPr>
              <w:t xml:space="preserve">captures the potential inter-gNB and inter-UE CLI handling schemes </w:t>
            </w:r>
            <w:r w:rsidRPr="00331DDD">
              <w:rPr>
                <w:rFonts w:eastAsia="等线"/>
                <w:i/>
                <w:strike/>
                <w:color w:val="FF0000"/>
              </w:rPr>
              <w:t>including schemes</w:t>
            </w:r>
            <w:r w:rsidRPr="00331DDD">
              <w:rPr>
                <w:rFonts w:eastAsia="等线"/>
                <w:i/>
                <w:color w:val="FF0000"/>
              </w:rPr>
              <w:t xml:space="preserve"> </w:t>
            </w:r>
            <w:r w:rsidRPr="00331DDD">
              <w:rPr>
                <w:rFonts w:eastAsia="等线"/>
                <w:i/>
                <w:color w:val="0000FF"/>
              </w:rPr>
              <w:t xml:space="preserve">that are specific for dynamic TDD and schemes that are common for both SBFD and dynamic/flexible TDD. </w:t>
            </w:r>
            <w:r w:rsidRPr="00331DDD">
              <w:rPr>
                <w:rFonts w:eastAsia="等线"/>
                <w:i/>
                <w:strike/>
                <w:color w:val="FF0000"/>
              </w:rPr>
              <w:t>Specifically, intra-subband CLI handling schemes are captured in section 8.2.</w:t>
            </w:r>
          </w:p>
          <w:p w14:paraId="704298D5" w14:textId="77777777" w:rsidR="00F87196" w:rsidRDefault="00F87196" w:rsidP="00F87196">
            <w:pPr>
              <w:rPr>
                <w:rFonts w:eastAsia="等线"/>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gNBs.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lastRenderedPageBreak/>
              <w:t>New H3C</w:t>
            </w:r>
          </w:p>
        </w:tc>
        <w:tc>
          <w:tcPr>
            <w:tcW w:w="8443" w:type="dxa"/>
          </w:tcPr>
          <w:p w14:paraId="5A5CF323" w14:textId="77777777" w:rsidR="00F87196" w:rsidRDefault="0080469F" w:rsidP="00F87196">
            <w:r>
              <w:t xml:space="preserve">Regarding section 6.2, it is better to modify title for “ Intra-gNB </w:t>
            </w:r>
            <w:r w:rsidRPr="0080469F">
              <w:t>Self-interference handling schemes</w:t>
            </w:r>
            <w:r>
              <w:t>”</w:t>
            </w:r>
          </w:p>
          <w:p w14:paraId="0213F31F" w14:textId="77777777" w:rsidR="000A34B2" w:rsidRDefault="000A34B2" w:rsidP="00F87196">
            <w:r>
              <w:t>due to only gNB with full duplex mode in Rel-18.</w:t>
            </w:r>
          </w:p>
          <w:p w14:paraId="6DF1CD31" w14:textId="348EE4B5" w:rsidR="000A34B2" w:rsidRDefault="000A34B2" w:rsidP="000A34B2">
            <w:r>
              <w:t>We are fine with Ericssion’s modification on section  6.3 and 8.2</w:t>
            </w:r>
            <w:bookmarkStart w:id="24" w:name="_GoBack"/>
            <w:bookmarkEnd w:id="24"/>
          </w:p>
        </w:tc>
      </w:tr>
      <w:tr w:rsidR="00F87196" w14:paraId="0EDFF822" w14:textId="77777777" w:rsidTr="000203E7">
        <w:tc>
          <w:tcPr>
            <w:tcW w:w="1188" w:type="dxa"/>
          </w:tcPr>
          <w:p w14:paraId="04EC7691" w14:textId="77777777" w:rsidR="00F87196" w:rsidRDefault="00F87196" w:rsidP="00F87196"/>
        </w:tc>
        <w:tc>
          <w:tcPr>
            <w:tcW w:w="8443" w:type="dxa"/>
          </w:tcPr>
          <w:p w14:paraId="7E8D5417" w14:textId="77777777" w:rsidR="00F87196" w:rsidRDefault="00F87196" w:rsidP="00F87196"/>
        </w:tc>
      </w:tr>
      <w:tr w:rsidR="00F87196" w14:paraId="5A48321D" w14:textId="77777777" w:rsidTr="000203E7">
        <w:tc>
          <w:tcPr>
            <w:tcW w:w="1188" w:type="dxa"/>
          </w:tcPr>
          <w:p w14:paraId="22AEB870" w14:textId="77777777" w:rsidR="00F87196" w:rsidRDefault="00F87196" w:rsidP="00F87196"/>
        </w:tc>
        <w:tc>
          <w:tcPr>
            <w:tcW w:w="8443" w:type="dxa"/>
          </w:tcPr>
          <w:p w14:paraId="23E66F4A" w14:textId="77777777" w:rsidR="00F87196" w:rsidRDefault="00F87196" w:rsidP="00F87196"/>
        </w:tc>
      </w:tr>
      <w:tr w:rsidR="00F87196" w14:paraId="3F1A9942" w14:textId="77777777" w:rsidTr="000203E7">
        <w:tc>
          <w:tcPr>
            <w:tcW w:w="1188" w:type="dxa"/>
          </w:tcPr>
          <w:p w14:paraId="51C14666" w14:textId="77777777" w:rsidR="00F87196" w:rsidRDefault="00F87196" w:rsidP="00F87196"/>
        </w:tc>
        <w:tc>
          <w:tcPr>
            <w:tcW w:w="8443" w:type="dxa"/>
          </w:tcPr>
          <w:p w14:paraId="7EB69FBA" w14:textId="77777777" w:rsidR="00F87196" w:rsidRDefault="00F87196" w:rsidP="00F87196"/>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1"/>
        <w:ind w:left="431" w:firstLine="0"/>
        <w:jc w:val="both"/>
        <w:rPr>
          <w:lang w:val="en-US"/>
        </w:rPr>
      </w:pPr>
      <w:r>
        <w:rPr>
          <w:lang w:val="en-US"/>
        </w:rPr>
        <w:t>References</w:t>
      </w:r>
      <w:bookmarkStart w:id="25" w:name="_Ref450735844"/>
      <w:bookmarkStart w:id="26" w:name="_Ref450342757"/>
      <w:bookmarkStart w:id="27" w:name="_Ref457730460"/>
    </w:p>
    <w:p w14:paraId="50AE54CE" w14:textId="77777777" w:rsidR="001F4D55" w:rsidRDefault="0026544B">
      <w:pPr>
        <w:pStyle w:val="af"/>
        <w:numPr>
          <w:ilvl w:val="0"/>
          <w:numId w:val="4"/>
        </w:numPr>
        <w:spacing w:after="0" w:line="240" w:lineRule="auto"/>
        <w:contextualSpacing w:val="0"/>
        <w:rPr>
          <w:lang w:eastAsia="ko-KR"/>
        </w:rPr>
      </w:pPr>
      <w:bookmarkStart w:id="28" w:name="_Ref102202366"/>
      <w:bookmarkEnd w:id="25"/>
      <w:bookmarkEnd w:id="26"/>
      <w:bookmarkEnd w:id="27"/>
      <w:r>
        <w:rPr>
          <w:lang w:eastAsia="ko-KR"/>
        </w:rPr>
        <w:t>RP-213591, New SI: Study on evolution of NR duplex operation, CMCC</w:t>
      </w:r>
      <w:bookmarkEnd w:id="28"/>
    </w:p>
    <w:p w14:paraId="4AF83602" w14:textId="77777777" w:rsidR="001F4D55" w:rsidRDefault="0026544B">
      <w:pPr>
        <w:pStyle w:val="af"/>
        <w:numPr>
          <w:ilvl w:val="0"/>
          <w:numId w:val="4"/>
        </w:numPr>
        <w:spacing w:after="0" w:line="240" w:lineRule="auto"/>
        <w:contextualSpacing w:val="0"/>
        <w:rPr>
          <w:lang w:eastAsia="ko-KR"/>
        </w:rPr>
      </w:pPr>
      <w:bookmarkStart w:id="29" w:name="_Ref102202373"/>
      <w:r>
        <w:rPr>
          <w:lang w:eastAsia="ko-KR"/>
        </w:rPr>
        <w:t>RP-220633, Revised SID: Study on evolution of NR duplex operation, CMCC</w:t>
      </w:r>
      <w:bookmarkEnd w:id="29"/>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0352D" w14:textId="77777777" w:rsidR="00A84E8D" w:rsidRDefault="00A84E8D">
      <w:pPr>
        <w:spacing w:after="0"/>
      </w:pPr>
      <w:r>
        <w:separator/>
      </w:r>
    </w:p>
  </w:endnote>
  <w:endnote w:type="continuationSeparator" w:id="0">
    <w:p w14:paraId="28D9D908" w14:textId="77777777" w:rsidR="00A84E8D" w:rsidRDefault="00A84E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12995" w14:textId="77777777" w:rsidR="00A84E8D" w:rsidRDefault="00A84E8D">
      <w:pPr>
        <w:spacing w:after="0"/>
      </w:pPr>
      <w:r>
        <w:separator/>
      </w:r>
    </w:p>
  </w:footnote>
  <w:footnote w:type="continuationSeparator" w:id="0">
    <w:p w14:paraId="191AC921" w14:textId="77777777" w:rsidR="00A84E8D" w:rsidRDefault="00A84E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8"/>
  </w:num>
  <w:num w:numId="6">
    <w:abstractNumId w:val="5"/>
  </w:num>
  <w:num w:numId="7">
    <w:abstractNumId w:val="2"/>
  </w:num>
  <w:num w:numId="8">
    <w:abstractNumId w:val="7"/>
  </w:num>
  <w:num w:numId="9">
    <w:abstractNumId w:val="9"/>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Segoe UI" w:hAnsi="Segoe UI" w:cs="Segoe UI"/>
      <w:sz w:val="18"/>
      <w:szCs w:val="18"/>
    </w:rPr>
  </w:style>
  <w:style w:type="paragraph" w:styleId="a4">
    <w:name w:val="Body Text"/>
    <w:basedOn w:val="a"/>
    <w:link w:val="Char0"/>
    <w:unhideWhenUsed/>
    <w:qFormat/>
    <w:pPr>
      <w:overflowPunct w:val="0"/>
      <w:autoSpaceDE w:val="0"/>
      <w:autoSpaceDN w:val="0"/>
      <w:adjustRightInd w:val="0"/>
      <w:spacing w:after="120"/>
      <w:jc w:val="both"/>
    </w:pPr>
    <w:rPr>
      <w:rFonts w:ascii="Arial" w:hAnsi="Arial"/>
      <w:lang w:val="en-US" w:eastAsia="zh-CN"/>
    </w:rPr>
  </w:style>
  <w:style w:type="paragraph" w:styleId="a5">
    <w:name w:val="caption"/>
    <w:basedOn w:val="a"/>
    <w:next w:val="a"/>
    <w:link w:val="Char1"/>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6">
    <w:name w:val="annotation reference"/>
    <w:uiPriority w:val="99"/>
    <w:qFormat/>
    <w:rPr>
      <w:sz w:val="16"/>
      <w:szCs w:val="16"/>
    </w:rPr>
  </w:style>
  <w:style w:type="paragraph" w:styleId="a7">
    <w:name w:val="annotation text"/>
    <w:basedOn w:val="a"/>
    <w:link w:val="Char2"/>
    <w:uiPriority w:val="99"/>
    <w:qFormat/>
  </w:style>
  <w:style w:type="paragraph" w:styleId="a8">
    <w:name w:val="annotation subject"/>
    <w:basedOn w:val="a7"/>
    <w:next w:val="a7"/>
    <w:link w:val="Char3"/>
    <w:qFormat/>
    <w:rPr>
      <w:b/>
      <w:bCs/>
    </w:rPr>
  </w:style>
  <w:style w:type="character" w:styleId="a9">
    <w:name w:val="FollowedHyperlink"/>
    <w:qFormat/>
    <w:rPr>
      <w:color w:val="954F72"/>
      <w:u w:val="single"/>
    </w:rPr>
  </w:style>
  <w:style w:type="paragraph" w:styleId="aa">
    <w:name w:val="footer"/>
    <w:basedOn w:val="ab"/>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character" w:styleId="ac">
    <w:name w:val="Hyperlink"/>
    <w:qFormat/>
    <w:rPr>
      <w:color w:val="0563C1"/>
      <w:u w:val="single"/>
    </w:rPr>
  </w:style>
  <w:style w:type="paragraph" w:styleId="ad">
    <w:name w:val="Normal (Web)"/>
    <w:basedOn w:val="a"/>
    <w:uiPriority w:val="99"/>
    <w:unhideWhenUsed/>
    <w:qFormat/>
    <w:pPr>
      <w:spacing w:before="100" w:beforeAutospacing="1" w:after="100" w:afterAutospacing="1"/>
    </w:pPr>
    <w:rPr>
      <w:sz w:val="24"/>
      <w:szCs w:val="24"/>
      <w:lang w:eastAsia="en-GB"/>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uiPriority w:val="39"/>
    <w:qFormat/>
    <w:pPr>
      <w:keepNext w:val="0"/>
      <w:spacing w:before="0"/>
      <w:ind w:left="851" w:hanging="851"/>
    </w:pPr>
    <w:rPr>
      <w:sz w:val="20"/>
    </w:rPr>
  </w:style>
  <w:style w:type="paragraph" w:styleId="30">
    <w:name w:val="toc 3"/>
    <w:basedOn w:val="20"/>
    <w:next w:val="a"/>
    <w:uiPriority w:val="39"/>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
    <w:name w:val="批注框文本 Char"/>
    <w:link w:val="a3"/>
    <w:qFormat/>
    <w:rPr>
      <w:rFonts w:ascii="Segoe UI" w:hAnsi="Segoe UI" w:cs="Segoe UI"/>
      <w:sz w:val="18"/>
      <w:szCs w:val="18"/>
      <w:lang w:eastAsia="en-US"/>
    </w:rPr>
  </w:style>
  <w:style w:type="character" w:customStyle="1" w:styleId="11">
    <w:name w:val="未处理的提及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
    <w:uiPriority w:val="34"/>
    <w:qFormat/>
    <w:locked/>
    <w:rPr>
      <w:rFonts w:ascii="Times" w:eastAsia="宋体" w:hAnsi="Times" w:cs="Times"/>
      <w:sz w:val="22"/>
      <w:szCs w:val="24"/>
      <w:lang w:eastAsia="ja-JP"/>
    </w:rPr>
  </w:style>
  <w:style w:type="paragraph" w:styleId="af">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a"/>
    <w:link w:val="Char5"/>
    <w:uiPriority w:val="34"/>
    <w:qFormat/>
    <w:pPr>
      <w:spacing w:line="254" w:lineRule="auto"/>
      <w:ind w:left="720"/>
      <w:contextualSpacing/>
    </w:pPr>
    <w:rPr>
      <w:rFonts w:ascii="Times" w:hAnsi="Times" w:cs="Times"/>
      <w:sz w:val="22"/>
      <w:szCs w:val="24"/>
      <w:lang w:val="sv-SE" w:eastAsia="ja-JP"/>
    </w:rPr>
  </w:style>
  <w:style w:type="character" w:customStyle="1" w:styleId="Char2">
    <w:name w:val="批注文字 Char"/>
    <w:link w:val="a7"/>
    <w:uiPriority w:val="99"/>
    <w:qFormat/>
    <w:rPr>
      <w:lang w:val="en-GB" w:eastAsia="en-US"/>
    </w:rPr>
  </w:style>
  <w:style w:type="character" w:customStyle="1" w:styleId="Char3">
    <w:name w:val="批注主题 Char"/>
    <w:link w:val="a8"/>
    <w:qFormat/>
    <w:rPr>
      <w:b/>
      <w:bCs/>
      <w:lang w:val="en-GB" w:eastAsia="en-US"/>
    </w:rPr>
  </w:style>
  <w:style w:type="character" w:customStyle="1" w:styleId="Char4">
    <w:name w:val="页眉 Char"/>
    <w:link w:val="ab"/>
    <w:qFormat/>
    <w:rPr>
      <w:rFonts w:ascii="Arial" w:hAnsi="Arial"/>
      <w:b/>
      <w:sz w:val="18"/>
      <w:lang w:val="en-GB" w:eastAsia="ja-JP"/>
    </w:rPr>
  </w:style>
  <w:style w:type="character" w:customStyle="1" w:styleId="Char0">
    <w:name w:val="正文文本 Char"/>
    <w:basedOn w:val="a0"/>
    <w:link w:val="a4"/>
    <w:qFormat/>
    <w:rPr>
      <w:rFonts w:ascii="Arial" w:hAnsi="Arial"/>
      <w:lang w:val="en-US" w:eastAsia="zh-CN"/>
    </w:rPr>
  </w:style>
  <w:style w:type="character" w:customStyle="1" w:styleId="12">
    <w:name w:val="@他1"/>
    <w:basedOn w:val="a0"/>
    <w:uiPriority w:val="99"/>
    <w:unhideWhenUsed/>
    <w:qFormat/>
    <w:rPr>
      <w:color w:val="2B579A"/>
      <w:shd w:val="clear" w:color="auto" w:fill="E1DFDD"/>
    </w:rPr>
  </w:style>
  <w:style w:type="table" w:customStyle="1" w:styleId="13">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har1">
    <w:name w:val="题注 Char"/>
    <w:link w:val="a5"/>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2Char">
    <w:name w:val="标题 2 Char"/>
    <w:basedOn w:val="a0"/>
    <w:link w:val="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13</Pages>
  <Words>5418</Words>
  <Characters>30884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zhoulei</cp:lastModifiedBy>
  <cp:revision>61</cp:revision>
  <cp:lastPrinted>2020-05-14T06:07:00Z</cp:lastPrinted>
  <dcterms:created xsi:type="dcterms:W3CDTF">2022-05-10T17:24:00Z</dcterms:created>
  <dcterms:modified xsi:type="dcterms:W3CDTF">2022-05-12T02:15:00Z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