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Pr="00A15DA3" w:rsidRDefault="0026544B">
      <w:pPr>
        <w:pStyle w:val="Header"/>
        <w:tabs>
          <w:tab w:val="right" w:pos="9498"/>
        </w:tabs>
        <w:rPr>
          <w:rFonts w:cs="Arial"/>
          <w:bCs/>
          <w:sz w:val="22"/>
          <w:lang w:val="de-DE"/>
        </w:rPr>
      </w:pPr>
      <w:bookmarkStart w:id="0" w:name="page1"/>
      <w:r w:rsidRPr="00A15DA3">
        <w:rPr>
          <w:rFonts w:cs="Arial"/>
          <w:bCs/>
          <w:sz w:val="22"/>
          <w:lang w:val="de-DE"/>
        </w:rPr>
        <w:t>3GPP TSG RAN WG1 #109-e</w:t>
      </w:r>
      <w:r w:rsidRPr="00A15DA3">
        <w:rPr>
          <w:rFonts w:cs="Arial"/>
          <w:bCs/>
          <w:sz w:val="22"/>
          <w:lang w:val="de-DE"/>
        </w:rPr>
        <w:tab/>
        <w:t xml:space="preserve">                          </w:t>
      </w:r>
      <w:r w:rsidRPr="00A15DA3">
        <w:rPr>
          <w:rFonts w:cs="Arial"/>
          <w:bCs/>
          <w:sz w:val="22"/>
          <w:highlight w:val="yellow"/>
          <w:lang w:val="de-DE"/>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77777777"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14:paraId="139454F7" w14:textId="7777777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77777777" w:rsidR="001F4D55" w:rsidRDefault="001F4D55">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t>Comment #3</w:t>
            </w:r>
          </w:p>
          <w:p w14:paraId="3E55F97A" w14:textId="77777777" w:rsidR="001F4D55" w:rsidRDefault="0026544B">
            <w:r>
              <w:lastRenderedPageBreak/>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77777777" w:rsidR="001F4D55" w:rsidRDefault="0026544B">
            <w:r>
              <w:t>For section 6.2 and 8.1 on cross-link interference, it should be clarified how to handle the common and SBFD specific enhancement or dynamic-TDD specific enhancements.</w:t>
            </w:r>
          </w:p>
          <w:p w14:paraId="5755E087" w14:textId="77777777" w:rsidR="001F4D55" w:rsidRDefault="0026544B">
            <w:pPr>
              <w:rPr>
                <w:b/>
                <w:bCs/>
                <w:u w:val="single"/>
              </w:rPr>
            </w:pPr>
            <w:r>
              <w:rPr>
                <w:b/>
                <w:bCs/>
                <w:u w:val="single"/>
              </w:rPr>
              <w:t>Comment #5</w:t>
            </w:r>
          </w:p>
          <w:p w14:paraId="14938A51" w14:textId="77777777"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맑은 고딕"/>
                <w:bCs/>
                <w:lang w:val="en-US" w:eastAsia="ko-KR"/>
              </w:rPr>
            </w:pPr>
            <w:r>
              <w:rPr>
                <w:rFonts w:eastAsia="맑은 고딕"/>
                <w:bCs/>
                <w:lang w:val="sv-SE" w:eastAsia="ko-KR"/>
              </w:rPr>
              <w:t xml:space="preserve">Study the </w:t>
            </w:r>
            <w:r>
              <w:rPr>
                <w:rFonts w:eastAsia="맑은 고딕"/>
                <w:bCs/>
                <w:highlight w:val="yellow"/>
                <w:lang w:val="sv-SE" w:eastAsia="ko-KR"/>
              </w:rPr>
              <w:t>performance</w:t>
            </w:r>
            <w:r>
              <w:rPr>
                <w:rFonts w:eastAsia="맑은 고딕"/>
                <w:bCs/>
                <w:lang w:val="sv-SE" w:eastAsia="ko-KR"/>
              </w:rPr>
              <w:t xml:space="preserve"> of the identified schemes as well as the </w:t>
            </w:r>
            <w:r>
              <w:rPr>
                <w:rFonts w:eastAsia="맑은 고딕"/>
                <w:bCs/>
                <w:highlight w:val="yellow"/>
                <w:lang w:val="sv-SE" w:eastAsia="ko-KR"/>
              </w:rPr>
              <w:t>impact on legacy operation assuming their co-existence in co-channel and adjacent channels (RAN1).</w:t>
            </w:r>
          </w:p>
          <w:p w14:paraId="6E7DA3C6" w14:textId="77777777" w:rsidR="001F4D55" w:rsidRDefault="0026544B">
            <w:pPr>
              <w:jc w:val="both"/>
            </w:pPr>
            <w:r>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맑은 고딕"/>
                <w:bCs/>
                <w:lang w:val="en-US" w:eastAsia="ko-KR"/>
              </w:rPr>
            </w:pPr>
            <w:r>
              <w:rPr>
                <w:rFonts w:eastAsia="맑은 고딕"/>
                <w:bCs/>
                <w:lang w:val="sv-SE" w:eastAsia="ko-KR"/>
              </w:rPr>
              <w:t xml:space="preserve">Study the </w:t>
            </w:r>
            <w:r>
              <w:rPr>
                <w:rFonts w:eastAsia="맑은 고딕"/>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7777777" w:rsidR="001F4D55" w:rsidRDefault="0026544B">
            <w:pPr>
              <w:jc w:val="both"/>
            </w:pPr>
            <w:r>
              <w:t>…</w:t>
            </w: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77777777"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r>
              <w:rPr>
                <w:lang w:val="en-US"/>
              </w:rPr>
              <w:lastRenderedPageBreak/>
              <w:t xml:space="preserve">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528A068B" w14:textId="77777777" w:rsidR="001F4D55" w:rsidRPr="008F561D"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7777777"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6D3B8B78" w14:textId="77777777" w:rsidR="004B4511" w:rsidRDefault="004B4511"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Default="004B4511" w:rsidP="004B4511">
            <w:pPr>
              <w:widowControl w:val="0"/>
              <w:spacing w:after="0"/>
              <w:jc w:val="both"/>
            </w:pPr>
          </w:p>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lastRenderedPageBreak/>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lastRenderedPageBreak/>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77777777" w:rsidR="007432F5" w:rsidRDefault="007432F5" w:rsidP="007432F5">
            <w:pPr>
              <w:rPr>
                <w:lang w:eastAsia="zh-CN"/>
              </w:rPr>
            </w:pP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79731DAC" w14:textId="77777777" w:rsidR="007432F5" w:rsidRDefault="007432F5" w:rsidP="007432F5">
            <w:pPr>
              <w:rPr>
                <w:lang w:eastAsia="zh-CN"/>
              </w:rPr>
            </w:pPr>
          </w:p>
        </w:tc>
      </w:tr>
      <w:tr w:rsidR="00DB1CED" w14:paraId="0D10CD18" w14:textId="77777777">
        <w:tc>
          <w:tcPr>
            <w:tcW w:w="1188" w:type="dxa"/>
          </w:tcPr>
          <w:p w14:paraId="30C2CED9" w14:textId="77777777" w:rsidR="00DB1CED" w:rsidRDefault="00D6009C" w:rsidP="00DB1CED">
            <w:r>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lastRenderedPageBreak/>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lastRenderedPageBreak/>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6853FC1A" w14:textId="77777777" w:rsidR="003959B3" w:rsidRDefault="003959B3" w:rsidP="003959B3">
            <w:pPr>
              <w:pStyle w:val="ListParagraph"/>
              <w:ind w:left="360"/>
            </w:pP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77816474" w14:textId="3BAA3EC4"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tc>
      </w:tr>
      <w:tr w:rsidR="003959B3" w14:paraId="4CCD3489" w14:textId="77777777">
        <w:tc>
          <w:tcPr>
            <w:tcW w:w="1188" w:type="dxa"/>
          </w:tcPr>
          <w:p w14:paraId="6CB3BB11" w14:textId="15096B9B" w:rsidR="003959B3" w:rsidRDefault="00AC10F7" w:rsidP="003959B3">
            <w:r>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461C754F" w14:textId="37D5CA47" w:rsidR="003959B3" w:rsidRDefault="00AC10F7" w:rsidP="00AC10F7">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tc>
      </w:tr>
      <w:tr w:rsidR="003959B3" w14:paraId="1BC107EA" w14:textId="77777777">
        <w:tc>
          <w:tcPr>
            <w:tcW w:w="1188" w:type="dxa"/>
          </w:tcPr>
          <w:p w14:paraId="758D8B7A" w14:textId="4E4D5125" w:rsidR="003959B3" w:rsidRDefault="00283F4D" w:rsidP="003959B3">
            <w:r>
              <w:lastRenderedPageBreak/>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7777777"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evaluation metrics,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lastRenderedPageBreak/>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A15DA3" w14:paraId="1869E3EC" w14:textId="77777777" w:rsidTr="00625492">
        <w:tc>
          <w:tcPr>
            <w:tcW w:w="1188" w:type="dxa"/>
          </w:tcPr>
          <w:p w14:paraId="62B7BAD7" w14:textId="4ED8751D" w:rsidR="00A15DA3" w:rsidRDefault="00A15DA3" w:rsidP="00A15DA3">
            <w:r>
              <w:t>Nokia, NSB</w:t>
            </w:r>
          </w:p>
        </w:tc>
        <w:tc>
          <w:tcPr>
            <w:tcW w:w="8443" w:type="dxa"/>
          </w:tcPr>
          <w:p w14:paraId="0217D926" w14:textId="77777777" w:rsidR="00A15DA3" w:rsidRDefault="00A15DA3" w:rsidP="00A15DA3">
            <w:pPr>
              <w:rPr>
                <w:b/>
                <w:bCs/>
              </w:rPr>
            </w:pPr>
            <w:r w:rsidRPr="7E27D20C">
              <w:rPr>
                <w:b/>
                <w:bCs/>
              </w:rPr>
              <w:t>Comment #1:</w:t>
            </w:r>
          </w:p>
          <w:p w14:paraId="67F24A2A" w14:textId="77777777" w:rsidR="00A15DA3" w:rsidRDefault="00A15DA3" w:rsidP="00A15DA3">
            <w:r>
              <w:t>We are in line with companies proposing to include link-budget, link-level and system-level simulation studies sub-sections as they are all relevant for understanding the feasibility of SBFD. For dynamic TDD, link-level and system-level evaluations sub-sections are sufficient.</w:t>
            </w:r>
          </w:p>
          <w:p w14:paraId="7E133F3A" w14:textId="245A5662" w:rsidR="00A15DA3" w:rsidRDefault="00A15DA3" w:rsidP="00A15DA3">
            <w:pPr>
              <w:rPr>
                <w:b/>
                <w:bCs/>
              </w:rPr>
            </w:pPr>
            <w:r>
              <w:t xml:space="preserve"> </w:t>
            </w:r>
            <w:r w:rsidRPr="7E27D20C">
              <w:rPr>
                <w:b/>
                <w:bCs/>
              </w:rPr>
              <w:t>Comment #2:</w:t>
            </w:r>
          </w:p>
          <w:p w14:paraId="436D824A" w14:textId="77777777" w:rsidR="00A15DA3" w:rsidRDefault="00A15DA3" w:rsidP="00A15DA3">
            <w:r>
              <w:t>The SI states the need of coexistence studies:</w:t>
            </w:r>
          </w:p>
          <w:p w14:paraId="5B2C3237" w14:textId="77777777" w:rsidR="00A15DA3" w:rsidRDefault="00A15DA3" w:rsidP="00A15DA3">
            <w:r>
              <w:t>-</w:t>
            </w:r>
            <w:r>
              <w:tab/>
              <w:t>Study the performance of the identified schemes as well as the impact on legacy operation assuming their co-existence in co-channel and adjacent channels (RAN1).</w:t>
            </w:r>
          </w:p>
          <w:p w14:paraId="498F3FF2" w14:textId="77777777" w:rsidR="00A15DA3" w:rsidRDefault="00A15DA3" w:rsidP="00A15DA3">
            <w:r>
              <w:t xml:space="preserve">However, it is also mentioned that the Rel-15 and Rel-16 outcome should be used as reference to avoid repetition. Therefore, we would like to mention that the adjacent-channel co-existence studies </w:t>
            </w:r>
            <w:r>
              <w:lastRenderedPageBreak/>
              <w:t>for dynamic TDD should only be performed if new scenario and/or assumptions are agreed. Otherwise, co-existence studies from previous releases could be re-used.</w:t>
            </w:r>
          </w:p>
          <w:p w14:paraId="4BB4ED7D" w14:textId="77777777" w:rsidR="00A15DA3" w:rsidRDefault="00A15DA3" w:rsidP="00A15DA3">
            <w:pPr>
              <w:rPr>
                <w:b/>
                <w:bCs/>
              </w:rPr>
            </w:pPr>
            <w:r w:rsidRPr="43D2D92A">
              <w:rPr>
                <w:b/>
                <w:bCs/>
              </w:rPr>
              <w:t>Comment #3:</w:t>
            </w:r>
          </w:p>
          <w:p w14:paraId="7707BFA1" w14:textId="77777777" w:rsidR="00A15DA3" w:rsidRDefault="00A15DA3" w:rsidP="00A15DA3">
            <w:r>
              <w:t xml:space="preserve">As mentioned in the SI objectives, the feasibility aspects of SBFD and dynamic TDD should be captured in Sections 6 and 8 respectively. Section 10 can cover detail of RF aspects. </w:t>
            </w:r>
          </w:p>
          <w:p w14:paraId="281193E9" w14:textId="59CCE42C" w:rsidR="00A15DA3" w:rsidRDefault="00A15DA3" w:rsidP="00A15DA3">
            <w:pPr>
              <w:rPr>
                <w:b/>
                <w:bCs/>
              </w:rPr>
            </w:pPr>
            <w:r>
              <w:t xml:space="preserve"> </w:t>
            </w:r>
            <w:r w:rsidRPr="7E27D20C">
              <w:rPr>
                <w:b/>
                <w:bCs/>
              </w:rPr>
              <w:t>Comment #4:</w:t>
            </w:r>
          </w:p>
          <w:p w14:paraId="456411B5" w14:textId="77777777" w:rsidR="00A15DA3" w:rsidRDefault="00A15DA3" w:rsidP="00A15DA3">
            <w:r>
              <w:t xml:space="preserve">Modelling of the new types of interference in SBFD are key to understand the feasibility of SBFD. Thus, we suggest including a separate section for this. </w:t>
            </w:r>
          </w:p>
          <w:p w14:paraId="747AF2D8" w14:textId="38B0C4BE" w:rsidR="00A15DA3" w:rsidRDefault="00A15DA3" w:rsidP="00A15DA3">
            <w:pPr>
              <w:rPr>
                <w:b/>
                <w:bCs/>
              </w:rPr>
            </w:pPr>
            <w:r>
              <w:t xml:space="preserve"> </w:t>
            </w:r>
            <w:r w:rsidRPr="7E27D20C">
              <w:rPr>
                <w:b/>
                <w:bCs/>
              </w:rPr>
              <w:t>Comment #5:</w:t>
            </w:r>
          </w:p>
          <w:p w14:paraId="2BC32F46" w14:textId="77777777" w:rsidR="00A15DA3" w:rsidRDefault="00A15DA3" w:rsidP="00A15DA3">
            <w:r>
              <w:t>Agree with Huawei and Xiaomi on highlighting the importance of the self-interference component (intra gNB CLI) on SBFD. Therefore, we suggest having a separate sub-section under Section 6 for the gNB self-interference.</w:t>
            </w:r>
          </w:p>
          <w:p w14:paraId="6BE55EFC" w14:textId="70789060" w:rsidR="00A15DA3" w:rsidRDefault="00A15DA3" w:rsidP="00A15DA3">
            <w:pPr>
              <w:rPr>
                <w:b/>
                <w:bCs/>
              </w:rPr>
            </w:pPr>
            <w:r>
              <w:t xml:space="preserve"> </w:t>
            </w:r>
            <w:r w:rsidRPr="7E27D20C">
              <w:rPr>
                <w:b/>
                <w:bCs/>
              </w:rPr>
              <w:t>Comment #6:</w:t>
            </w:r>
          </w:p>
          <w:p w14:paraId="5979D25F" w14:textId="77777777" w:rsidR="00A15DA3" w:rsidRDefault="00A15DA3" w:rsidP="00A15DA3">
            <w:r>
              <w:t>Agree with Qualcomm and others on having separate sub-sections for FR1 and FR2 evaluations for SBFD (Section 7) and dynamic TDD (Section 9).</w:t>
            </w:r>
          </w:p>
          <w:p w14:paraId="5891A69B" w14:textId="77777777" w:rsidR="00A15DA3" w:rsidRPr="00071BB3" w:rsidRDefault="00A15DA3" w:rsidP="00A15DA3">
            <w:pPr>
              <w:rPr>
                <w:b/>
                <w:bCs/>
              </w:rPr>
            </w:pPr>
            <w:r w:rsidRPr="00071BB3">
              <w:rPr>
                <w:b/>
                <w:bCs/>
              </w:rPr>
              <w:t>Comment #7:</w:t>
            </w:r>
          </w:p>
          <w:p w14:paraId="66B176FA" w14:textId="77777777" w:rsidR="00A15DA3" w:rsidRDefault="00A15DA3" w:rsidP="00A15DA3">
            <w:r>
              <w:t>For the section 7 and 9, instead of having separate sections for each scenario, we prefer to keep this as part of evaluation assumption. Agreed evaluation scenarios during RAN1#109 can be first included as sub-sections of 7.1 or 9.1. We can come back for the scenario part with any agreement on the evaluation assumption. Following is the example of the section structure.</w:t>
            </w:r>
          </w:p>
          <w:p w14:paraId="412E3986" w14:textId="77777777" w:rsidR="00A15DA3" w:rsidRDefault="00A15DA3" w:rsidP="00A15DA3">
            <w:r>
              <w:t>7.1 Evaluation assumption (including scenarios)</w:t>
            </w:r>
          </w:p>
          <w:p w14:paraId="700C9A4D" w14:textId="1C7DCCC6" w:rsidR="00A15DA3" w:rsidRDefault="00A15DA3" w:rsidP="00A15DA3">
            <w:r>
              <w:t>7.2 Evaluation results</w:t>
            </w:r>
            <w:r>
              <w:t xml:space="preserve"> (fine with what Huawei proposed)</w:t>
            </w:r>
          </w:p>
          <w:p w14:paraId="3D87A8F7" w14:textId="77777777" w:rsidR="00A15DA3" w:rsidRDefault="00A15DA3" w:rsidP="00A15DA3"/>
        </w:tc>
      </w:tr>
      <w:tr w:rsidR="00A15DA3" w14:paraId="797049D5" w14:textId="77777777" w:rsidTr="00625492">
        <w:tc>
          <w:tcPr>
            <w:tcW w:w="1188" w:type="dxa"/>
          </w:tcPr>
          <w:p w14:paraId="1611BEDD" w14:textId="77777777" w:rsidR="00A15DA3" w:rsidRDefault="00A15DA3" w:rsidP="00A15DA3"/>
        </w:tc>
        <w:tc>
          <w:tcPr>
            <w:tcW w:w="8443" w:type="dxa"/>
          </w:tcPr>
          <w:p w14:paraId="41D3E7CC" w14:textId="77777777" w:rsidR="00A15DA3" w:rsidRDefault="00A15DA3" w:rsidP="00A15DA3"/>
        </w:tc>
      </w:tr>
    </w:tbl>
    <w:p w14:paraId="6F155FF9" w14:textId="77777777" w:rsidR="001F4D55" w:rsidRDefault="001F4D55">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1" w:name="_Ref450735844"/>
      <w:bookmarkStart w:id="22" w:name="_Ref450342757"/>
      <w:bookmarkStart w:id="23"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4" w:name="_Ref102202366"/>
      <w:bookmarkEnd w:id="21"/>
      <w:bookmarkEnd w:id="22"/>
      <w:bookmarkEnd w:id="23"/>
      <w:r>
        <w:rPr>
          <w:lang w:eastAsia="ko-KR"/>
        </w:rPr>
        <w:t>RP-213591, New SI: Study on evolution of NR duplex operation, CMCC</w:t>
      </w:r>
      <w:bookmarkEnd w:id="24"/>
    </w:p>
    <w:p w14:paraId="4AF83602" w14:textId="77777777" w:rsidR="001F4D55" w:rsidRDefault="0026544B">
      <w:pPr>
        <w:pStyle w:val="ListParagraph"/>
        <w:numPr>
          <w:ilvl w:val="0"/>
          <w:numId w:val="4"/>
        </w:numPr>
        <w:spacing w:after="0" w:line="240" w:lineRule="auto"/>
        <w:contextualSpacing w:val="0"/>
        <w:rPr>
          <w:lang w:eastAsia="ko-KR"/>
        </w:rPr>
      </w:pPr>
      <w:bookmarkStart w:id="25" w:name="_Ref102202373"/>
      <w:r>
        <w:rPr>
          <w:lang w:eastAsia="ko-KR"/>
        </w:rPr>
        <w:t>RP-220633, Revised SID: Study on evolution of NR duplex operation, CMCC</w:t>
      </w:r>
      <w:bookmarkEnd w:id="25"/>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1BB7" w14:textId="77777777" w:rsidR="00511B3C" w:rsidRDefault="00511B3C">
      <w:pPr>
        <w:spacing w:after="0"/>
      </w:pPr>
      <w:r>
        <w:separator/>
      </w:r>
    </w:p>
  </w:endnote>
  <w:endnote w:type="continuationSeparator" w:id="0">
    <w:p w14:paraId="3D33FAB5" w14:textId="77777777" w:rsidR="00511B3C" w:rsidRDefault="00511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449C" w14:textId="77777777" w:rsidR="00511B3C" w:rsidRDefault="00511B3C">
      <w:pPr>
        <w:spacing w:after="0"/>
      </w:pPr>
      <w:r>
        <w:separator/>
      </w:r>
    </w:p>
  </w:footnote>
  <w:footnote w:type="continuationSeparator" w:id="0">
    <w:p w14:paraId="7F69A6D1" w14:textId="77777777" w:rsidR="00511B3C" w:rsidRDefault="00511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맑은 고딕"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AB3"/>
    <w:rsid w:val="00677E94"/>
    <w:rsid w:val="006803AA"/>
    <w:rsid w:val="00680A59"/>
    <w:rsid w:val="00680B6A"/>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5DA3"/>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4208</Words>
  <Characters>22475</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Yuk, Youngsoo (Nokia - KR/Seoul)</cp:lastModifiedBy>
  <cp:revision>2</cp:revision>
  <cp:lastPrinted>2020-05-14T06:07:00Z</cp:lastPrinted>
  <dcterms:created xsi:type="dcterms:W3CDTF">2022-05-10T17:24:00Z</dcterms:created>
  <dcterms:modified xsi:type="dcterms:W3CDTF">2022-05-10T17:24:00Z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