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55" w:rsidRDefault="0026544B">
      <w:pPr>
        <w:pStyle w:val="ab"/>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ab"/>
        <w:tabs>
          <w:tab w:val="right" w:pos="9498"/>
        </w:tabs>
        <w:rPr>
          <w:rFonts w:cs="Arial"/>
          <w:bCs/>
          <w:sz w:val="22"/>
        </w:rPr>
      </w:pPr>
      <w:r>
        <w:rPr>
          <w:rFonts w:cs="Arial"/>
          <w:bCs/>
          <w:sz w:val="22"/>
        </w:rPr>
        <w:t>e-Meeting, May 9th – 20th, 2022</w:t>
      </w:r>
    </w:p>
    <w:p w:rsidR="001F4D55" w:rsidRDefault="001F4D55">
      <w:pPr>
        <w:pStyle w:val="ab"/>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ab"/>
        <w:tabs>
          <w:tab w:val="right" w:pos="9639"/>
        </w:tabs>
        <w:rPr>
          <w:rFonts w:cs="Arial"/>
          <w:bCs/>
          <w:sz w:val="22"/>
        </w:rPr>
      </w:pPr>
    </w:p>
    <w:p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1"/>
      </w:pPr>
      <w:r>
        <w:t>2</w:t>
      </w:r>
      <w:r>
        <w:tab/>
        <w:t>Draft TR skeleton</w:t>
      </w:r>
    </w:p>
    <w:p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ae"/>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ae"/>
              <w:tblW w:w="0" w:type="auto"/>
              <w:tblLook w:val="04A0" w:firstRow="1" w:lastRow="0" w:firstColumn="1" w:lastColumn="0" w:noHBand="0" w:noVBand="1"/>
            </w:tblPr>
            <w:tblGrid>
              <w:gridCol w:w="7468"/>
            </w:tblGrid>
            <w:tr w:rsidR="001F4D55">
              <w:tc>
                <w:tcPr>
                  <w:tcW w:w="7468" w:type="dxa"/>
                </w:tcPr>
                <w:p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e"/>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lastRenderedPageBreak/>
              <w:t>Comment #3</w:t>
            </w:r>
          </w:p>
          <w:p w:rsidR="001F4D55" w:rsidRDefault="0026544B">
            <w:r>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lastRenderedPageBreak/>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lastRenderedPageBreak/>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lastRenderedPageBreak/>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lastRenderedPageBreak/>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r>
              <w:rPr>
                <w:lang w:val="en-US"/>
              </w:rPr>
              <w:lastRenderedPageBreak/>
              <w:t>Spreadtrum</w:t>
            </w:r>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af"/>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tc>
          <w:tcPr>
            <w:tcW w:w="1188" w:type="dxa"/>
          </w:tcPr>
          <w:p w:rsidR="00DB1CED" w:rsidRDefault="00DB1CED" w:rsidP="00DB1CED">
            <w:r>
              <w:t>Huawei, HiSilicon</w:t>
            </w:r>
          </w:p>
        </w:tc>
        <w:tc>
          <w:tcPr>
            <w:tcW w:w="8443" w:type="dxa"/>
          </w:tcPr>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rsidR="00DB1CED" w:rsidRDefault="00DB1CED" w:rsidP="00DB1CED">
            <w:pPr>
              <w:ind w:left="568"/>
              <w:jc w:val="both"/>
              <w:rPr>
                <w:color w:val="FF0000"/>
              </w:rPr>
            </w:pPr>
            <w:r>
              <w:rPr>
                <w:color w:val="FF0000"/>
              </w:rPr>
              <w:t>7.1.1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7.1.2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7.1.2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color w:val="FF0000"/>
                <w:lang w:eastAsia="zh-CN"/>
              </w:rPr>
            </w:pPr>
            <w:r>
              <w:rPr>
                <w:color w:val="FF0000"/>
                <w:lang w:eastAsia="zh-CN"/>
              </w:rPr>
              <w:t>…</w:t>
            </w:r>
          </w:p>
          <w:p w:rsidR="00DB1CED" w:rsidRDefault="00DB1CED" w:rsidP="00DB1CED">
            <w:pPr>
              <w:ind w:left="568"/>
              <w:jc w:val="both"/>
              <w:rPr>
                <w:color w:val="FF0000"/>
              </w:rPr>
            </w:pPr>
            <w:r>
              <w:rPr>
                <w:color w:val="FF0000"/>
              </w:rPr>
              <w:t>9.1.1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9.1.2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9.1.2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b/>
                <w:lang w:eastAsia="zh-CN"/>
              </w:rPr>
            </w:pPr>
            <w:r w:rsidRPr="005562EF">
              <w:rPr>
                <w:rFonts w:hint="eastAsia"/>
                <w:b/>
                <w:lang w:eastAsia="zh-CN"/>
              </w:rPr>
              <w:lastRenderedPageBreak/>
              <w:t>C</w:t>
            </w:r>
            <w:r>
              <w:rPr>
                <w:b/>
                <w:lang w:eastAsia="zh-CN"/>
              </w:rPr>
              <w:t>omment #2</w:t>
            </w:r>
            <w:r w:rsidRPr="005562EF">
              <w:rPr>
                <w:b/>
                <w:lang w:eastAsia="zh-CN"/>
              </w:rPr>
              <w:t>:</w:t>
            </w:r>
          </w:p>
          <w:p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rsidR="00DB1CED" w:rsidRPr="007C6339" w:rsidRDefault="00DB1CED" w:rsidP="00DB1CED">
            <w:pPr>
              <w:jc w:val="both"/>
              <w:rPr>
                <w:lang w:eastAsia="zh-CN"/>
              </w:rPr>
            </w:pPr>
            <w:bookmarkStart w:id="15" w:name="_GoBack"/>
            <w:bookmarkEnd w:id="15"/>
            <w:r>
              <w:rPr>
                <w:lang w:eastAsia="zh-CN"/>
              </w:rPr>
              <w:t>On section 6.2, we are wondering whether intra-gNB CLI (self-interference) should also be included.</w:t>
            </w:r>
          </w:p>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bl>
    <w:p w:rsidR="001F4D55" w:rsidRDefault="001F4D55">
      <w:pPr>
        <w:ind w:left="567" w:hanging="567"/>
        <w:rPr>
          <w:u w:val="single"/>
          <w:lang w:val="en-US"/>
        </w:rPr>
      </w:pPr>
    </w:p>
    <w:p w:rsidR="001F4D55" w:rsidRDefault="0026544B">
      <w:pPr>
        <w:pStyle w:val="1"/>
        <w:ind w:left="431" w:firstLine="0"/>
        <w:jc w:val="both"/>
        <w:rPr>
          <w:lang w:val="en-US"/>
        </w:rPr>
      </w:pPr>
      <w:r>
        <w:rPr>
          <w:lang w:val="en-US"/>
        </w:rPr>
        <w:t>References</w:t>
      </w:r>
      <w:bookmarkStart w:id="16" w:name="_Ref450735844"/>
      <w:bookmarkStart w:id="17" w:name="_Ref450342757"/>
      <w:bookmarkStart w:id="18" w:name="_Ref457730460"/>
    </w:p>
    <w:p w:rsidR="001F4D55" w:rsidRDefault="0026544B">
      <w:pPr>
        <w:pStyle w:val="af"/>
        <w:numPr>
          <w:ilvl w:val="0"/>
          <w:numId w:val="4"/>
        </w:numPr>
        <w:spacing w:after="0" w:line="240" w:lineRule="auto"/>
        <w:contextualSpacing w:val="0"/>
        <w:rPr>
          <w:lang w:eastAsia="ko-KR"/>
        </w:rPr>
      </w:pPr>
      <w:bookmarkStart w:id="19" w:name="_Ref102202366"/>
      <w:bookmarkEnd w:id="16"/>
      <w:bookmarkEnd w:id="17"/>
      <w:bookmarkEnd w:id="18"/>
      <w:r>
        <w:rPr>
          <w:lang w:eastAsia="ko-KR"/>
        </w:rPr>
        <w:t>RP-213591, New SI: Study on evolution of NR duplex operation, CMCC</w:t>
      </w:r>
      <w:bookmarkEnd w:id="19"/>
    </w:p>
    <w:p w:rsidR="001F4D55" w:rsidRDefault="0026544B">
      <w:pPr>
        <w:pStyle w:val="af"/>
        <w:numPr>
          <w:ilvl w:val="0"/>
          <w:numId w:val="4"/>
        </w:numPr>
        <w:spacing w:after="0" w:line="240" w:lineRule="auto"/>
        <w:contextualSpacing w:val="0"/>
        <w:rPr>
          <w:lang w:eastAsia="ko-KR"/>
        </w:rPr>
      </w:pPr>
      <w:bookmarkStart w:id="20" w:name="_Ref102202373"/>
      <w:r>
        <w:rPr>
          <w:lang w:eastAsia="ko-KR"/>
        </w:rPr>
        <w:t>RP-220633, Revised SID: Study on evolution of NR duplex operation, CMCC</w:t>
      </w:r>
      <w:bookmarkEnd w:id="20"/>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582" w:rsidRDefault="00556582">
      <w:pPr>
        <w:spacing w:after="0"/>
      </w:pPr>
      <w:r>
        <w:separator/>
      </w:r>
    </w:p>
  </w:endnote>
  <w:endnote w:type="continuationSeparator" w:id="0">
    <w:p w:rsidR="00556582" w:rsidRDefault="00556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altName w:val="FreeSans"/>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582" w:rsidRDefault="00556582">
      <w:pPr>
        <w:spacing w:after="0"/>
      </w:pPr>
      <w:r>
        <w:separator/>
      </w:r>
    </w:p>
  </w:footnote>
  <w:footnote w:type="continuationSeparator" w:id="0">
    <w:p w:rsidR="00556582" w:rsidRDefault="005565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Segoe UI" w:hAnsi="Segoe UI" w:cs="Segoe UI"/>
      <w:sz w:val="18"/>
      <w:szCs w:val="18"/>
    </w:rPr>
  </w:style>
  <w:style w:type="paragraph" w:styleId="a4">
    <w:name w:val="Body Text"/>
    <w:basedOn w:val="a"/>
    <w:link w:val="Char0"/>
    <w:unhideWhenUsed/>
    <w:qFormat/>
    <w:pPr>
      <w:overflowPunct w:val="0"/>
      <w:autoSpaceDE w:val="0"/>
      <w:autoSpaceDN w:val="0"/>
      <w:adjustRightInd w:val="0"/>
      <w:spacing w:after="120"/>
      <w:jc w:val="both"/>
    </w:pPr>
    <w:rPr>
      <w:rFonts w:ascii="Arial" w:hAnsi="Arial"/>
      <w:lang w:val="en-US" w:eastAsia="zh-CN"/>
    </w:rPr>
  </w:style>
  <w:style w:type="paragraph" w:styleId="a5">
    <w:name w:val="caption"/>
    <w:basedOn w:val="a"/>
    <w:next w:val="a"/>
    <w:link w:val="Char1"/>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6">
    <w:name w:val="annotation reference"/>
    <w:uiPriority w:val="99"/>
    <w:qFormat/>
    <w:rPr>
      <w:sz w:val="16"/>
      <w:szCs w:val="16"/>
    </w:rPr>
  </w:style>
  <w:style w:type="paragraph" w:styleId="a7">
    <w:name w:val="annotation text"/>
    <w:basedOn w:val="a"/>
    <w:link w:val="Char2"/>
    <w:uiPriority w:val="99"/>
    <w:qFormat/>
  </w:style>
  <w:style w:type="paragraph" w:styleId="a8">
    <w:name w:val="annotation subject"/>
    <w:basedOn w:val="a7"/>
    <w:next w:val="a7"/>
    <w:link w:val="Char3"/>
    <w:qFormat/>
    <w:rPr>
      <w:b/>
      <w:bCs/>
    </w:rPr>
  </w:style>
  <w:style w:type="character" w:styleId="a9">
    <w:name w:val="FollowedHyperlink"/>
    <w:qFormat/>
    <w:rPr>
      <w:color w:val="954F72"/>
      <w:u w:val="single"/>
    </w:rPr>
  </w:style>
  <w:style w:type="paragraph" w:styleId="aa">
    <w:name w:val="footer"/>
    <w:basedOn w:val="ab"/>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character" w:styleId="ac">
    <w:name w:val="Hyperlink"/>
    <w:qFormat/>
    <w:rPr>
      <w:color w:val="0563C1"/>
      <w:u w:val="single"/>
    </w:rPr>
  </w:style>
  <w:style w:type="paragraph" w:styleId="ad">
    <w:name w:val="Normal (Web)"/>
    <w:basedOn w:val="a"/>
    <w:uiPriority w:val="99"/>
    <w:unhideWhenUsed/>
    <w:qFormat/>
    <w:pPr>
      <w:spacing w:before="100" w:beforeAutospacing="1" w:after="100" w:afterAutospacing="1"/>
    </w:pPr>
    <w:rPr>
      <w:sz w:val="24"/>
      <w:szCs w:val="24"/>
      <w:lang w:eastAsia="en-GB"/>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0">
    <w:name w:val="toc 2"/>
    <w:basedOn w:val="10"/>
    <w:next w:val="a"/>
    <w:uiPriority w:val="39"/>
    <w:qFormat/>
    <w:pPr>
      <w:keepNext w:val="0"/>
      <w:spacing w:before="0"/>
      <w:ind w:left="851" w:hanging="851"/>
    </w:pPr>
    <w:rPr>
      <w:sz w:val="20"/>
    </w:rPr>
  </w:style>
  <w:style w:type="paragraph" w:styleId="30">
    <w:name w:val="toc 3"/>
    <w:basedOn w:val="20"/>
    <w:next w:val="a"/>
    <w:uiPriority w:val="39"/>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
    <w:name w:val="批注框文本 Char"/>
    <w:link w:val="a3"/>
    <w:qFormat/>
    <w:rPr>
      <w:rFonts w:ascii="Segoe UI" w:hAnsi="Segoe UI" w:cs="Segoe UI"/>
      <w:sz w:val="18"/>
      <w:szCs w:val="18"/>
      <w:lang w:eastAsia="en-US"/>
    </w:rPr>
  </w:style>
  <w:style w:type="character" w:customStyle="1" w:styleId="UnresolvedMention">
    <w:name w:val="Unresolved Mention"/>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
    <w:qFormat/>
    <w:rPr>
      <w:rFonts w:ascii="Arial" w:hAnsi="Arial"/>
      <w:sz w:val="28"/>
      <w:lang w:val="en-GB" w:eastAsia="en-US"/>
    </w:rPr>
  </w:style>
  <w:style w:type="character" w:customStyle="1" w:styleId="Char5">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 Char"/>
    <w:link w:val="af"/>
    <w:uiPriority w:val="34"/>
    <w:qFormat/>
    <w:locked/>
    <w:rPr>
      <w:rFonts w:ascii="Times" w:eastAsia="宋体" w:hAnsi="Times" w:cs="Times"/>
      <w:sz w:val="22"/>
      <w:szCs w:val="24"/>
      <w:lang w:eastAsia="ja-JP"/>
    </w:rPr>
  </w:style>
  <w:style w:type="paragraph" w:styleId="af">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a"/>
    <w:link w:val="Char5"/>
    <w:uiPriority w:val="34"/>
    <w:qFormat/>
    <w:pPr>
      <w:spacing w:line="254" w:lineRule="auto"/>
      <w:ind w:left="720"/>
      <w:contextualSpacing/>
    </w:pPr>
    <w:rPr>
      <w:rFonts w:ascii="Times" w:hAnsi="Times" w:cs="Times"/>
      <w:sz w:val="22"/>
      <w:szCs w:val="24"/>
      <w:lang w:val="sv-SE" w:eastAsia="ja-JP"/>
    </w:rPr>
  </w:style>
  <w:style w:type="character" w:customStyle="1" w:styleId="Char2">
    <w:name w:val="批注文字 Char"/>
    <w:link w:val="a7"/>
    <w:uiPriority w:val="99"/>
    <w:qFormat/>
    <w:rPr>
      <w:lang w:val="en-GB" w:eastAsia="en-US"/>
    </w:rPr>
  </w:style>
  <w:style w:type="character" w:customStyle="1" w:styleId="Char3">
    <w:name w:val="批注主题 Char"/>
    <w:link w:val="a8"/>
    <w:qFormat/>
    <w:rPr>
      <w:b/>
      <w:bCs/>
      <w:lang w:val="en-GB" w:eastAsia="en-US"/>
    </w:rPr>
  </w:style>
  <w:style w:type="character" w:customStyle="1" w:styleId="Char4">
    <w:name w:val="页眉 Char"/>
    <w:link w:val="ab"/>
    <w:qFormat/>
    <w:rPr>
      <w:rFonts w:ascii="Arial" w:hAnsi="Arial"/>
      <w:b/>
      <w:sz w:val="18"/>
      <w:lang w:val="en-GB" w:eastAsia="ja-JP"/>
    </w:rPr>
  </w:style>
  <w:style w:type="character" w:customStyle="1" w:styleId="Char0">
    <w:name w:val="正文文本 Char"/>
    <w:basedOn w:val="a0"/>
    <w:link w:val="a4"/>
    <w:qFormat/>
    <w:rPr>
      <w:rFonts w:ascii="Arial" w:hAnsi="Arial"/>
      <w:lang w:val="en-US" w:eastAsia="zh-CN"/>
    </w:rPr>
  </w:style>
  <w:style w:type="character" w:customStyle="1" w:styleId="Mention">
    <w:name w:val="Mention"/>
    <w:basedOn w:val="a0"/>
    <w:uiPriority w:val="99"/>
    <w:unhideWhenUsed/>
    <w:qFormat/>
    <w:rPr>
      <w:color w:val="2B579A"/>
      <w:shd w:val="clear" w:color="auto" w:fill="E1DFDD"/>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har1">
    <w:name w:val="题注 Char"/>
    <w:link w:val="a5"/>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9545</Characters>
  <Application>Microsoft Office Word</Application>
  <DocSecurity>0</DocSecurity>
  <Lines>79</Lines>
  <Paragraphs>22</Paragraphs>
  <ScaleCrop>false</ScaleCrop>
  <Company>ETSI</Company>
  <LinksUpToDate>false</LinksUpToDate>
  <CharactersWithSpaces>11197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cp:revision>
  <cp:lastPrinted>2020-05-14T06:07:00Z</cp:lastPrinted>
  <dcterms:created xsi:type="dcterms:W3CDTF">2022-05-10T01:39:00Z</dcterms:created>
  <dcterms:modified xsi:type="dcterms:W3CDTF">2022-05-10T01:49:00Z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ies>
</file>