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rFonts w:hint="eastAsia"/>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77777777" w:rsidR="00F96023" w:rsidRDefault="00F96023" w:rsidP="00F96023">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77777777" w:rsidR="00F96023" w:rsidRDefault="00F96023" w:rsidP="00F96023">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lastRenderedPageBreak/>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afc"/>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8pt;height:12.05pt;visibility:visible;mso-width-percent:0;mso-height-percent:0;mso-wrap-distance-right:0;mso-width-percent:0;mso-height-percent:0" o:ole="">
                  <v:imagedata r:id="rId9" o:title=""/>
                </v:shape>
                <o:OLEObject Type="Embed" ProgID="Equation.DSMT4" ShapeID="ole_rId2" DrawAspect="Content" ObjectID="_1714206002"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xml:space="preserve">, </w:t>
            </w:r>
            <w:r>
              <w:rPr>
                <w:rFonts w:eastAsia="Batang"/>
                <w:sz w:val="18"/>
                <w:szCs w:val="18"/>
                <w:lang w:val="en-GB"/>
              </w:rPr>
              <w:lastRenderedPageBreak/>
              <w:t>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lastRenderedPageBreak/>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lastRenderedPageBreak/>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lastRenderedPageBreak/>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t>
            </w:r>
            <w:r>
              <w:rPr>
                <w:rFonts w:eastAsiaTheme="minorEastAsia"/>
                <w:sz w:val="18"/>
                <w:szCs w:val="18"/>
                <w:lang w:eastAsia="zh-CN"/>
              </w:rPr>
              <w:t xml:space="preserve">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rFonts w:hint="eastAsia"/>
                <w:color w:val="3333FF"/>
                <w:sz w:val="20"/>
                <w:szCs w:val="20"/>
              </w:rPr>
            </w:pPr>
            <w:r w:rsidRPr="005C50BA">
              <w:rPr>
                <w:color w:val="3333FF"/>
                <w:sz w:val="20"/>
                <w:szCs w:val="20"/>
              </w:rPr>
              <w:t>Alt1. N</w:t>
            </w:r>
            <w:r w:rsidRPr="003F1994">
              <w:rPr>
                <w:color w:val="FF0000"/>
                <w:sz w:val="20"/>
                <w:szCs w:val="20"/>
              </w:rPr>
              <w:t xml:space="preserve"> </w:t>
            </w:r>
            <w:r w:rsidRPr="003F1994">
              <w:rPr>
                <w:color w:val="FF0000"/>
                <w:sz w:val="20"/>
                <w:szCs w:val="20"/>
              </w:rPr>
              <w:t>and the index(es) of TRP are</w:t>
            </w:r>
            <w:r w:rsidRPr="005C50BA">
              <w:rPr>
                <w:color w:val="3333FF"/>
                <w:sz w:val="20"/>
                <w:szCs w:val="20"/>
              </w:rPr>
              <w:t xml:space="preserve"> gNB-configured via higher-layer (RRC) signaling</w:t>
            </w:r>
            <w:bookmarkStart w:id="4" w:name="_GoBack"/>
            <w:bookmarkEnd w:id="4"/>
          </w:p>
        </w:tc>
      </w:tr>
      <w:tr w:rsidR="00F9602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77777777" w:rsidR="00F96023" w:rsidRDefault="00F96023" w:rsidP="00F96023">
            <w:pPr>
              <w:widowControl w:val="0"/>
              <w:snapToGrid w:val="0"/>
              <w:rPr>
                <w:rFonts w:eastAsiaTheme="minorEastAsia" w:hint="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8D6145" w14:textId="77777777" w:rsidR="00F96023" w:rsidRPr="00EA06F7" w:rsidRDefault="00F96023" w:rsidP="00F96023">
            <w:pPr>
              <w:widowControl w:val="0"/>
              <w:snapToGrid w:val="0"/>
              <w:rPr>
                <w:rFonts w:eastAsiaTheme="minorEastAsia" w:hint="eastAsia"/>
                <w:b/>
                <w:sz w:val="18"/>
                <w:szCs w:val="18"/>
                <w:lang w:eastAsia="zh-CN"/>
              </w:rPr>
            </w:pPr>
          </w:p>
        </w:tc>
      </w:tr>
    </w:tbl>
    <w:p w14:paraId="0247B92E" w14:textId="77777777" w:rsidR="00FF14F6" w:rsidRPr="00C85404"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 xml:space="preserve">Number of CSI-RS resources can be more than 1 (cf. #CSI-RS resources for legacy Type II codebooks is </w:t>
            </w:r>
            <w:r w:rsidRPr="00227C4F">
              <w:rPr>
                <w:sz w:val="18"/>
                <w:szCs w:val="18"/>
                <w:lang w:eastAsia="zh-CN"/>
              </w:rPr>
              <w:lastRenderedPageBreak/>
              <w:t>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96023"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F96023" w:rsidRDefault="00F96023" w:rsidP="00F96023">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F96023" w:rsidRDefault="00F96023" w:rsidP="00F96023">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B1739" w14:textId="77777777" w:rsidR="00A37495" w:rsidRDefault="00A37495" w:rsidP="00BC19F2">
      <w:r>
        <w:separator/>
      </w:r>
    </w:p>
  </w:endnote>
  <w:endnote w:type="continuationSeparator" w:id="0">
    <w:p w14:paraId="3B0C8FFA" w14:textId="77777777" w:rsidR="00A37495" w:rsidRDefault="00A3749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Malgun Gothic Semilight"/>
    <w:panose1 w:val="02010601000101010101"/>
    <w:charset w:val="88"/>
    <w:family w:val="roman"/>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A0F2D" w14:textId="77777777" w:rsidR="00A37495" w:rsidRDefault="00A37495" w:rsidP="00BC19F2">
      <w:r>
        <w:separator/>
      </w:r>
    </w:p>
  </w:footnote>
  <w:footnote w:type="continuationSeparator" w:id="0">
    <w:p w14:paraId="0C64EB5A" w14:textId="77777777" w:rsidR="00A37495" w:rsidRDefault="00A3749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5"/>
  </w:num>
  <w:num w:numId="3">
    <w:abstractNumId w:val="15"/>
  </w:num>
  <w:num w:numId="4">
    <w:abstractNumId w:val="22"/>
  </w:num>
  <w:num w:numId="5">
    <w:abstractNumId w:val="34"/>
  </w:num>
  <w:num w:numId="6">
    <w:abstractNumId w:val="4"/>
  </w:num>
  <w:num w:numId="7">
    <w:abstractNumId w:val="26"/>
  </w:num>
  <w:num w:numId="8">
    <w:abstractNumId w:val="36"/>
  </w:num>
  <w:num w:numId="9">
    <w:abstractNumId w:val="13"/>
  </w:num>
  <w:num w:numId="10">
    <w:abstractNumId w:val="30"/>
  </w:num>
  <w:num w:numId="11">
    <w:abstractNumId w:val="23"/>
  </w:num>
  <w:num w:numId="12">
    <w:abstractNumId w:val="29"/>
  </w:num>
  <w:num w:numId="13">
    <w:abstractNumId w:val="18"/>
  </w:num>
  <w:num w:numId="14">
    <w:abstractNumId w:val="35"/>
  </w:num>
  <w:num w:numId="15">
    <w:abstractNumId w:val="16"/>
  </w:num>
  <w:num w:numId="16">
    <w:abstractNumId w:val="7"/>
  </w:num>
  <w:num w:numId="17">
    <w:abstractNumId w:val="31"/>
  </w:num>
  <w:num w:numId="18">
    <w:abstractNumId w:val="3"/>
  </w:num>
  <w:num w:numId="19">
    <w:abstractNumId w:val="19"/>
  </w:num>
  <w:num w:numId="20">
    <w:abstractNumId w:val="8"/>
  </w:num>
  <w:num w:numId="21">
    <w:abstractNumId w:val="14"/>
  </w:num>
  <w:num w:numId="22">
    <w:abstractNumId w:val="5"/>
  </w:num>
  <w:num w:numId="23">
    <w:abstractNumId w:val="32"/>
  </w:num>
  <w:num w:numId="24">
    <w:abstractNumId w:val="20"/>
  </w:num>
  <w:num w:numId="25">
    <w:abstractNumId w:val="0"/>
  </w:num>
  <w:num w:numId="26">
    <w:abstractNumId w:val="24"/>
  </w:num>
  <w:num w:numId="27">
    <w:abstractNumId w:val="1"/>
  </w:num>
  <w:num w:numId="28">
    <w:abstractNumId w:val="27"/>
  </w:num>
  <w:num w:numId="29">
    <w:abstractNumId w:val="6"/>
  </w:num>
  <w:num w:numId="30">
    <w:abstractNumId w:val="28"/>
  </w:num>
  <w:num w:numId="31">
    <w:abstractNumId w:val="9"/>
  </w:num>
  <w:num w:numId="32">
    <w:abstractNumId w:val="33"/>
  </w:num>
  <w:num w:numId="33">
    <w:abstractNumId w:val="10"/>
  </w:num>
  <w:num w:numId="34">
    <w:abstractNumId w:val="17"/>
  </w:num>
  <w:num w:numId="35">
    <w:abstractNumId w:val="11"/>
  </w:num>
  <w:num w:numId="36">
    <w:abstractNumId w:val="21"/>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9FFF-2482-427B-92A3-4C3D912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5176</Words>
  <Characters>29504</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高毓恺</cp:lastModifiedBy>
  <cp:revision>9</cp:revision>
  <cp:lastPrinted>2021-10-06T09:28:00Z</cp:lastPrinted>
  <dcterms:created xsi:type="dcterms:W3CDTF">2022-05-16T03:25:00Z</dcterms:created>
  <dcterms:modified xsi:type="dcterms:W3CDTF">2022-05-16T03:33:00Z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