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534BF291"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63227D" w:rsidRPr="0063227D">
        <w:rPr>
          <w:rFonts w:cs="Arial"/>
          <w:b/>
          <w:color w:val="000000"/>
          <w:sz w:val="28"/>
          <w:szCs w:val="28"/>
        </w:rPr>
        <w:t>R1-2204853</w:t>
      </w:r>
    </w:p>
    <w:p w14:paraId="550DFD67" w14:textId="45061791"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1CE57571"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63227D" w:rsidRPr="0063227D">
        <w:rPr>
          <w:b/>
          <w:color w:val="000000"/>
          <w:sz w:val="24"/>
          <w:szCs w:val="24"/>
        </w:rPr>
        <w:t>8.16.10</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w:t>
      </w:r>
      <w:bookmarkStart w:id="0" w:name="_GoBack"/>
      <w:bookmarkEnd w:id="0"/>
      <w:r w:rsidRPr="00434D06">
        <w:rPr>
          <w:b/>
          <w:color w:val="000000"/>
          <w:sz w:val="24"/>
          <w:szCs w:val="24"/>
        </w:rPr>
        <w:t>rator (AT&amp;T)</w:t>
      </w:r>
    </w:p>
    <w:p w14:paraId="4D8810AD" w14:textId="035D9772"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63227D" w:rsidRPr="0063227D">
        <w:rPr>
          <w:b/>
          <w:color w:val="000000"/>
          <w:sz w:val="24"/>
          <w:szCs w:val="24"/>
        </w:rPr>
        <w:t>Summary of UE features for IAB enhancements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1" w:name="DocumentFor"/>
      <w:bookmarkEnd w:id="1"/>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2A5080">
      <w:pPr>
        <w:pStyle w:val="Heading1"/>
        <w:numPr>
          <w:ilvl w:val="0"/>
          <w:numId w:val="9"/>
        </w:numPr>
        <w:jc w:val="both"/>
        <w:rPr>
          <w:color w:val="000000"/>
        </w:rPr>
      </w:pPr>
      <w:r w:rsidRPr="00434D06">
        <w:rPr>
          <w:color w:val="000000"/>
        </w:rPr>
        <w:t>Introduction</w:t>
      </w:r>
    </w:p>
    <w:p w14:paraId="51980DD9" w14:textId="7CA7D794"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4674C7" w:rsidRPr="004674C7">
        <w:rPr>
          <w:rFonts w:ascii="Calibri" w:hAnsi="Calibri" w:cs="Arial"/>
          <w:color w:val="000000"/>
        </w:rPr>
        <w:t>[109-e-R17-UE-features-eIAB-01]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6AFF200" w14:textId="72615A33" w:rsidR="004674C7" w:rsidRDefault="004674C7" w:rsidP="004674C7">
            <w:pPr>
              <w:rPr>
                <w:rFonts w:ascii="Times" w:hAnsi="Times"/>
                <w:lang w:eastAsia="x-none"/>
              </w:rPr>
            </w:pPr>
            <w:r>
              <w:rPr>
                <w:highlight w:val="cyan"/>
                <w:lang w:eastAsia="x-none"/>
              </w:rPr>
              <w:t xml:space="preserve">[109-e-R17-UE-features-eIAB-01] Email discussion on UE features for IAB enhancements </w:t>
            </w:r>
            <w:r>
              <w:rPr>
                <w:highlight w:val="cyan"/>
              </w:rPr>
              <w:t>– Ralf (AT&amp;T)</w:t>
            </w:r>
          </w:p>
          <w:p w14:paraId="46E3B2C1" w14:textId="77777777" w:rsidR="004674C7" w:rsidRDefault="004674C7" w:rsidP="004674C7">
            <w:pPr>
              <w:numPr>
                <w:ilvl w:val="0"/>
                <w:numId w:val="13"/>
              </w:numPr>
              <w:spacing w:before="0" w:after="0"/>
              <w:jc w:val="left"/>
              <w:rPr>
                <w:highlight w:val="cyan"/>
                <w:lang w:val="en-GB" w:eastAsia="x-none"/>
              </w:rPr>
            </w:pPr>
            <w:r>
              <w:rPr>
                <w:highlight w:val="cyan"/>
                <w:lang w:eastAsia="x-none"/>
              </w:rPr>
              <w:t>1</w:t>
            </w:r>
            <w:r>
              <w:rPr>
                <w:highlight w:val="cyan"/>
                <w:vertAlign w:val="superscript"/>
                <w:lang w:eastAsia="x-none"/>
              </w:rPr>
              <w:t>st</w:t>
            </w:r>
            <w:r>
              <w:rPr>
                <w:highlight w:val="cyan"/>
                <w:lang w:eastAsia="x-none"/>
              </w:rPr>
              <w:t xml:space="preserve"> check point for LS to RAN2: </w:t>
            </w:r>
            <w:r>
              <w:rPr>
                <w:highlight w:val="cyan"/>
              </w:rPr>
              <w:t>May 13</w:t>
            </w:r>
          </w:p>
          <w:p w14:paraId="5C598C1F" w14:textId="701711FE" w:rsidR="00577143" w:rsidRDefault="004674C7" w:rsidP="004674C7">
            <w:pPr>
              <w:numPr>
                <w:ilvl w:val="0"/>
                <w:numId w:val="13"/>
              </w:numPr>
              <w:spacing w:before="0" w:after="0"/>
              <w:jc w:val="left"/>
              <w:rPr>
                <w:highlight w:val="cyan"/>
                <w:lang w:eastAsia="x-none"/>
              </w:rPr>
            </w:pPr>
            <w:r>
              <w:rPr>
                <w:highlight w:val="cyan"/>
                <w:lang w:eastAsia="x-none"/>
              </w:rPr>
              <w:t xml:space="preserve">Final check point for any remaining issues: </w:t>
            </w:r>
            <w:r>
              <w:rPr>
                <w:highlight w:val="cyan"/>
              </w:rPr>
              <w:t>May 20</w:t>
            </w:r>
          </w:p>
          <w:p w14:paraId="401A232D" w14:textId="77777777" w:rsidR="004674C7" w:rsidRDefault="004674C7" w:rsidP="004674C7">
            <w:pPr>
              <w:spacing w:before="0" w:after="0"/>
              <w:ind w:left="760"/>
              <w:jc w:val="left"/>
              <w:rPr>
                <w:highlight w:val="cyan"/>
                <w:lang w:eastAsia="x-none"/>
              </w:rPr>
            </w:pPr>
          </w:p>
          <w:p w14:paraId="51582E13" w14:textId="107B1176" w:rsidR="004674C7" w:rsidRPr="004674C7" w:rsidRDefault="004674C7" w:rsidP="004674C7">
            <w:pPr>
              <w:spacing w:before="0" w:after="0"/>
              <w:ind w:left="400"/>
              <w:jc w:val="left"/>
              <w:rPr>
                <w:highlight w:val="cyan"/>
                <w:lang w:eastAsia="x-none"/>
              </w:rPr>
            </w:pPr>
          </w:p>
        </w:tc>
      </w:tr>
    </w:tbl>
    <w:p w14:paraId="0F0ACC3B" w14:textId="4AC4845F"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4674C7" w:rsidRPr="004674C7">
        <w:rPr>
          <w:rFonts w:ascii="Calibri" w:hAnsi="Calibri" w:cs="Calibri"/>
          <w:color w:val="000000"/>
        </w:rPr>
        <w:t>[109-e-R17-UE-features-eIAB-01]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2A5080">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542"/>
        <w:gridCol w:w="1739"/>
        <w:gridCol w:w="3212"/>
        <w:gridCol w:w="222"/>
        <w:gridCol w:w="527"/>
        <w:gridCol w:w="517"/>
        <w:gridCol w:w="6020"/>
        <w:gridCol w:w="1037"/>
        <w:gridCol w:w="447"/>
        <w:gridCol w:w="447"/>
        <w:gridCol w:w="3026"/>
        <w:gridCol w:w="1173"/>
        <w:gridCol w:w="2238"/>
      </w:tblGrid>
      <w:tr w:rsidR="00E12232" w:rsidRPr="00275D7B" w14:paraId="0C7AC98B" w14:textId="77777777" w:rsidTr="00275D7B">
        <w:tc>
          <w:tcPr>
            <w:tcW w:w="0" w:type="auto"/>
            <w:shd w:val="clear" w:color="auto" w:fill="auto"/>
          </w:tcPr>
          <w:p w14:paraId="4E418639" w14:textId="1C4979FF"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eastAsia="MS Mincho" w:hAnsi="Arial" w:cs="Arial"/>
                <w:color w:val="000000"/>
                <w:sz w:val="18"/>
                <w:szCs w:val="18"/>
              </w:rPr>
              <w:t xml:space="preserve">31. </w:t>
            </w:r>
            <w:proofErr w:type="spellStart"/>
            <w:r w:rsidRPr="002A5080">
              <w:rPr>
                <w:rFonts w:ascii="Arial" w:eastAsia="MS Mincho" w:hAnsi="Arial" w:cs="Arial"/>
                <w:color w:val="000000"/>
                <w:sz w:val="18"/>
                <w:szCs w:val="18"/>
              </w:rPr>
              <w:t>NR_IAB_enh</w:t>
            </w:r>
            <w:proofErr w:type="spellEnd"/>
          </w:p>
        </w:tc>
        <w:tc>
          <w:tcPr>
            <w:tcW w:w="0" w:type="auto"/>
            <w:shd w:val="clear" w:color="auto" w:fill="auto"/>
          </w:tcPr>
          <w:p w14:paraId="42C72A86" w14:textId="49D9EC26"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eastAsia="MS Mincho" w:hAnsi="Arial" w:cs="Arial"/>
                <w:color w:val="000000"/>
                <w:sz w:val="18"/>
                <w:szCs w:val="18"/>
              </w:rPr>
              <w:t>31-4</w:t>
            </w:r>
          </w:p>
        </w:tc>
        <w:tc>
          <w:tcPr>
            <w:tcW w:w="0" w:type="auto"/>
            <w:shd w:val="clear" w:color="auto" w:fill="auto"/>
          </w:tcPr>
          <w:p w14:paraId="6DB72D25" w14:textId="484556B4"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Case 6 timing alignment</w:t>
            </w:r>
          </w:p>
        </w:tc>
        <w:tc>
          <w:tcPr>
            <w:tcW w:w="0" w:type="auto"/>
            <w:shd w:val="clear" w:color="auto" w:fill="auto"/>
          </w:tcPr>
          <w:p w14:paraId="274BD5CF" w14:textId="271C1C9F"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rPr>
              <w:t>Support Case 6 timing alignment indication reception</w:t>
            </w:r>
          </w:p>
        </w:tc>
        <w:tc>
          <w:tcPr>
            <w:tcW w:w="0" w:type="auto"/>
            <w:shd w:val="clear" w:color="auto" w:fill="auto"/>
          </w:tcPr>
          <w:p w14:paraId="2356394C" w14:textId="77777777" w:rsidR="00E12232" w:rsidRPr="00E12232" w:rsidRDefault="00E12232" w:rsidP="00E12232">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7C82C272"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Yes</w:t>
            </w:r>
          </w:p>
        </w:tc>
        <w:tc>
          <w:tcPr>
            <w:tcW w:w="0" w:type="auto"/>
            <w:shd w:val="clear" w:color="auto" w:fill="auto"/>
          </w:tcPr>
          <w:p w14:paraId="7688FC90" w14:textId="3F6A8294"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N/A</w:t>
            </w:r>
          </w:p>
        </w:tc>
        <w:tc>
          <w:tcPr>
            <w:tcW w:w="0" w:type="auto"/>
            <w:shd w:val="clear" w:color="auto" w:fill="auto"/>
          </w:tcPr>
          <w:p w14:paraId="742048A5"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Switching across different timing cases (i.e., Case 1 at IAB-node, Case 6 at IAB-node, and/or Case 7 at the</w:t>
            </w:r>
          </w:p>
          <w:p w14:paraId="158FDCD4"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 xml:space="preserve">Parent) is not supported. </w:t>
            </w:r>
          </w:p>
          <w:p w14:paraId="4B17604C" w14:textId="77777777" w:rsidR="00E12232" w:rsidRPr="002A5080" w:rsidRDefault="00E12232" w:rsidP="00E12232">
            <w:pPr>
              <w:pStyle w:val="TAL"/>
              <w:rPr>
                <w:rFonts w:cs="Arial"/>
                <w:color w:val="000000"/>
                <w:szCs w:val="18"/>
                <w:lang w:eastAsia="zh-CN"/>
              </w:rPr>
            </w:pPr>
          </w:p>
          <w:p w14:paraId="004E198D" w14:textId="5AD60EB0"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4F36E5CD" w14:textId="60FE4FED"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per IAB node</w:t>
            </w:r>
          </w:p>
        </w:tc>
        <w:tc>
          <w:tcPr>
            <w:tcW w:w="0" w:type="auto"/>
            <w:shd w:val="clear" w:color="auto" w:fill="auto"/>
          </w:tcPr>
          <w:p w14:paraId="081AD06E" w14:textId="174D16B5"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No</w:t>
            </w:r>
          </w:p>
        </w:tc>
        <w:tc>
          <w:tcPr>
            <w:tcW w:w="0" w:type="auto"/>
            <w:shd w:val="clear" w:color="auto" w:fill="auto"/>
          </w:tcPr>
          <w:p w14:paraId="07BABD7E" w14:textId="036CEEE8"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No</w:t>
            </w:r>
          </w:p>
        </w:tc>
        <w:tc>
          <w:tcPr>
            <w:tcW w:w="0" w:type="auto"/>
            <w:shd w:val="clear" w:color="auto" w:fill="auto"/>
          </w:tcPr>
          <w:p w14:paraId="220440B9" w14:textId="0515E2E5"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support mixture of FDD/TDD and/or FR1/FR2 </w:t>
            </w:r>
          </w:p>
        </w:tc>
        <w:tc>
          <w:tcPr>
            <w:tcW w:w="0" w:type="auto"/>
            <w:shd w:val="clear" w:color="auto" w:fill="auto"/>
          </w:tcPr>
          <w:p w14:paraId="1833CAA8" w14:textId="33AE2FE7"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IAB-MT impact</w:t>
            </w:r>
          </w:p>
        </w:tc>
        <w:tc>
          <w:tcPr>
            <w:tcW w:w="0" w:type="auto"/>
            <w:shd w:val="clear" w:color="auto" w:fill="auto"/>
          </w:tcPr>
          <w:p w14:paraId="15F25385" w14:textId="3C707A0C"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058E4F83" w:rsidR="00577143" w:rsidRPr="00434D06" w:rsidRDefault="008F6741" w:rsidP="00275D7B">
            <w:pPr>
              <w:jc w:val="left"/>
              <w:rPr>
                <w:rFonts w:ascii="Calibri" w:hAnsi="Calibri" w:cs="Calibri"/>
                <w:color w:val="000000"/>
              </w:rPr>
            </w:pPr>
            <w:r w:rsidRPr="008F6741">
              <w:rPr>
                <w:rFonts w:ascii="Calibri" w:hAnsi="Calibri" w:cs="Calibri"/>
                <w:color w:val="000000"/>
              </w:rPr>
              <w:t>ZTE/</w:t>
            </w:r>
            <w:proofErr w:type="spellStart"/>
            <w:r w:rsidRPr="008F6741">
              <w:rPr>
                <w:rFonts w:ascii="Calibri" w:hAnsi="Calibri" w:cs="Calibri"/>
                <w:color w:val="000000"/>
              </w:rPr>
              <w:t>Sanechips</w:t>
            </w:r>
            <w:proofErr w:type="spellEnd"/>
            <w:r>
              <w:rPr>
                <w:rFonts w:ascii="Calibri" w:hAnsi="Calibri" w:cs="Calibri"/>
                <w:color w:val="000000"/>
              </w:rPr>
              <w:t xml:space="preserve"> </w:t>
            </w:r>
            <w:r>
              <w:rPr>
                <w:rFonts w:ascii="Calibri" w:hAnsi="Calibri" w:cs="Calibri"/>
                <w:color w:val="000000"/>
              </w:rPr>
              <w:fldChar w:fldCharType="begin"/>
            </w:r>
            <w:r>
              <w:rPr>
                <w:rFonts w:ascii="Calibri" w:hAnsi="Calibri" w:cs="Calibri"/>
                <w:color w:val="000000"/>
              </w:rPr>
              <w:instrText xml:space="preserve"> REF _Ref102383624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3F0106" w14:textId="77777777" w:rsidR="00E12232" w:rsidRDefault="00E12232" w:rsidP="00E12232">
            <w:pPr>
              <w:rPr>
                <w:lang w:eastAsia="zh-CN"/>
              </w:rPr>
            </w:pPr>
            <w:r>
              <w:rPr>
                <w:rFonts w:hint="eastAsia"/>
                <w:lang w:eastAsia="zh-CN"/>
              </w:rPr>
              <w:t>According to the following agreement from RAN1#107e meeting, a</w:t>
            </w:r>
            <w:r>
              <w:rPr>
                <w:rFonts w:ascii="New York" w:hAnsi="New York" w:hint="eastAsia"/>
                <w:lang w:eastAsia="zh-CN"/>
              </w:rPr>
              <w:t xml:space="preserve"> child IAB-MT can inform a parent node via MAC-CE whether Case 6 timing is required for simultaneous operation. </w:t>
            </w:r>
            <w:r>
              <w:rPr>
                <w:rFonts w:hint="eastAsia"/>
                <w:lang w:eastAsia="zh-CN"/>
              </w:rPr>
              <w:t xml:space="preserve">From our point of view, the indication of </w:t>
            </w:r>
            <w:r>
              <w:rPr>
                <w:rFonts w:ascii="New York" w:hAnsi="New York" w:hint="eastAsia"/>
                <w:lang w:eastAsia="zh-CN"/>
              </w:rPr>
              <w:t xml:space="preserve">Case 6 timing required </w:t>
            </w:r>
            <w:r>
              <w:rPr>
                <w:rFonts w:hint="eastAsia"/>
                <w:lang w:eastAsia="zh-CN"/>
              </w:rPr>
              <w:t>should</w:t>
            </w:r>
            <w:r>
              <w:rPr>
                <w:lang w:eastAsia="zh-CN"/>
              </w:rPr>
              <w:t xml:space="preserve"> </w:t>
            </w:r>
            <w:r>
              <w:rPr>
                <w:rFonts w:hint="eastAsia"/>
                <w:lang w:eastAsia="zh-CN"/>
              </w:rPr>
              <w:t xml:space="preserve">be optional for Case 6 timing, </w:t>
            </w:r>
            <w:r>
              <w:rPr>
                <w:rFonts w:hint="eastAsia"/>
                <w:bCs/>
                <w:lang w:eastAsia="zh-CN"/>
              </w:rPr>
              <w:t xml:space="preserve">and </w:t>
            </w:r>
            <w:r>
              <w:rPr>
                <w:rFonts w:hint="eastAsia"/>
                <w:lang w:eastAsia="zh-CN"/>
              </w:rPr>
              <w:t>we prefer to add a component to FG31-4 to reflect this optional UE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2A5080" w14:paraId="4DA1C0FC" w14:textId="77777777" w:rsidTr="002A5080">
              <w:tc>
                <w:tcPr>
                  <w:tcW w:w="0" w:type="auto"/>
                  <w:shd w:val="clear" w:color="auto" w:fill="auto"/>
                </w:tcPr>
                <w:p w14:paraId="1B171B86" w14:textId="77777777" w:rsidR="00E12232" w:rsidRDefault="00E12232" w:rsidP="00E12232">
                  <w:pPr>
                    <w:rPr>
                      <w:lang w:eastAsia="zh-CN"/>
                    </w:rPr>
                  </w:pPr>
                  <w:r w:rsidRPr="002A5080">
                    <w:rPr>
                      <w:rFonts w:cs="Times"/>
                      <w:b/>
                      <w:highlight w:val="green"/>
                    </w:rPr>
                    <w:t>Agreement</w:t>
                  </w:r>
                </w:p>
                <w:p w14:paraId="60879D13" w14:textId="77777777" w:rsidR="00E12232" w:rsidRDefault="00E12232" w:rsidP="00E12232">
                  <w:pPr>
                    <w:rPr>
                      <w:lang w:eastAsia="zh-CN"/>
                    </w:rPr>
                  </w:pPr>
                  <w:r>
                    <w:rPr>
                      <w:rFonts w:hint="eastAsia"/>
                      <w:lang w:eastAsia="zh-CN"/>
                    </w:rPr>
                    <w:t>A child IAB-MT can inform a parent node via MAC-CE whether Case 6 timing is required for simultaneous operation.</w:t>
                  </w:r>
                </w:p>
              </w:tc>
            </w:tr>
          </w:tbl>
          <w:p w14:paraId="517570A4" w14:textId="77777777" w:rsidR="00E12232" w:rsidRDefault="00E12232" w:rsidP="00E12232">
            <w:pPr>
              <w:pStyle w:val="ListParagraph"/>
              <w:widowControl w:val="0"/>
              <w:adjustRightInd w:val="0"/>
              <w:snapToGrid w:val="0"/>
              <w:spacing w:afterLines="50"/>
              <w:ind w:left="0"/>
              <w:rPr>
                <w:rFonts w:eastAsia="SimSun"/>
                <w:lang w:eastAsia="zh-CN"/>
              </w:rPr>
            </w:pPr>
          </w:p>
          <w:p w14:paraId="216F2F67" w14:textId="77777777" w:rsidR="00E12232" w:rsidRDefault="00E12232" w:rsidP="00E12232">
            <w:pPr>
              <w:pStyle w:val="ListParagraph"/>
              <w:widowControl w:val="0"/>
              <w:adjustRightInd w:val="0"/>
              <w:snapToGrid w:val="0"/>
              <w:spacing w:afterLines="50"/>
              <w:ind w:left="0"/>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we propose to add new component to FG 31-4 to reflect the above agreement</w:t>
            </w:r>
          </w:p>
          <w:p w14:paraId="417A4481" w14:textId="77777777" w:rsidR="00E12232" w:rsidRDefault="00E12232" w:rsidP="00E12232">
            <w:pPr>
              <w:rPr>
                <w:lang w:eastAsia="zh-CN"/>
              </w:rPr>
            </w:pPr>
            <w:r>
              <w:rPr>
                <w:b/>
                <w:i/>
              </w:rPr>
              <w:t xml:space="preserve">Proposal </w:t>
            </w:r>
            <w:r>
              <w:rPr>
                <w:rFonts w:hint="eastAsia"/>
                <w:b/>
                <w:i/>
                <w:lang w:eastAsia="zh-CN"/>
              </w:rPr>
              <w:t>1</w:t>
            </w:r>
            <w:r>
              <w:rPr>
                <w:b/>
                <w:i/>
              </w:rPr>
              <w:t xml:space="preserve">: </w:t>
            </w:r>
            <w:r>
              <w:rPr>
                <w:rFonts w:hint="eastAsia"/>
                <w:b/>
                <w:i/>
                <w:lang w:eastAsia="zh-CN"/>
              </w:rPr>
              <w:t>Update 31-4 to reflect the agreement of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663"/>
              <w:gridCol w:w="3325"/>
              <w:gridCol w:w="222"/>
              <w:gridCol w:w="527"/>
              <w:gridCol w:w="517"/>
              <w:gridCol w:w="5512"/>
              <w:gridCol w:w="994"/>
              <w:gridCol w:w="447"/>
              <w:gridCol w:w="447"/>
              <w:gridCol w:w="2865"/>
              <w:gridCol w:w="1129"/>
              <w:gridCol w:w="2112"/>
            </w:tblGrid>
            <w:tr w:rsidR="008502DD" w:rsidRPr="008502DD" w14:paraId="21739B74" w14:textId="77777777" w:rsidTr="00E12232">
              <w:trPr>
                <w:trHeight w:val="20"/>
              </w:trPr>
              <w:tc>
                <w:tcPr>
                  <w:tcW w:w="0" w:type="auto"/>
                  <w:tcBorders>
                    <w:top w:val="single" w:sz="4" w:space="0" w:color="auto"/>
                    <w:left w:val="single" w:sz="4" w:space="0" w:color="auto"/>
                    <w:bottom w:val="single" w:sz="4" w:space="0" w:color="auto"/>
                    <w:right w:val="single" w:sz="4" w:space="0" w:color="auto"/>
                  </w:tcBorders>
                </w:tcPr>
                <w:p w14:paraId="78F343BB" w14:textId="77777777" w:rsidR="00E12232" w:rsidRPr="008502DD" w:rsidRDefault="00E12232" w:rsidP="00E12232">
                  <w:pPr>
                    <w:rPr>
                      <w:rStyle w:val="fontstyle01"/>
                      <w:rFonts w:ascii="Arial" w:hAnsi="Arial" w:cs="Arial"/>
                      <w:sz w:val="16"/>
                      <w:szCs w:val="16"/>
                      <w:lang w:eastAsia="zh-CN"/>
                    </w:rPr>
                  </w:pPr>
                  <w:r w:rsidRPr="008502DD">
                    <w:rPr>
                      <w:rFonts w:eastAsia="MS Mincho" w:cs="Arial"/>
                      <w:color w:val="000000"/>
                      <w:sz w:val="18"/>
                      <w:szCs w:val="18"/>
                    </w:rPr>
                    <w:t>31-4</w:t>
                  </w:r>
                </w:p>
              </w:tc>
              <w:tc>
                <w:tcPr>
                  <w:tcW w:w="0" w:type="auto"/>
                  <w:tcBorders>
                    <w:top w:val="single" w:sz="4" w:space="0" w:color="auto"/>
                    <w:left w:val="single" w:sz="4" w:space="0" w:color="auto"/>
                    <w:bottom w:val="single" w:sz="4" w:space="0" w:color="auto"/>
                    <w:right w:val="single" w:sz="4" w:space="0" w:color="auto"/>
                  </w:tcBorders>
                </w:tcPr>
                <w:p w14:paraId="277A666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Case 6 timing alignment</w:t>
                  </w:r>
                </w:p>
              </w:tc>
              <w:tc>
                <w:tcPr>
                  <w:tcW w:w="0" w:type="auto"/>
                  <w:tcBorders>
                    <w:top w:val="single" w:sz="4" w:space="0" w:color="auto"/>
                    <w:left w:val="single" w:sz="4" w:space="0" w:color="auto"/>
                    <w:bottom w:val="single" w:sz="4" w:space="0" w:color="auto"/>
                    <w:right w:val="single" w:sz="4" w:space="0" w:color="auto"/>
                  </w:tcBorders>
                </w:tcPr>
                <w:p w14:paraId="1DB8496D" w14:textId="77777777" w:rsidR="00E12232" w:rsidRPr="008502DD" w:rsidRDefault="00E12232" w:rsidP="00E12232">
                  <w:pPr>
                    <w:pStyle w:val="TAL"/>
                    <w:rPr>
                      <w:rFonts w:cs="Arial"/>
                      <w:color w:val="000000"/>
                      <w:szCs w:val="18"/>
                    </w:rPr>
                  </w:pPr>
                  <w:r w:rsidRPr="008502DD">
                    <w:rPr>
                      <w:rFonts w:cs="Arial"/>
                      <w:color w:val="FF0000"/>
                      <w:szCs w:val="18"/>
                      <w:u w:val="single"/>
                    </w:rPr>
                    <w:t>1) </w:t>
                  </w:r>
                  <w:r w:rsidRPr="008502DD">
                    <w:rPr>
                      <w:rFonts w:cs="Arial"/>
                      <w:color w:val="000000"/>
                      <w:szCs w:val="18"/>
                    </w:rPr>
                    <w:t>Support Case 6 timing alignment indication reception</w:t>
                  </w:r>
                </w:p>
                <w:p w14:paraId="41E5AEAB" w14:textId="77777777" w:rsidR="00E12232" w:rsidRPr="008502DD" w:rsidRDefault="00E12232" w:rsidP="00E12232">
                  <w:pPr>
                    <w:pStyle w:val="TAL"/>
                    <w:rPr>
                      <w:rFonts w:cs="Arial"/>
                      <w:color w:val="000000"/>
                      <w:szCs w:val="18"/>
                    </w:rPr>
                  </w:pPr>
                  <w:r w:rsidRPr="008502DD">
                    <w:rPr>
                      <w:rFonts w:cs="Arial"/>
                      <w:color w:val="FF0000"/>
                      <w:szCs w:val="18"/>
                      <w:u w:val="single"/>
                      <w:lang w:eastAsia="zh-CN"/>
                    </w:rPr>
                    <w:t>2</w:t>
                  </w:r>
                  <w:r w:rsidRPr="008502DD">
                    <w:rPr>
                      <w:rFonts w:cs="Arial"/>
                      <w:color w:val="FF0000"/>
                      <w:szCs w:val="18"/>
                      <w:u w:val="single"/>
                    </w:rPr>
                    <w:t>)</w:t>
                  </w:r>
                  <w:r w:rsidRPr="008502DD">
                    <w:rPr>
                      <w:rFonts w:cs="Arial"/>
                      <w:color w:val="FF0000"/>
                      <w:szCs w:val="18"/>
                      <w:u w:val="single"/>
                      <w:lang w:eastAsia="zh-CN"/>
                    </w:rPr>
                    <w:t> Support Case 6 Timing required indication transmission</w:t>
                  </w:r>
                </w:p>
                <w:p w14:paraId="236AA852" w14:textId="77777777" w:rsidR="00E12232" w:rsidRPr="008502DD" w:rsidRDefault="00E12232" w:rsidP="00E12232">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C80F3B" w14:textId="77777777" w:rsidR="00E12232" w:rsidRPr="008502DD" w:rsidRDefault="00E12232" w:rsidP="00E1223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EFD222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14E6BA"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E420E5"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Switching across different timing cases (i.e., Case 1 at IAB-node, Case 6 at IAB-node, and/or Case 7 at the</w:t>
                  </w:r>
                </w:p>
                <w:p w14:paraId="36CEDB4A"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 xml:space="preserve">Parent) is not supported. </w:t>
                  </w:r>
                </w:p>
                <w:p w14:paraId="38BF8784" w14:textId="77777777" w:rsidR="00E12232" w:rsidRPr="008502DD" w:rsidRDefault="00E12232" w:rsidP="00E12232">
                  <w:pPr>
                    <w:pStyle w:val="TAL"/>
                    <w:rPr>
                      <w:rFonts w:cs="Arial"/>
                      <w:color w:val="000000"/>
                      <w:szCs w:val="18"/>
                      <w:lang w:eastAsia="zh-CN"/>
                    </w:rPr>
                  </w:pPr>
                </w:p>
                <w:p w14:paraId="26BEA06E"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When to perform Case 6 timing at the IAB-node cannot be controlled by the parent node.</w:t>
                  </w:r>
                </w:p>
                <w:p w14:paraId="7A1D6EC1" w14:textId="77777777" w:rsidR="00E12232" w:rsidRPr="008502DD" w:rsidRDefault="00E12232" w:rsidP="00E12232">
                  <w:pPr>
                    <w:pStyle w:val="TAL"/>
                    <w:rPr>
                      <w:rFonts w:cs="Arial"/>
                      <w:color w:val="000000"/>
                      <w:szCs w:val="18"/>
                      <w:lang w:eastAsia="zh-CN"/>
                    </w:rPr>
                  </w:pPr>
                  <w:r w:rsidRPr="008502DD">
                    <w:rPr>
                      <w:rFonts w:cs="Arial"/>
                      <w:color w:val="FF0000"/>
                      <w:szCs w:val="18"/>
                      <w:u w:val="single"/>
                      <w:lang w:eastAsia="zh-CN"/>
                    </w:rPr>
                    <w:t>Whether Case 6 timing is required at the IAB node is not known at its parent node.</w:t>
                  </w:r>
                </w:p>
              </w:tc>
              <w:tc>
                <w:tcPr>
                  <w:tcW w:w="0" w:type="auto"/>
                  <w:tcBorders>
                    <w:top w:val="single" w:sz="4" w:space="0" w:color="auto"/>
                    <w:left w:val="single" w:sz="4" w:space="0" w:color="auto"/>
                    <w:bottom w:val="single" w:sz="4" w:space="0" w:color="auto"/>
                    <w:right w:val="single" w:sz="4" w:space="0" w:color="auto"/>
                  </w:tcBorders>
                </w:tcPr>
                <w:p w14:paraId="562ED74D"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5E06821B"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ABA3D8B"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5D7E161"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15EDFE96"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664C8AB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rPr>
                    <w:t>Optional with capability signalling.</w:t>
                  </w:r>
                </w:p>
              </w:tc>
            </w:tr>
          </w:tbl>
          <w:p w14:paraId="1B1617E8" w14:textId="77777777" w:rsidR="00577143" w:rsidRPr="00434D06" w:rsidRDefault="00577143" w:rsidP="00275D7B">
            <w:pPr>
              <w:spacing w:beforeLines="50" w:before="120"/>
              <w:jc w:val="left"/>
              <w:rPr>
                <w:rFonts w:ascii="Calibri" w:hAnsi="Calibri" w:cs="Calibri"/>
                <w:color w:val="000000"/>
              </w:rPr>
            </w:pPr>
          </w:p>
        </w:tc>
      </w:tr>
      <w:tr w:rsidR="008F6741" w:rsidRPr="00434D06" w14:paraId="0F8418B6" w14:textId="77777777" w:rsidTr="004D050E">
        <w:tc>
          <w:tcPr>
            <w:tcW w:w="1818" w:type="dxa"/>
            <w:tcBorders>
              <w:top w:val="single" w:sz="4" w:space="0" w:color="auto"/>
              <w:left w:val="single" w:sz="4" w:space="0" w:color="auto"/>
              <w:bottom w:val="single" w:sz="4" w:space="0" w:color="auto"/>
              <w:right w:val="single" w:sz="4" w:space="0" w:color="auto"/>
            </w:tcBorders>
          </w:tcPr>
          <w:p w14:paraId="009EE904" w14:textId="194C8B4B" w:rsidR="008F6741" w:rsidRPr="008F6741" w:rsidRDefault="008F6741" w:rsidP="00275D7B">
            <w:pPr>
              <w:jc w:val="left"/>
              <w:rPr>
                <w:rFonts w:ascii="Calibri" w:hAnsi="Calibri" w:cs="Calibri"/>
                <w:color w:val="000000"/>
              </w:rPr>
            </w:pPr>
            <w:r>
              <w:rPr>
                <w:rFonts w:ascii="Calibri" w:hAnsi="Calibri" w:cs="Calibri"/>
                <w:color w:val="000000"/>
              </w:rPr>
              <w:t xml:space="preserve">Ericsson </w:t>
            </w:r>
            <w:r>
              <w:rPr>
                <w:rFonts w:ascii="Calibri" w:hAnsi="Calibri" w:cs="Calibri"/>
                <w:color w:val="000000"/>
              </w:rPr>
              <w:fldChar w:fldCharType="begin"/>
            </w:r>
            <w:r>
              <w:rPr>
                <w:rFonts w:ascii="Calibri" w:hAnsi="Calibri" w:cs="Calibri"/>
                <w:color w:val="000000"/>
              </w:rPr>
              <w:instrText xml:space="preserve"> REF _Ref102383617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[3]</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A3AE78" w14:textId="77777777" w:rsidR="00E12232" w:rsidRPr="00087AB3" w:rsidRDefault="00E12232" w:rsidP="00E12232">
            <w:pPr>
              <w:rPr>
                <w:rFonts w:cs="Arial"/>
              </w:rPr>
            </w:pPr>
            <w:r w:rsidRPr="00087AB3">
              <w:rPr>
                <w:rFonts w:cs="Arial"/>
              </w:rPr>
              <w:t>In RAN1#10</w:t>
            </w:r>
            <w:r>
              <w:rPr>
                <w:rFonts w:cs="Arial"/>
              </w:rPr>
              <w:t>7-</w:t>
            </w:r>
            <w:r w:rsidRPr="00087AB3">
              <w:rPr>
                <w:rFonts w:cs="Arial"/>
              </w:rPr>
              <w:t xml:space="preserve">e, the following </w:t>
            </w:r>
            <w:r>
              <w:rPr>
                <w:rFonts w:cs="Arial"/>
              </w:rPr>
              <w:t>agreements on Case 6 timing alignment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2A5080" w:rsidRPr="00087AB3" w14:paraId="55CC1D49" w14:textId="77777777" w:rsidTr="002A5080">
              <w:tc>
                <w:tcPr>
                  <w:tcW w:w="0" w:type="auto"/>
                  <w:shd w:val="clear" w:color="auto" w:fill="auto"/>
                </w:tcPr>
                <w:p w14:paraId="45692A01" w14:textId="77777777" w:rsidR="00E12232" w:rsidRPr="002A5080" w:rsidRDefault="00E12232" w:rsidP="00E12232">
                  <w:pPr>
                    <w:rPr>
                      <w:rFonts w:cs="Arial"/>
                      <w:b/>
                      <w:bCs/>
                      <w:highlight w:val="green"/>
                      <w:lang w:val="en-GB"/>
                    </w:rPr>
                  </w:pPr>
                  <w:r w:rsidRPr="002A5080">
                    <w:rPr>
                      <w:rFonts w:cs="Arial"/>
                      <w:b/>
                      <w:bCs/>
                      <w:highlight w:val="green"/>
                      <w:lang w:val="en-GB"/>
                    </w:rPr>
                    <w:t>Agreement:</w:t>
                  </w:r>
                </w:p>
                <w:p w14:paraId="6E7D3E4E" w14:textId="77777777" w:rsidR="00E12232" w:rsidRPr="002A5080" w:rsidRDefault="00E12232" w:rsidP="00E12232">
                  <w:pPr>
                    <w:rPr>
                      <w:rFonts w:cs="Arial"/>
                      <w:lang w:val="en-GB"/>
                    </w:rPr>
                  </w:pPr>
                  <w:r w:rsidRPr="002A5080">
                    <w:rPr>
                      <w:rFonts w:cs="Arial"/>
                      <w:lang w:val="en-GB"/>
                    </w:rPr>
                    <w:lastRenderedPageBreak/>
                    <w:t>A child IAB-MT can inform a parent node via MAC-CE whether Case 6 timing is required for simultaneous operation.</w:t>
                  </w:r>
                </w:p>
              </w:tc>
            </w:tr>
          </w:tbl>
          <w:p w14:paraId="128C698A" w14:textId="77777777" w:rsidR="00E12232" w:rsidRPr="00036939" w:rsidRDefault="00E12232" w:rsidP="00E12232">
            <w:pPr>
              <w:spacing w:before="240"/>
              <w:rPr>
                <w:lang w:val="en-GB" w:eastAsia="ja-JP"/>
              </w:rPr>
            </w:pPr>
            <w:r>
              <w:rPr>
                <w:lang w:eastAsia="ja-JP"/>
              </w:rPr>
              <w:lastRenderedPageBreak/>
              <w:t xml:space="preserve">To reflect the above RAN1 agreement, in the RAN1#108-e meeting, there was a proposal to introduce a second FG sub-component, namely “Support signaling to the parent-node that Case 6 Timing Mode is required for simultaneous transmission”. The proposal was supported by 4 companies and there was no concern raised by any other company. However, this consensus was neither captured in the agreements by the First Check Point, nor by the Final Check Point. </w:t>
            </w:r>
            <w:r w:rsidRPr="00036939">
              <w:rPr>
                <w:lang w:val="en-GB" w:eastAsia="ja-JP"/>
              </w:rPr>
              <w:t xml:space="preserve">Based on the above </w:t>
            </w:r>
            <w:r>
              <w:rPr>
                <w:lang w:val="en-GB" w:eastAsia="ja-JP"/>
              </w:rPr>
              <w:t>observation,</w:t>
            </w:r>
            <w:r w:rsidRPr="00036939">
              <w:rPr>
                <w:lang w:val="en-GB" w:eastAsia="ja-JP"/>
              </w:rPr>
              <w:t xml:space="preserve"> the components in FG 31-4 Case 6 timing alignment should include</w:t>
            </w:r>
            <w:r>
              <w:rPr>
                <w:lang w:val="en-GB" w:eastAsia="ja-JP"/>
              </w:rPr>
              <w:t xml:space="preserve"> a component 2) that is marked in red below</w:t>
            </w:r>
            <w:r w:rsidRPr="00036939">
              <w:rPr>
                <w:lang w:val="en-GB" w:eastAsia="ja-JP"/>
              </w:rPr>
              <w:t xml:space="preserve">: </w:t>
            </w:r>
          </w:p>
          <w:p w14:paraId="2FB99BD1" w14:textId="77777777" w:rsidR="00E12232" w:rsidRPr="00E12232" w:rsidRDefault="00E12232" w:rsidP="002A5080">
            <w:pPr>
              <w:pStyle w:val="TAL"/>
              <w:numPr>
                <w:ilvl w:val="0"/>
                <w:numId w:val="12"/>
              </w:numPr>
              <w:overflowPunct/>
              <w:autoSpaceDE/>
              <w:autoSpaceDN/>
              <w:adjustRightInd/>
              <w:spacing w:line="259" w:lineRule="auto"/>
              <w:jc w:val="both"/>
              <w:textAlignment w:val="auto"/>
              <w:rPr>
                <w:rFonts w:cs="Arial"/>
                <w:color w:val="000000"/>
                <w:sz w:val="20"/>
              </w:rPr>
            </w:pPr>
            <w:r w:rsidRPr="005C1731">
              <w:rPr>
                <w:rFonts w:cs="Arial"/>
                <w:color w:val="000000"/>
                <w:sz w:val="20"/>
              </w:rPr>
              <w:t>Support Case 6 timing alignment indication reception</w:t>
            </w:r>
          </w:p>
          <w:p w14:paraId="7E9B5BBE" w14:textId="77777777" w:rsidR="00E12232" w:rsidRPr="00F47B84" w:rsidRDefault="00E12232" w:rsidP="002A5080">
            <w:pPr>
              <w:pStyle w:val="TAL"/>
              <w:numPr>
                <w:ilvl w:val="0"/>
                <w:numId w:val="12"/>
              </w:numPr>
              <w:overflowPunct/>
              <w:autoSpaceDE/>
              <w:autoSpaceDN/>
              <w:adjustRightInd/>
              <w:spacing w:line="259" w:lineRule="auto"/>
              <w:jc w:val="both"/>
              <w:textAlignment w:val="auto"/>
              <w:rPr>
                <w:rFonts w:cs="Arial"/>
                <w:color w:val="FF0000"/>
                <w:sz w:val="20"/>
              </w:rPr>
            </w:pPr>
            <w:r w:rsidRPr="00F47B84">
              <w:rPr>
                <w:rFonts w:cs="Arial"/>
                <w:color w:val="FF0000"/>
                <w:sz w:val="20"/>
              </w:rPr>
              <w:t>Support signalling to the parent-node that Case 6 Timing Mode is required for simultaneous transmission</w:t>
            </w:r>
          </w:p>
          <w:p w14:paraId="291B786B" w14:textId="77777777" w:rsidR="00E12232" w:rsidRDefault="00E12232" w:rsidP="00E12232">
            <w:pPr>
              <w:rPr>
                <w:rFonts w:cs="Arial"/>
              </w:rPr>
            </w:pPr>
          </w:p>
          <w:p w14:paraId="1DE76608" w14:textId="77777777" w:rsidR="00E12232" w:rsidRPr="00015BE1" w:rsidRDefault="00E12232" w:rsidP="00E12232">
            <w:pPr>
              <w:rPr>
                <w:rFonts w:cs="Arial"/>
              </w:rPr>
            </w:pPr>
            <w:r w:rsidRPr="00087AB3">
              <w:rPr>
                <w:rFonts w:cs="Arial"/>
              </w:rPr>
              <w:t>In RAN1#10</w:t>
            </w:r>
            <w:r>
              <w:rPr>
                <w:rFonts w:cs="Arial"/>
              </w:rPr>
              <w:t>8-</w:t>
            </w:r>
            <w:r w:rsidRPr="00087AB3">
              <w:rPr>
                <w:rFonts w:cs="Arial"/>
              </w:rPr>
              <w:t>e,</w:t>
            </w:r>
            <w:r>
              <w:rPr>
                <w:rFonts w:cs="Arial"/>
              </w:rPr>
              <w:t xml:space="preserve"> a new FG 31-10 was agreed on to be used by the IAB-node to report support of updated </w:t>
            </w:r>
            <w:proofErr w:type="spellStart"/>
            <w:r>
              <w:rPr>
                <w:rFonts w:cs="Arial"/>
              </w:rPr>
              <w:t>T_delta</w:t>
            </w:r>
            <w:proofErr w:type="spellEnd"/>
            <w:r>
              <w:rPr>
                <w:rFonts w:cs="Arial"/>
              </w:rPr>
              <w:t xml:space="preserve"> range reception. However, since the previous agreed list has only 8 FGs, we propose to change the numbering from FG 31-10 to FG 31-9. </w:t>
            </w:r>
          </w:p>
          <w:p w14:paraId="51420D7B" w14:textId="77777777" w:rsidR="00E12232" w:rsidRPr="000262B7" w:rsidRDefault="00E12232" w:rsidP="00E12232">
            <w:pPr>
              <w:rPr>
                <w:lang w:val="en-GB" w:eastAsia="ja-JP"/>
              </w:rPr>
            </w:pPr>
            <w:r>
              <w:rPr>
                <w:lang w:val="en-GB" w:eastAsia="ja-JP"/>
              </w:rPr>
              <w:t xml:space="preserve">Based on the above discussions on the feature groups FG31-4 to FG31-10, we propose the following update to the UE features for Rel-17 </w:t>
            </w:r>
            <w:proofErr w:type="spellStart"/>
            <w:r>
              <w:rPr>
                <w:lang w:val="en-GB" w:eastAsia="ja-JP"/>
              </w:rPr>
              <w:t>eIAB</w:t>
            </w:r>
            <w:proofErr w:type="spellEnd"/>
            <w:r>
              <w:rPr>
                <w:lang w:val="en-GB" w:eastAsia="ja-JP"/>
              </w:rPr>
              <w:t>:</w:t>
            </w:r>
          </w:p>
          <w:p w14:paraId="6E0C19F2" w14:textId="77777777" w:rsidR="00E12232" w:rsidRDefault="00E12232" w:rsidP="00E12232">
            <w:pPr>
              <w:pStyle w:val="Proposal"/>
              <w:tabs>
                <w:tab w:val="clear" w:pos="256"/>
                <w:tab w:val="clear" w:pos="936"/>
              </w:tabs>
              <w:spacing w:after="0"/>
              <w:ind w:left="1304" w:hanging="1304"/>
            </w:pPr>
            <w:bookmarkStart w:id="2" w:name="_Toc101792120"/>
            <w:r>
              <w:t xml:space="preserve">RAN1 to agree on the updated UE features for Rel-17 </w:t>
            </w:r>
            <w:proofErr w:type="spellStart"/>
            <w:r>
              <w:t>eIAB</w:t>
            </w:r>
            <w:proofErr w:type="spellEnd"/>
            <w:r>
              <w:t xml:space="preserve"> as presented in the Appendix.</w:t>
            </w:r>
            <w:bookmarkEnd w:id="2"/>
            <w:r>
              <w:t xml:space="preserve"> </w:t>
            </w:r>
          </w:p>
          <w:p w14:paraId="614C5931" w14:textId="77777777" w:rsidR="00E12232" w:rsidRDefault="00E12232" w:rsidP="00E12232">
            <w:pPr>
              <w:pStyle w:val="Proposal"/>
              <w:numPr>
                <w:ilvl w:val="0"/>
                <w:numId w:val="0"/>
              </w:numPr>
              <w:spacing w:after="0"/>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18"/>
              <w:gridCol w:w="1471"/>
              <w:gridCol w:w="4363"/>
              <w:gridCol w:w="222"/>
              <w:gridCol w:w="527"/>
              <w:gridCol w:w="517"/>
              <w:gridCol w:w="4232"/>
              <w:gridCol w:w="885"/>
              <w:gridCol w:w="447"/>
              <w:gridCol w:w="447"/>
              <w:gridCol w:w="2460"/>
              <w:gridCol w:w="1019"/>
              <w:gridCol w:w="1797"/>
            </w:tblGrid>
            <w:tr w:rsidR="00E12232" w:rsidRPr="0018018C" w14:paraId="35FAD8E4" w14:textId="77777777" w:rsidTr="00081FDD">
              <w:trPr>
                <w:trHeight w:val="20"/>
              </w:trPr>
              <w:tc>
                <w:tcPr>
                  <w:tcW w:w="0" w:type="auto"/>
                  <w:tcBorders>
                    <w:top w:val="single" w:sz="4" w:space="0" w:color="auto"/>
                    <w:left w:val="single" w:sz="4" w:space="0" w:color="auto"/>
                    <w:bottom w:val="single" w:sz="4" w:space="0" w:color="auto"/>
                    <w:right w:val="single" w:sz="4" w:space="0" w:color="auto"/>
                  </w:tcBorders>
                </w:tcPr>
                <w:p w14:paraId="49068571" w14:textId="77777777" w:rsidR="00E12232" w:rsidRPr="00E12232" w:rsidRDefault="00E12232" w:rsidP="00E12232">
                  <w:pPr>
                    <w:rPr>
                      <w:color w:val="000000"/>
                      <w:sz w:val="18"/>
                      <w:szCs w:val="18"/>
                    </w:rPr>
                  </w:pPr>
                  <w:r>
                    <w:rPr>
                      <w:rFonts w:eastAsia="MS Mincho" w:cs="Arial"/>
                      <w:color w:val="000000"/>
                      <w:sz w:val="18"/>
                      <w:szCs w:val="18"/>
                    </w:rPr>
                    <w:t xml:space="preserve">31. </w:t>
                  </w:r>
                  <w:proofErr w:type="spellStart"/>
                  <w:r>
                    <w:rPr>
                      <w:rFonts w:eastAsia="MS Mincho" w:cs="Arial"/>
                      <w:color w:val="000000"/>
                      <w:sz w:val="18"/>
                      <w:szCs w:val="18"/>
                    </w:rPr>
                    <w:t>NR_IAB_enh</w:t>
                  </w:r>
                  <w:proofErr w:type="spellEnd"/>
                </w:p>
              </w:tc>
              <w:tc>
                <w:tcPr>
                  <w:tcW w:w="0" w:type="auto"/>
                  <w:tcBorders>
                    <w:top w:val="single" w:sz="4" w:space="0" w:color="auto"/>
                    <w:left w:val="single" w:sz="4" w:space="0" w:color="auto"/>
                    <w:bottom w:val="single" w:sz="4" w:space="0" w:color="auto"/>
                    <w:right w:val="single" w:sz="4" w:space="0" w:color="auto"/>
                  </w:tcBorders>
                </w:tcPr>
                <w:p w14:paraId="1A3A1552" w14:textId="77777777" w:rsidR="00E12232" w:rsidRPr="00E12232" w:rsidRDefault="00E12232" w:rsidP="00E12232">
                  <w:pPr>
                    <w:rPr>
                      <w:rFonts w:eastAsia="MS Mincho"/>
                      <w:color w:val="000000"/>
                      <w:sz w:val="18"/>
                      <w:szCs w:val="18"/>
                    </w:rPr>
                  </w:pPr>
                  <w:r>
                    <w:rPr>
                      <w:rFonts w:eastAsia="MS Mincho" w:cs="Arial"/>
                      <w:color w:val="000000"/>
                      <w:sz w:val="18"/>
                      <w:szCs w:val="18"/>
                    </w:rPr>
                    <w:t>31-4</w:t>
                  </w:r>
                </w:p>
              </w:tc>
              <w:tc>
                <w:tcPr>
                  <w:tcW w:w="0" w:type="auto"/>
                  <w:tcBorders>
                    <w:top w:val="single" w:sz="4" w:space="0" w:color="auto"/>
                    <w:left w:val="single" w:sz="4" w:space="0" w:color="auto"/>
                    <w:bottom w:val="single" w:sz="4" w:space="0" w:color="auto"/>
                    <w:right w:val="single" w:sz="4" w:space="0" w:color="auto"/>
                  </w:tcBorders>
                </w:tcPr>
                <w:p w14:paraId="4150B964"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Case 6 timing alignment</w:t>
                  </w:r>
                </w:p>
              </w:tc>
              <w:tc>
                <w:tcPr>
                  <w:tcW w:w="0" w:type="auto"/>
                  <w:tcBorders>
                    <w:top w:val="single" w:sz="4" w:space="0" w:color="auto"/>
                    <w:left w:val="single" w:sz="4" w:space="0" w:color="auto"/>
                    <w:bottom w:val="single" w:sz="4" w:space="0" w:color="auto"/>
                    <w:right w:val="single" w:sz="4" w:space="0" w:color="auto"/>
                  </w:tcBorders>
                </w:tcPr>
                <w:p w14:paraId="50E4F98F" w14:textId="77777777" w:rsidR="00E12232" w:rsidRDefault="00E12232" w:rsidP="00E12232">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Pr>
                      <w:rFonts w:ascii="Arial" w:hAnsi="Arial" w:cs="Arial"/>
                      <w:color w:val="000000"/>
                      <w:sz w:val="18"/>
                      <w:szCs w:val="18"/>
                    </w:rPr>
                    <w:t>Support Case 6 timing alignment</w:t>
                  </w:r>
                  <w:r>
                    <w:rPr>
                      <w:rFonts w:ascii="Arial" w:hAnsi="Arial" w:cs="Arial"/>
                      <w:color w:val="FF0000"/>
                      <w:sz w:val="18"/>
                      <w:szCs w:val="18"/>
                    </w:rPr>
                    <w:t xml:space="preserve"> </w:t>
                  </w:r>
                  <w:r>
                    <w:rPr>
                      <w:rFonts w:ascii="Arial" w:hAnsi="Arial" w:cs="Arial"/>
                      <w:color w:val="000000"/>
                      <w:sz w:val="18"/>
                      <w:szCs w:val="18"/>
                    </w:rPr>
                    <w:t xml:space="preserve">indication reception </w:t>
                  </w:r>
                </w:p>
                <w:p w14:paraId="7B46C0AE" w14:textId="77777777" w:rsidR="00E12232" w:rsidRPr="00E12232" w:rsidRDefault="00E12232" w:rsidP="00E12232">
                  <w:pPr>
                    <w:pStyle w:val="TAL"/>
                    <w:rPr>
                      <w:rFonts w:cs="Arial"/>
                      <w:color w:val="000000"/>
                      <w:szCs w:val="18"/>
                    </w:rPr>
                  </w:pPr>
                  <w:r>
                    <w:rPr>
                      <w:rFonts w:cs="Arial"/>
                      <w:color w:val="FF0000"/>
                    </w:rPr>
                    <w:t>2) Support signalling to the parent-node that Case 6 Timing Mode is required for simultaneous transmission</w:t>
                  </w:r>
                </w:p>
              </w:tc>
              <w:tc>
                <w:tcPr>
                  <w:tcW w:w="0" w:type="auto"/>
                  <w:tcBorders>
                    <w:top w:val="single" w:sz="4" w:space="0" w:color="auto"/>
                    <w:left w:val="single" w:sz="4" w:space="0" w:color="auto"/>
                    <w:bottom w:val="single" w:sz="4" w:space="0" w:color="auto"/>
                    <w:right w:val="single" w:sz="4" w:space="0" w:color="auto"/>
                  </w:tcBorders>
                </w:tcPr>
                <w:p w14:paraId="645ADC54" w14:textId="77777777" w:rsidR="00E12232" w:rsidRPr="00E12232" w:rsidRDefault="00E12232" w:rsidP="00E12232">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CC36BF1"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10C5D5"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24894" w14:textId="77777777" w:rsidR="00E12232" w:rsidRDefault="00E12232" w:rsidP="00E12232">
                  <w:pPr>
                    <w:pStyle w:val="TAL"/>
                    <w:rPr>
                      <w:rFonts w:cs="Arial"/>
                      <w:color w:val="000000"/>
                      <w:szCs w:val="18"/>
                      <w:lang w:eastAsia="zh-CN"/>
                    </w:rPr>
                  </w:pPr>
                  <w:r>
                    <w:rPr>
                      <w:rFonts w:cs="Arial"/>
                      <w:color w:val="000000"/>
                      <w:szCs w:val="18"/>
                      <w:lang w:eastAsia="zh-CN"/>
                    </w:rPr>
                    <w:t>Switching across different timing cases (i.e., Case 1 at IAB-node, Case 6 at IAB-node, and/or Case 7 at the</w:t>
                  </w:r>
                </w:p>
                <w:p w14:paraId="47274B8E" w14:textId="77777777" w:rsidR="00E12232" w:rsidRDefault="00E12232" w:rsidP="00E12232">
                  <w:pPr>
                    <w:pStyle w:val="TAL"/>
                    <w:rPr>
                      <w:rFonts w:cs="Arial"/>
                      <w:color w:val="000000"/>
                      <w:szCs w:val="18"/>
                      <w:lang w:eastAsia="zh-CN"/>
                    </w:rPr>
                  </w:pPr>
                  <w:r>
                    <w:rPr>
                      <w:rFonts w:cs="Arial"/>
                      <w:color w:val="000000"/>
                      <w:szCs w:val="18"/>
                      <w:lang w:eastAsia="zh-CN"/>
                    </w:rPr>
                    <w:t xml:space="preserve">Parent) is not supported. </w:t>
                  </w:r>
                </w:p>
                <w:p w14:paraId="498A4EBE" w14:textId="77777777" w:rsidR="00E12232" w:rsidRDefault="00E12232" w:rsidP="00E12232">
                  <w:pPr>
                    <w:pStyle w:val="TAL"/>
                    <w:rPr>
                      <w:rFonts w:cs="Arial"/>
                      <w:color w:val="000000"/>
                      <w:szCs w:val="18"/>
                      <w:lang w:eastAsia="zh-CN"/>
                    </w:rPr>
                  </w:pPr>
                </w:p>
                <w:p w14:paraId="59FBA5CA"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When to perform Case 6 timing at the IAB-node cannot be controlled by the parent node.</w:t>
                  </w:r>
                </w:p>
              </w:tc>
              <w:tc>
                <w:tcPr>
                  <w:tcW w:w="0" w:type="auto"/>
                  <w:tcBorders>
                    <w:top w:val="single" w:sz="4" w:space="0" w:color="auto"/>
                    <w:left w:val="single" w:sz="4" w:space="0" w:color="auto"/>
                    <w:bottom w:val="single" w:sz="4" w:space="0" w:color="auto"/>
                    <w:right w:val="single" w:sz="4" w:space="0" w:color="auto"/>
                  </w:tcBorders>
                </w:tcPr>
                <w:p w14:paraId="26141D43"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6CB355E0"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6F2579B"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A179813"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4631BE4F"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D5EB962" w14:textId="77777777" w:rsidR="00E12232" w:rsidRPr="00E12232" w:rsidRDefault="00E12232" w:rsidP="00E12232">
                  <w:pPr>
                    <w:pStyle w:val="TAL"/>
                    <w:rPr>
                      <w:rFonts w:ascii="Times New Roman" w:hAnsi="Times New Roman"/>
                      <w:color w:val="000000"/>
                      <w:szCs w:val="18"/>
                    </w:rPr>
                  </w:pPr>
                  <w:r>
                    <w:rPr>
                      <w:rFonts w:cs="Arial"/>
                      <w:color w:val="000000"/>
                      <w:szCs w:val="18"/>
                    </w:rPr>
                    <w:t>Optional with capability signalling.</w:t>
                  </w:r>
                </w:p>
              </w:tc>
            </w:tr>
          </w:tbl>
          <w:p w14:paraId="6B5DFB71" w14:textId="77777777" w:rsidR="008F6741" w:rsidRPr="00434D06" w:rsidRDefault="008F6741" w:rsidP="00275D7B">
            <w:pPr>
              <w:spacing w:beforeLines="50" w:before="120"/>
              <w:jc w:val="left"/>
              <w:rPr>
                <w:rFonts w:ascii="Calibri" w:hAnsi="Calibri" w:cs="Calibri"/>
                <w:color w:val="000000"/>
              </w:rPr>
            </w:pPr>
          </w:p>
        </w:tc>
      </w:tr>
    </w:tbl>
    <w:p w14:paraId="72455687" w14:textId="77777777" w:rsidR="00E12232" w:rsidRPr="00E12232" w:rsidRDefault="00E12232" w:rsidP="004D050E">
      <w:pPr>
        <w:pStyle w:val="maintext"/>
        <w:ind w:firstLineChars="90" w:firstLine="180"/>
        <w:rPr>
          <w:rFonts w:ascii="Calibri" w:hAnsi="Calibri" w:cs="Arial"/>
        </w:rPr>
      </w:pPr>
    </w:p>
    <w:p w14:paraId="64566096" w14:textId="0F56056A" w:rsidR="00577143" w:rsidRPr="00434D06" w:rsidRDefault="00016F79" w:rsidP="002A5080">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3"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7F79DDFA" w:rsidR="00BB299B" w:rsidRPr="00BB299B" w:rsidRDefault="004D050E" w:rsidP="002A5080">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E12232">
        <w:rPr>
          <w:color w:val="000000"/>
        </w:rPr>
        <w:t>31-4</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29"/>
        <w:gridCol w:w="1590"/>
        <w:gridCol w:w="5138"/>
        <w:gridCol w:w="222"/>
        <w:gridCol w:w="527"/>
        <w:gridCol w:w="517"/>
        <w:gridCol w:w="5026"/>
        <w:gridCol w:w="952"/>
        <w:gridCol w:w="447"/>
        <w:gridCol w:w="447"/>
        <w:gridCol w:w="2711"/>
        <w:gridCol w:w="1087"/>
        <w:gridCol w:w="1992"/>
      </w:tblGrid>
      <w:tr w:rsidR="00E12232" w:rsidRPr="00135CEC" w14:paraId="767836CF" w14:textId="77777777" w:rsidTr="00135CEC">
        <w:tc>
          <w:tcPr>
            <w:tcW w:w="0" w:type="auto"/>
            <w:shd w:val="clear" w:color="auto" w:fill="auto"/>
          </w:tcPr>
          <w:p w14:paraId="6319A02D" w14:textId="10B4E12B" w:rsidR="00E12232" w:rsidRPr="00135CEC" w:rsidRDefault="00E12232" w:rsidP="00E12232">
            <w:pPr>
              <w:pStyle w:val="maintext"/>
              <w:ind w:firstLineChars="0" w:firstLine="0"/>
              <w:jc w:val="left"/>
              <w:rPr>
                <w:rFonts w:ascii="Arial" w:hAnsi="Arial" w:cs="Arial"/>
                <w:sz w:val="18"/>
              </w:rPr>
            </w:pPr>
            <w:r w:rsidRPr="002A5080">
              <w:rPr>
                <w:rFonts w:ascii="Arial" w:eastAsia="MS Mincho" w:hAnsi="Arial" w:cs="Arial"/>
                <w:color w:val="000000"/>
                <w:sz w:val="18"/>
                <w:szCs w:val="18"/>
              </w:rPr>
              <w:t xml:space="preserve">31. </w:t>
            </w:r>
            <w:proofErr w:type="spellStart"/>
            <w:r w:rsidRPr="002A5080">
              <w:rPr>
                <w:rFonts w:ascii="Arial" w:eastAsia="MS Mincho" w:hAnsi="Arial" w:cs="Arial"/>
                <w:color w:val="000000"/>
                <w:sz w:val="18"/>
                <w:szCs w:val="18"/>
              </w:rPr>
              <w:t>NR_IAB_enh</w:t>
            </w:r>
            <w:proofErr w:type="spellEnd"/>
          </w:p>
        </w:tc>
        <w:tc>
          <w:tcPr>
            <w:tcW w:w="0" w:type="auto"/>
            <w:shd w:val="clear" w:color="auto" w:fill="auto"/>
          </w:tcPr>
          <w:p w14:paraId="6922B93C" w14:textId="062EF2E2" w:rsidR="00E12232" w:rsidRPr="00135CEC" w:rsidRDefault="00E12232" w:rsidP="00E12232">
            <w:pPr>
              <w:pStyle w:val="maintext"/>
              <w:ind w:firstLineChars="0" w:firstLine="0"/>
              <w:jc w:val="left"/>
              <w:rPr>
                <w:rFonts w:ascii="Arial" w:hAnsi="Arial" w:cs="Arial"/>
                <w:sz w:val="18"/>
              </w:rPr>
            </w:pPr>
            <w:r w:rsidRPr="002A5080">
              <w:rPr>
                <w:rFonts w:ascii="Arial" w:eastAsia="MS Mincho" w:hAnsi="Arial" w:cs="Arial"/>
                <w:color w:val="000000"/>
                <w:sz w:val="18"/>
                <w:szCs w:val="18"/>
              </w:rPr>
              <w:t>31-4</w:t>
            </w:r>
          </w:p>
        </w:tc>
        <w:tc>
          <w:tcPr>
            <w:tcW w:w="0" w:type="auto"/>
            <w:shd w:val="clear" w:color="auto" w:fill="auto"/>
          </w:tcPr>
          <w:p w14:paraId="7429194C" w14:textId="52288DC9"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Case 6 timing alignment</w:t>
            </w:r>
          </w:p>
        </w:tc>
        <w:tc>
          <w:tcPr>
            <w:tcW w:w="0" w:type="auto"/>
            <w:shd w:val="clear" w:color="auto" w:fill="auto"/>
          </w:tcPr>
          <w:p w14:paraId="38DA93F4" w14:textId="77777777" w:rsidR="00E12232" w:rsidRPr="002A5080" w:rsidRDefault="00E12232" w:rsidP="00E12232">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sidRPr="002A5080">
              <w:rPr>
                <w:rFonts w:ascii="Arial" w:hAnsi="Arial" w:cs="Arial"/>
                <w:color w:val="000000"/>
                <w:sz w:val="18"/>
                <w:szCs w:val="18"/>
              </w:rPr>
              <w:t>Support Case 6 timing alignment indication reception</w:t>
            </w:r>
          </w:p>
          <w:p w14:paraId="67BC6507" w14:textId="4CAC5360" w:rsidR="00E12232" w:rsidRPr="00E12232" w:rsidRDefault="00E12232" w:rsidP="00E12232">
            <w:pPr>
              <w:pStyle w:val="maintext"/>
              <w:ind w:firstLineChars="0" w:firstLine="0"/>
              <w:jc w:val="left"/>
              <w:rPr>
                <w:rFonts w:ascii="Arial" w:hAnsi="Arial" w:cs="Arial"/>
                <w:color w:val="FF0000"/>
                <w:sz w:val="18"/>
              </w:rPr>
            </w:pPr>
            <w:r w:rsidRPr="00E12232">
              <w:rPr>
                <w:rFonts w:ascii="Arial" w:hAnsi="Arial" w:cs="Arial"/>
                <w:color w:val="FF0000"/>
                <w:sz w:val="18"/>
              </w:rPr>
              <w:t>2) Support signalling to the parent-node that Case 6 Timing Mode is required for simultaneous transmission</w:t>
            </w:r>
          </w:p>
        </w:tc>
        <w:tc>
          <w:tcPr>
            <w:tcW w:w="0" w:type="auto"/>
            <w:shd w:val="clear" w:color="auto" w:fill="auto"/>
          </w:tcPr>
          <w:p w14:paraId="417CB774" w14:textId="77777777" w:rsidR="00E12232" w:rsidRPr="00135CEC" w:rsidRDefault="00E12232" w:rsidP="00E12232">
            <w:pPr>
              <w:pStyle w:val="maintext"/>
              <w:ind w:firstLineChars="0" w:firstLine="0"/>
              <w:jc w:val="left"/>
              <w:rPr>
                <w:rFonts w:ascii="Arial" w:hAnsi="Arial" w:cs="Arial"/>
                <w:sz w:val="18"/>
              </w:rPr>
            </w:pPr>
          </w:p>
        </w:tc>
        <w:tc>
          <w:tcPr>
            <w:tcW w:w="0" w:type="auto"/>
            <w:shd w:val="clear" w:color="auto" w:fill="auto"/>
          </w:tcPr>
          <w:p w14:paraId="6896A4EB" w14:textId="7F1C5B81"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Yes</w:t>
            </w:r>
          </w:p>
        </w:tc>
        <w:tc>
          <w:tcPr>
            <w:tcW w:w="0" w:type="auto"/>
            <w:shd w:val="clear" w:color="auto" w:fill="auto"/>
          </w:tcPr>
          <w:p w14:paraId="7641CC05" w14:textId="7DEF66C2"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N/A</w:t>
            </w:r>
          </w:p>
        </w:tc>
        <w:tc>
          <w:tcPr>
            <w:tcW w:w="0" w:type="auto"/>
            <w:shd w:val="clear" w:color="auto" w:fill="auto"/>
          </w:tcPr>
          <w:p w14:paraId="64462D44"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Switching across different timing cases (i.e., Case 1 at IAB-node, Case 6 at IAB-node, and/or Case 7 at the</w:t>
            </w:r>
          </w:p>
          <w:p w14:paraId="7D0F08FD" w14:textId="4482890B" w:rsidR="00E12232" w:rsidRPr="002A5080" w:rsidRDefault="00E12232" w:rsidP="00E12232">
            <w:pPr>
              <w:pStyle w:val="TAL"/>
              <w:rPr>
                <w:rFonts w:cs="Arial"/>
                <w:color w:val="000000"/>
                <w:szCs w:val="18"/>
                <w:lang w:eastAsia="zh-CN"/>
              </w:rPr>
            </w:pPr>
            <w:r w:rsidRPr="002A5080">
              <w:rPr>
                <w:rFonts w:cs="Arial"/>
                <w:color w:val="000000"/>
                <w:szCs w:val="18"/>
                <w:lang w:eastAsia="zh-CN"/>
              </w:rPr>
              <w:t xml:space="preserve">Parent) is not supported. </w:t>
            </w:r>
          </w:p>
          <w:p w14:paraId="3668E1C5" w14:textId="0DAD181B" w:rsidR="00E12232" w:rsidRPr="002A5080" w:rsidRDefault="00E12232" w:rsidP="00E12232">
            <w:pPr>
              <w:pStyle w:val="maintext"/>
              <w:ind w:firstLineChars="0" w:firstLine="0"/>
              <w:jc w:val="left"/>
              <w:rPr>
                <w:rFonts w:ascii="Arial" w:hAnsi="Arial" w:cs="Arial"/>
                <w:color w:val="000000"/>
                <w:sz w:val="18"/>
                <w:szCs w:val="18"/>
                <w:lang w:eastAsia="zh-CN"/>
              </w:rPr>
            </w:pPr>
            <w:r w:rsidRPr="002A5080">
              <w:rPr>
                <w:rFonts w:ascii="Arial" w:hAnsi="Arial" w:cs="Arial"/>
                <w:color w:val="000000"/>
                <w:sz w:val="18"/>
                <w:szCs w:val="18"/>
                <w:lang w:eastAsia="zh-CN"/>
              </w:rPr>
              <w:t>When to perform Case 6 timing at the IAB-node cannot be controlled by the parent node.</w:t>
            </w:r>
          </w:p>
          <w:p w14:paraId="553CD74C" w14:textId="01AE101F" w:rsidR="00E12232" w:rsidRPr="00E12232" w:rsidRDefault="00E12232" w:rsidP="00E12232">
            <w:pPr>
              <w:pStyle w:val="maintext"/>
              <w:ind w:firstLineChars="0" w:firstLine="0"/>
              <w:jc w:val="left"/>
              <w:rPr>
                <w:rFonts w:ascii="Arial" w:hAnsi="Arial" w:cs="Arial"/>
                <w:color w:val="FF0000"/>
                <w:sz w:val="18"/>
              </w:rPr>
            </w:pPr>
            <w:r w:rsidRPr="00E12232">
              <w:rPr>
                <w:rFonts w:ascii="Arial" w:hAnsi="Arial" w:cs="Arial"/>
                <w:color w:val="FF0000"/>
                <w:sz w:val="18"/>
              </w:rPr>
              <w:t>Whether Case 6 timing is required at the IAB node is not known at its parent node.</w:t>
            </w:r>
          </w:p>
        </w:tc>
        <w:tc>
          <w:tcPr>
            <w:tcW w:w="0" w:type="auto"/>
            <w:shd w:val="clear" w:color="auto" w:fill="auto"/>
          </w:tcPr>
          <w:p w14:paraId="1A1C65A3" w14:textId="4E5A64C3"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per IAB node</w:t>
            </w:r>
          </w:p>
        </w:tc>
        <w:tc>
          <w:tcPr>
            <w:tcW w:w="0" w:type="auto"/>
            <w:shd w:val="clear" w:color="auto" w:fill="auto"/>
          </w:tcPr>
          <w:p w14:paraId="4E73EEB0" w14:textId="7CD87164"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No</w:t>
            </w:r>
          </w:p>
        </w:tc>
        <w:tc>
          <w:tcPr>
            <w:tcW w:w="0" w:type="auto"/>
            <w:shd w:val="clear" w:color="auto" w:fill="auto"/>
          </w:tcPr>
          <w:p w14:paraId="5098B2EC" w14:textId="16830064"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No</w:t>
            </w:r>
          </w:p>
        </w:tc>
        <w:tc>
          <w:tcPr>
            <w:tcW w:w="0" w:type="auto"/>
            <w:shd w:val="clear" w:color="auto" w:fill="auto"/>
          </w:tcPr>
          <w:p w14:paraId="0D14F189" w14:textId="3AB2C7EE"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support mixture of FDD/TDD and/or FR1/FR2 </w:t>
            </w:r>
          </w:p>
        </w:tc>
        <w:tc>
          <w:tcPr>
            <w:tcW w:w="0" w:type="auto"/>
            <w:shd w:val="clear" w:color="auto" w:fill="auto"/>
          </w:tcPr>
          <w:p w14:paraId="7782DA86" w14:textId="77ACD9DD"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IAB-MT impact</w:t>
            </w:r>
          </w:p>
        </w:tc>
        <w:tc>
          <w:tcPr>
            <w:tcW w:w="0" w:type="auto"/>
            <w:shd w:val="clear" w:color="auto" w:fill="auto"/>
          </w:tcPr>
          <w:p w14:paraId="72064B00" w14:textId="3D2EDC69"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63364C" w:rsidRDefault="009F3A54"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Pr="0063364C" w:rsidRDefault="009F3A54" w:rsidP="0063364C">
            <w:pPr>
              <w:rPr>
                <w:rFonts w:ascii="Calibri" w:eastAsia="MS Mincho" w:hAnsi="Calibri" w:cs="Calibri"/>
              </w:rPr>
            </w:pP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48BB8293" w:rsidR="00A16BE5" w:rsidRPr="00851F2A" w:rsidRDefault="00A16BE5" w:rsidP="002A5080">
      <w:pPr>
        <w:pStyle w:val="Heading1"/>
        <w:numPr>
          <w:ilvl w:val="0"/>
          <w:numId w:val="9"/>
        </w:numPr>
        <w:spacing w:line="259" w:lineRule="auto"/>
        <w:jc w:val="both"/>
        <w:rPr>
          <w:color w:val="E7E6E6"/>
        </w:rPr>
      </w:pPr>
      <w:r w:rsidRPr="00851F2A">
        <w:rPr>
          <w:color w:val="E7E6E6"/>
        </w:rPr>
        <w:lastRenderedPageBreak/>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3E52A8">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3E52A8">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2A5080">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3E52A8">
        <w:tc>
          <w:tcPr>
            <w:tcW w:w="0" w:type="auto"/>
            <w:shd w:val="clear" w:color="auto" w:fill="auto"/>
          </w:tcPr>
          <w:p w14:paraId="172E98D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3E52A8">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1435B5">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1435B5">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2A5080">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3E52A8">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3E52A8">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2A5080">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3E52A8">
        <w:tc>
          <w:tcPr>
            <w:tcW w:w="0" w:type="auto"/>
            <w:shd w:val="clear" w:color="auto" w:fill="auto"/>
          </w:tcPr>
          <w:p w14:paraId="151D89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3E52A8">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1435B5">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1435B5">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2A5080">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2A5080">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3E52A8">
        <w:tc>
          <w:tcPr>
            <w:tcW w:w="0" w:type="auto"/>
            <w:shd w:val="clear" w:color="auto" w:fill="auto"/>
          </w:tcPr>
          <w:p w14:paraId="55C5B74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3E52A8">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2A5080">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1435B5">
        <w:tc>
          <w:tcPr>
            <w:tcW w:w="0" w:type="auto"/>
            <w:shd w:val="clear" w:color="auto" w:fill="auto"/>
          </w:tcPr>
          <w:p w14:paraId="30E792E3"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1435B5">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2A5080">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2A5080">
      <w:pPr>
        <w:pStyle w:val="Heading1"/>
        <w:numPr>
          <w:ilvl w:val="0"/>
          <w:numId w:val="9"/>
        </w:numPr>
        <w:jc w:val="both"/>
        <w:rPr>
          <w:color w:val="000000"/>
        </w:rPr>
      </w:pPr>
      <w:r w:rsidRPr="00434D06">
        <w:rPr>
          <w:color w:val="000000"/>
        </w:rPr>
        <w:t>References</w:t>
      </w:r>
    </w:p>
    <w:p w14:paraId="313BE6A6" w14:textId="6DF4DD11" w:rsidR="00BD343C" w:rsidRDefault="0030713B" w:rsidP="004D050E">
      <w:pPr>
        <w:pStyle w:val="2222"/>
        <w:numPr>
          <w:ilvl w:val="0"/>
          <w:numId w:val="7"/>
        </w:numPr>
        <w:spacing w:line="288" w:lineRule="auto"/>
        <w:ind w:firstLineChars="0"/>
        <w:rPr>
          <w:rFonts w:ascii="Calibri" w:hAnsi="Calibri" w:cs="Times New Roman"/>
          <w:color w:val="000000"/>
          <w:lang w:eastAsia="ko-KR"/>
        </w:rPr>
      </w:pPr>
      <w:r w:rsidRPr="0030713B">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744E6228" w14:textId="526AF70D" w:rsidR="008F6741" w:rsidRPr="008F6741" w:rsidRDefault="008F6741" w:rsidP="008F6741">
      <w:pPr>
        <w:pStyle w:val="2222"/>
        <w:numPr>
          <w:ilvl w:val="0"/>
          <w:numId w:val="7"/>
        </w:numPr>
        <w:spacing w:line="288" w:lineRule="auto"/>
        <w:ind w:firstLineChars="0"/>
        <w:rPr>
          <w:rFonts w:ascii="Calibri" w:hAnsi="Calibri" w:cs="Times New Roman"/>
          <w:color w:val="000000"/>
          <w:lang w:eastAsia="ko-KR"/>
        </w:rPr>
      </w:pPr>
      <w:bookmarkStart w:id="4" w:name="_Ref102383624"/>
      <w:r w:rsidRPr="008F6741">
        <w:rPr>
          <w:rFonts w:ascii="Calibri" w:hAnsi="Calibri" w:cs="Times New Roman"/>
          <w:color w:val="000000"/>
          <w:lang w:eastAsia="ko-KR"/>
        </w:rPr>
        <w:t>R1-2203363</w:t>
      </w:r>
      <w:r>
        <w:rPr>
          <w:rFonts w:ascii="Calibri" w:hAnsi="Calibri" w:cs="Times New Roman"/>
          <w:color w:val="000000"/>
          <w:lang w:eastAsia="ko-KR"/>
        </w:rPr>
        <w:t xml:space="preserve">, </w:t>
      </w:r>
      <w:r w:rsidRPr="008F6741">
        <w:rPr>
          <w:rFonts w:ascii="Calibri" w:hAnsi="Calibri" w:cs="Times New Roman"/>
          <w:color w:val="000000"/>
          <w:lang w:eastAsia="ko-KR"/>
        </w:rPr>
        <w:t>Discussion on NR Rel-17 IAB MT features</w:t>
      </w:r>
      <w:r>
        <w:rPr>
          <w:rFonts w:ascii="Calibri" w:hAnsi="Calibri" w:cs="Times New Roman"/>
          <w:color w:val="000000"/>
          <w:lang w:eastAsia="ko-KR"/>
        </w:rPr>
        <w:t xml:space="preserve">, </w:t>
      </w:r>
      <w:r w:rsidRPr="008F6741">
        <w:rPr>
          <w:rFonts w:ascii="Calibri" w:hAnsi="Calibri" w:cs="Times New Roman"/>
          <w:color w:val="000000"/>
          <w:lang w:eastAsia="ko-KR"/>
        </w:rPr>
        <w:t>ZTE</w:t>
      </w:r>
      <w:r>
        <w:rPr>
          <w:rFonts w:ascii="Calibri" w:hAnsi="Calibri" w:cs="Times New Roman"/>
          <w:color w:val="000000"/>
          <w:lang w:eastAsia="ko-KR"/>
        </w:rPr>
        <w:t>/</w:t>
      </w:r>
      <w:proofErr w:type="spellStart"/>
      <w:r w:rsidRPr="008F6741">
        <w:rPr>
          <w:rFonts w:ascii="Calibri" w:hAnsi="Calibri" w:cs="Times New Roman"/>
          <w:color w:val="000000"/>
          <w:lang w:eastAsia="ko-KR"/>
        </w:rPr>
        <w:t>Sanechips</w:t>
      </w:r>
      <w:bookmarkEnd w:id="4"/>
      <w:proofErr w:type="spellEnd"/>
    </w:p>
    <w:p w14:paraId="65D1B8E7" w14:textId="0118FF60" w:rsidR="008F6741" w:rsidRPr="004D050E" w:rsidRDefault="008F6741" w:rsidP="008F6741">
      <w:pPr>
        <w:pStyle w:val="2222"/>
        <w:numPr>
          <w:ilvl w:val="0"/>
          <w:numId w:val="7"/>
        </w:numPr>
        <w:spacing w:line="288" w:lineRule="auto"/>
        <w:ind w:firstLineChars="0"/>
        <w:rPr>
          <w:rFonts w:ascii="Calibri" w:hAnsi="Calibri" w:cs="Times New Roman"/>
          <w:color w:val="000000"/>
          <w:lang w:eastAsia="ko-KR"/>
        </w:rPr>
      </w:pPr>
      <w:bookmarkStart w:id="5" w:name="_Ref102383617"/>
      <w:r w:rsidRPr="008F6741">
        <w:rPr>
          <w:rFonts w:ascii="Calibri" w:hAnsi="Calibri" w:cs="Times New Roman"/>
          <w:color w:val="000000"/>
          <w:lang w:eastAsia="ko-KR"/>
        </w:rPr>
        <w:t>R1-2204641</w:t>
      </w:r>
      <w:r>
        <w:rPr>
          <w:rFonts w:ascii="Calibri" w:hAnsi="Calibri" w:cs="Times New Roman"/>
          <w:color w:val="000000"/>
          <w:lang w:eastAsia="ko-KR"/>
        </w:rPr>
        <w:t xml:space="preserve">, </w:t>
      </w:r>
      <w:r w:rsidRPr="008F6741">
        <w:rPr>
          <w:rFonts w:ascii="Calibri" w:hAnsi="Calibri" w:cs="Times New Roman"/>
          <w:color w:val="000000"/>
          <w:lang w:eastAsia="ko-KR"/>
        </w:rPr>
        <w:t>UE features for enhanced IAB</w:t>
      </w:r>
      <w:r>
        <w:rPr>
          <w:rFonts w:ascii="Calibri" w:hAnsi="Calibri" w:cs="Times New Roman"/>
          <w:color w:val="000000"/>
          <w:lang w:eastAsia="ko-KR"/>
        </w:rPr>
        <w:t xml:space="preserve">, </w:t>
      </w:r>
      <w:r w:rsidRPr="008F6741">
        <w:rPr>
          <w:rFonts w:ascii="Calibri" w:hAnsi="Calibri" w:cs="Times New Roman"/>
          <w:color w:val="000000"/>
          <w:lang w:eastAsia="ko-KR"/>
        </w:rPr>
        <w:t>Ericsson</w:t>
      </w:r>
      <w:bookmarkEnd w:id="5"/>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9945D" w14:textId="77777777" w:rsidR="00812744" w:rsidRDefault="00812744" w:rsidP="00FF028D">
      <w:pPr>
        <w:spacing w:before="0" w:after="0"/>
      </w:pPr>
      <w:r>
        <w:separator/>
      </w:r>
    </w:p>
  </w:endnote>
  <w:endnote w:type="continuationSeparator" w:id="0">
    <w:p w14:paraId="3755579F" w14:textId="77777777" w:rsidR="00812744" w:rsidRDefault="00812744"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1C68F" w14:textId="77777777" w:rsidR="00812744" w:rsidRDefault="00812744" w:rsidP="00FF028D">
      <w:pPr>
        <w:spacing w:before="0" w:after="0"/>
      </w:pPr>
      <w:r>
        <w:separator/>
      </w:r>
    </w:p>
  </w:footnote>
  <w:footnote w:type="continuationSeparator" w:id="0">
    <w:p w14:paraId="2B5C4229" w14:textId="77777777" w:rsidR="00812744" w:rsidRDefault="00812744"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3314401B"/>
    <w:multiLevelType w:val="hybridMultilevel"/>
    <w:tmpl w:val="6DDCEC88"/>
    <w:lvl w:ilvl="0" w:tplc="B2FE614E">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6"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6"/>
  </w:num>
  <w:num w:numId="3">
    <w:abstractNumId w:val="0"/>
  </w:num>
  <w:num w:numId="4">
    <w:abstractNumId w:val="1"/>
  </w:num>
  <w:num w:numId="5">
    <w:abstractNumId w:val="7"/>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4"/>
  </w:num>
  <w:num w:numId="13">
    <w:abstractNumId w:val="8"/>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080"/>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0713B"/>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6D5"/>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4C7"/>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2F9"/>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227D"/>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4DE3"/>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744"/>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2DD"/>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741"/>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11"/>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747"/>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232"/>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fontstyle01">
    <w:name w:val="fontstyle01"/>
    <w:qFormat/>
    <w:rsid w:val="00E12232"/>
    <w:rPr>
      <w:rFonts w:ascii="Times New Roman" w:hAnsi="Times New Roman" w:cs="Times New Roman" w:hint="default"/>
      <w:i/>
      <w:iCs/>
      <w:color w:val="000000"/>
      <w:sz w:val="20"/>
      <w:szCs w:val="20"/>
    </w:rPr>
  </w:style>
  <w:style w:type="paragraph" w:customStyle="1" w:styleId="Reference">
    <w:name w:val="Reference"/>
    <w:basedOn w:val="BodyText"/>
    <w:link w:val="ReferenceChar"/>
    <w:qFormat/>
    <w:rsid w:val="00E12232"/>
    <w:pPr>
      <w:numPr>
        <w:numId w:val="11"/>
      </w:numPr>
      <w:tabs>
        <w:tab w:val="clear" w:pos="1440"/>
      </w:tabs>
      <w:spacing w:line="259" w:lineRule="auto"/>
    </w:pPr>
    <w:rPr>
      <w:rFonts w:ascii="Arial" w:eastAsia="Calibri" w:hAnsi="Arial" w:cs="Arial"/>
      <w:szCs w:val="22"/>
      <w:lang w:val="en-US" w:eastAsia="zh-CN"/>
    </w:rPr>
  </w:style>
  <w:style w:type="character" w:customStyle="1" w:styleId="ReferenceChar">
    <w:name w:val="Reference Char"/>
    <w:link w:val="Reference"/>
    <w:rsid w:val="00E12232"/>
    <w:rPr>
      <w:rFonts w:ascii="Arial" w:eastAsia="Calibri" w:hAnsi="Arial" w:cs="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279144734">
      <w:bodyDiv w:val="1"/>
      <w:marLeft w:val="0"/>
      <w:marRight w:val="0"/>
      <w:marTop w:val="0"/>
      <w:marBottom w:val="0"/>
      <w:divBdr>
        <w:top w:val="none" w:sz="0" w:space="0" w:color="auto"/>
        <w:left w:val="none" w:sz="0" w:space="0" w:color="auto"/>
        <w:bottom w:val="none" w:sz="0" w:space="0" w:color="auto"/>
        <w:right w:val="none" w:sz="0" w:space="0" w:color="auto"/>
      </w:divBdr>
    </w:div>
    <w:div w:id="511802678">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16886957">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97158574">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538279-0B5D-43D2-8E51-0E950B61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1327</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10</cp:revision>
  <cp:lastPrinted>2020-07-20T16:11:00Z</cp:lastPrinted>
  <dcterms:created xsi:type="dcterms:W3CDTF">2022-05-02T16:11:00Z</dcterms:created>
  <dcterms:modified xsi:type="dcterms:W3CDTF">2022-05-03T14:39:00Z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