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332C8" w14:textId="55D7139F" w:rsidR="00E74F54" w:rsidRDefault="00131C8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54538C1B" wp14:editId="2432D5F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w:t>
      </w:r>
      <w:r w:rsidR="009316CB">
        <w:rPr>
          <w:b/>
          <w:lang w:eastAsia="zh-CN"/>
        </w:rPr>
        <w:t>7</w:t>
      </w:r>
      <w:r>
        <w:rPr>
          <w:b/>
          <w:lang w:eastAsia="zh-CN"/>
        </w:rPr>
        <w:tab/>
        <w:t>R1-21</w:t>
      </w:r>
      <w:r w:rsidR="009316CB">
        <w:rPr>
          <w:b/>
          <w:lang w:eastAsia="zh-CN"/>
        </w:rPr>
        <w:t>xxxxx</w:t>
      </w:r>
    </w:p>
    <w:p w14:paraId="633FFD18" w14:textId="6B48FF7A" w:rsidR="00E74F54" w:rsidRDefault="00131C86">
      <w:pPr>
        <w:jc w:val="left"/>
        <w:rPr>
          <w:b/>
          <w:lang w:eastAsia="zh-CN"/>
        </w:rPr>
      </w:pPr>
      <w:bookmarkStart w:id="0" w:name="OLE_LINK7"/>
      <w:r>
        <w:rPr>
          <w:b/>
          <w:lang w:eastAsia="zh-CN"/>
        </w:rPr>
        <w:t xml:space="preserve">e-Meeting, </w:t>
      </w:r>
      <w:r w:rsidR="00F50A8D">
        <w:rPr>
          <w:rFonts w:hint="eastAsia"/>
          <w:b/>
          <w:noProof/>
          <w:kern w:val="2"/>
          <w:lang w:eastAsia="zh-CN"/>
        </w:rPr>
        <w:t>November</w:t>
      </w:r>
      <w:r w:rsidR="00F50A8D">
        <w:rPr>
          <w:b/>
          <w:noProof/>
          <w:kern w:val="2"/>
          <w:lang w:eastAsia="zh-CN"/>
        </w:rPr>
        <w:t xml:space="preserve"> </w:t>
      </w:r>
      <w:r w:rsidR="00F50A8D" w:rsidRPr="00593207">
        <w:rPr>
          <w:b/>
          <w:noProof/>
          <w:kern w:val="2"/>
          <w:lang w:eastAsia="zh-CN"/>
        </w:rPr>
        <w:t>11</w:t>
      </w:r>
      <w:r w:rsidR="00F50A8D" w:rsidRPr="00593207">
        <w:rPr>
          <w:b/>
          <w:noProof/>
          <w:kern w:val="2"/>
          <w:vertAlign w:val="superscript"/>
          <w:lang w:eastAsia="zh-CN"/>
        </w:rPr>
        <w:t>th</w:t>
      </w:r>
      <w:r w:rsidR="00F50A8D" w:rsidRPr="00593207">
        <w:rPr>
          <w:b/>
          <w:noProof/>
          <w:kern w:val="2"/>
          <w:lang w:eastAsia="zh-CN"/>
        </w:rPr>
        <w:t xml:space="preserve"> – 19</w:t>
      </w:r>
      <w:r w:rsidR="00F50A8D" w:rsidRPr="00593207">
        <w:rPr>
          <w:b/>
          <w:noProof/>
          <w:kern w:val="2"/>
          <w:vertAlign w:val="superscript"/>
          <w:lang w:eastAsia="zh-CN"/>
        </w:rPr>
        <w:t>th</w:t>
      </w:r>
      <w:r>
        <w:rPr>
          <w:b/>
          <w:lang w:eastAsia="zh-CN"/>
        </w:rPr>
        <w:t>, 202</w:t>
      </w:r>
      <w:bookmarkEnd w:id="0"/>
      <w:r>
        <w:rPr>
          <w:b/>
          <w:lang w:eastAsia="zh-CN"/>
        </w:rPr>
        <w:t>1</w:t>
      </w:r>
    </w:p>
    <w:p w14:paraId="28DD64C7" w14:textId="77777777" w:rsidR="00E74F54" w:rsidRDefault="00E74F54">
      <w:pPr>
        <w:pBdr>
          <w:top w:val="single" w:sz="4" w:space="1" w:color="auto"/>
        </w:pBdr>
        <w:spacing w:after="0"/>
        <w:jc w:val="left"/>
        <w:rPr>
          <w:b/>
          <w:kern w:val="2"/>
          <w:lang w:eastAsia="zh-CN"/>
        </w:rPr>
      </w:pPr>
    </w:p>
    <w:p w14:paraId="506FDEB7" w14:textId="77777777" w:rsidR="00E74F54" w:rsidRDefault="00131C86">
      <w:pPr>
        <w:spacing w:after="60"/>
        <w:ind w:left="1555" w:hanging="1555"/>
        <w:jc w:val="left"/>
        <w:rPr>
          <w:b/>
          <w:lang w:eastAsia="zh-CN"/>
        </w:rPr>
      </w:pPr>
      <w:r>
        <w:rPr>
          <w:b/>
          <w:lang w:eastAsia="zh-CN"/>
        </w:rPr>
        <w:t>Agenda Item:</w:t>
      </w:r>
      <w:r>
        <w:rPr>
          <w:b/>
          <w:lang w:eastAsia="zh-CN"/>
        </w:rPr>
        <w:tab/>
        <w:t>8.9</w:t>
      </w:r>
    </w:p>
    <w:p w14:paraId="6EBFE3B3" w14:textId="77777777" w:rsidR="00E74F54" w:rsidRDefault="00131C86">
      <w:pPr>
        <w:spacing w:after="60"/>
        <w:ind w:left="1555" w:hanging="1555"/>
        <w:jc w:val="left"/>
        <w:rPr>
          <w:b/>
          <w:lang w:eastAsia="zh-CN"/>
        </w:rPr>
      </w:pPr>
      <w:r>
        <w:rPr>
          <w:b/>
          <w:lang w:eastAsia="zh-CN"/>
        </w:rPr>
        <w:t>Source:</w:t>
      </w:r>
      <w:r>
        <w:rPr>
          <w:b/>
          <w:lang w:eastAsia="zh-CN"/>
        </w:rPr>
        <w:tab/>
        <w:t>Moderator (Huawei)</w:t>
      </w:r>
    </w:p>
    <w:p w14:paraId="528F4655" w14:textId="6E7C06B9" w:rsidR="00E74F54" w:rsidRDefault="00131C8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w:t>
      </w:r>
      <w:r w:rsidR="009316CB">
        <w:rPr>
          <w:b/>
          <w:lang w:eastAsia="zh-CN"/>
        </w:rPr>
        <w:t>7</w:t>
      </w:r>
      <w:r>
        <w:rPr>
          <w:b/>
          <w:lang w:eastAsia="zh-CN"/>
        </w:rPr>
        <w:t>-e-R17-RRC-NB-IoT-eMTC</w:t>
      </w:r>
    </w:p>
    <w:p w14:paraId="5D8A11E7" w14:textId="77777777" w:rsidR="00E74F54" w:rsidRDefault="00131C8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4DDC1C2" w14:textId="77777777" w:rsidR="00E74F54" w:rsidRDefault="00E74F54">
      <w:pPr>
        <w:pBdr>
          <w:bottom w:val="single" w:sz="4" w:space="1" w:color="auto"/>
        </w:pBdr>
        <w:spacing w:after="0"/>
        <w:jc w:val="left"/>
        <w:rPr>
          <w:b/>
          <w:sz w:val="16"/>
          <w:szCs w:val="16"/>
        </w:rPr>
      </w:pPr>
    </w:p>
    <w:p w14:paraId="1A5EE61A" w14:textId="77777777" w:rsidR="00E74F54" w:rsidRDefault="00131C86">
      <w:pPr>
        <w:pStyle w:val="Heading1"/>
        <w:ind w:left="431" w:hanging="431"/>
        <w:rPr>
          <w:lang w:eastAsia="zh-CN"/>
        </w:rPr>
      </w:pPr>
      <w:bookmarkStart w:id="1" w:name="_Ref129681862"/>
      <w:bookmarkStart w:id="2" w:name="_Ref124589705"/>
      <w:r>
        <w:t>Introduction</w:t>
      </w:r>
      <w:bookmarkEnd w:id="1"/>
      <w:bookmarkEnd w:id="2"/>
    </w:p>
    <w:p w14:paraId="45AE36E1" w14:textId="2A63E384" w:rsidR="00E74F54" w:rsidRDefault="00131C86">
      <w:pPr>
        <w:rPr>
          <w:lang w:eastAsia="zh-CN"/>
        </w:rPr>
      </w:pPr>
      <w:r>
        <w:rPr>
          <w:rFonts w:hint="eastAsia"/>
          <w:lang w:eastAsia="zh-CN"/>
        </w:rPr>
        <w:t>I</w:t>
      </w:r>
      <w:r>
        <w:rPr>
          <w:lang w:eastAsia="zh-CN"/>
        </w:rPr>
        <w:t xml:space="preserve">n email discussion </w:t>
      </w:r>
      <w:r w:rsidR="001E575E">
        <w:rPr>
          <w:lang w:eastAsia="zh-CN"/>
        </w:rPr>
        <w:t>of</w:t>
      </w:r>
      <w:r>
        <w:rPr>
          <w:lang w:eastAsia="zh-CN"/>
        </w:rPr>
        <w:t xml:space="preserve"> RAN1#106</w:t>
      </w:r>
      <w:r w:rsidR="009316CB">
        <w:rPr>
          <w:lang w:eastAsia="zh-CN"/>
        </w:rPr>
        <w:t>bis</w:t>
      </w:r>
      <w:r>
        <w:rPr>
          <w:lang w:eastAsia="zh-CN"/>
        </w:rPr>
        <w:t xml:space="preserve">-e, there were </w:t>
      </w:r>
      <w:r w:rsidR="001E575E">
        <w:rPr>
          <w:lang w:eastAsia="zh-CN"/>
        </w:rPr>
        <w:t>discussion on</w:t>
      </w:r>
      <w:r>
        <w:rPr>
          <w:lang w:eastAsia="zh-CN"/>
        </w:rPr>
        <w:t xml:space="preserve"> RRC parameters for the WI [1].</w:t>
      </w:r>
      <w:r w:rsidR="00E06D51">
        <w:rPr>
          <w:lang w:eastAsia="zh-CN"/>
        </w:rPr>
        <w:t xml:space="preserve"> And the list of stable rows was endorsed in [2].</w:t>
      </w:r>
    </w:p>
    <w:p w14:paraId="477C41DC" w14:textId="77777777" w:rsidR="00E74F54" w:rsidRDefault="00131C86">
      <w:pPr>
        <w:rPr>
          <w:lang w:eastAsia="zh-CN"/>
        </w:rPr>
      </w:pPr>
      <w:r>
        <w:rPr>
          <w:rFonts w:hint="eastAsia"/>
          <w:lang w:eastAsia="zh-CN"/>
        </w:rPr>
        <w:t xml:space="preserve">This documents provides the proposals and summary of discussions of the </w:t>
      </w:r>
      <w:r>
        <w:rPr>
          <w:lang w:eastAsia="zh-CN"/>
        </w:rPr>
        <w:t>corresponding email discussion on RRC parameters.</w:t>
      </w:r>
    </w:p>
    <w:p w14:paraId="04F772E3" w14:textId="77777777" w:rsidR="00E74F54" w:rsidRDefault="00131C86">
      <w:pPr>
        <w:ind w:leftChars="200" w:left="440"/>
        <w:rPr>
          <w:highlight w:val="cyan"/>
        </w:rPr>
      </w:pPr>
      <w:r>
        <w:rPr>
          <w:highlight w:val="cyan"/>
          <w:lang w:eastAsia="zh-CN"/>
        </w:rPr>
        <w:t xml:space="preserve">[106bis-e-R17-RRC-NB-IoT-eMTC] Email discussion on Rel-17 RRC parameters for Rel-17 NB-IoT and eMTC </w:t>
      </w:r>
      <w:r>
        <w:rPr>
          <w:highlight w:val="cyan"/>
        </w:rPr>
        <w:t xml:space="preserve">– </w:t>
      </w:r>
      <w:r>
        <w:rPr>
          <w:highlight w:val="cyan"/>
          <w:lang w:eastAsia="zh-CN"/>
        </w:rPr>
        <w:t>Yubo (Huawei)</w:t>
      </w:r>
    </w:p>
    <w:p w14:paraId="570AD80D" w14:textId="09659DE0" w:rsidR="00B30497" w:rsidRPr="001909CC" w:rsidRDefault="00131C86">
      <w:r>
        <w:rPr>
          <w:rFonts w:hint="eastAsia"/>
          <w:lang w:eastAsia="zh-CN"/>
        </w:rPr>
        <w:t xml:space="preserve">The RRC parameter list is </w:t>
      </w:r>
      <w:r w:rsidR="001D316D">
        <w:rPr>
          <w:lang w:eastAsia="zh-CN"/>
        </w:rPr>
        <w:t>also attached</w:t>
      </w:r>
      <w:r w:rsidR="00BF5EF7">
        <w:rPr>
          <w:lang w:eastAsia="zh-CN"/>
        </w:rPr>
        <w:t xml:space="preserve">: </w:t>
      </w:r>
      <w:hyperlink r:id="rId9" w:history="1">
        <w:r w:rsidR="00BF5EF7">
          <w:rPr>
            <w:rStyle w:val="Hyperlink"/>
            <w:sz w:val="19"/>
            <w:szCs w:val="19"/>
          </w:rPr>
          <w:t>RAN1#107-e_Rel-17_RRC_NB-IoT_eMTC_v1.xlsx</w:t>
        </w:r>
      </w:hyperlink>
      <w:r w:rsidR="004B7795">
        <w:t>.</w:t>
      </w:r>
    </w:p>
    <w:p w14:paraId="0C7E3AF8" w14:textId="77777777" w:rsidR="00E74F54" w:rsidRDefault="00131C86">
      <w:pPr>
        <w:pStyle w:val="Heading1"/>
        <w:rPr>
          <w:lang w:eastAsia="zh-CN"/>
        </w:rPr>
      </w:pPr>
      <w:r>
        <w:rPr>
          <w:rFonts w:hint="eastAsia"/>
          <w:lang w:eastAsia="zh-CN"/>
        </w:rPr>
        <w:t>Discussion</w:t>
      </w:r>
    </w:p>
    <w:p w14:paraId="61A8F88F" w14:textId="77777777" w:rsidR="00E74F54" w:rsidRDefault="00131C86">
      <w:pPr>
        <w:pStyle w:val="Heading2"/>
      </w:pPr>
      <w:r>
        <w:rPr>
          <w:lang w:eastAsia="zh-CN"/>
        </w:rPr>
        <w:t>Support of 16-QAM for unicast in UL and DL for NB-IoT</w:t>
      </w:r>
    </w:p>
    <w:p w14:paraId="2A547632" w14:textId="77777777" w:rsidR="00E74F54" w:rsidRDefault="00131C86">
      <w:pPr>
        <w:outlineLvl w:val="2"/>
        <w:rPr>
          <w:b/>
        </w:rPr>
      </w:pPr>
      <w:r>
        <w:rPr>
          <w:rFonts w:hint="eastAsia"/>
          <w:b/>
        </w:rPr>
        <w:t>Issue 1</w:t>
      </w:r>
      <w:r>
        <w:rPr>
          <w:b/>
        </w:rPr>
        <w:t>-1</w:t>
      </w:r>
      <w:r>
        <w:rPr>
          <w:rFonts w:hint="eastAsia"/>
          <w:b/>
        </w:rPr>
        <w:t xml:space="preserve">: </w:t>
      </w:r>
      <w:r>
        <w:rPr>
          <w:b/>
        </w:rPr>
        <w:t>Configuration of PUR</w:t>
      </w:r>
    </w:p>
    <w:p w14:paraId="05471364" w14:textId="0C5E3DE1" w:rsidR="00E74F54" w:rsidRDefault="00131C86">
      <w:r>
        <w:t>F</w:t>
      </w:r>
      <w:r>
        <w:rPr>
          <w:rFonts w:hint="eastAsia"/>
        </w:rPr>
        <w:t xml:space="preserve">or </w:t>
      </w:r>
      <w:r>
        <w:t xml:space="preserve">the configuration of NPUSCH for PUR, </w:t>
      </w:r>
      <w:r w:rsidR="0007338C">
        <w:t>the two rows</w:t>
      </w:r>
      <w:r w:rsidR="00A20A2D">
        <w:t xml:space="preserve"> below</w:t>
      </w:r>
      <w:r w:rsidR="0007338C">
        <w:t xml:space="preserve"> are marked as stable</w:t>
      </w:r>
      <w:r>
        <w:t>.</w:t>
      </w:r>
    </w:p>
    <w:tbl>
      <w:tblPr>
        <w:tblW w:w="10152" w:type="dxa"/>
        <w:tblInd w:w="-5" w:type="dxa"/>
        <w:tblLayout w:type="fixed"/>
        <w:tblLook w:val="04A0" w:firstRow="1" w:lastRow="0" w:firstColumn="1" w:lastColumn="0" w:noHBand="0" w:noVBand="1"/>
      </w:tblPr>
      <w:tblGrid>
        <w:gridCol w:w="851"/>
        <w:gridCol w:w="567"/>
        <w:gridCol w:w="709"/>
        <w:gridCol w:w="283"/>
        <w:gridCol w:w="284"/>
        <w:gridCol w:w="283"/>
        <w:gridCol w:w="851"/>
        <w:gridCol w:w="425"/>
        <w:gridCol w:w="850"/>
        <w:gridCol w:w="993"/>
        <w:gridCol w:w="425"/>
        <w:gridCol w:w="567"/>
        <w:gridCol w:w="425"/>
        <w:gridCol w:w="567"/>
        <w:gridCol w:w="425"/>
        <w:gridCol w:w="1647"/>
      </w:tblGrid>
      <w:tr w:rsidR="00535E2B" w:rsidRPr="00535E2B" w14:paraId="638C8BB2" w14:textId="77777777" w:rsidTr="00535E2B">
        <w:trPr>
          <w:trHeight w:val="18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CD424"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4E330A3"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16QAM for NB-IoT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ACDA29A"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36.211, 36.213</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5DE3A910"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01D9B0B8"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175D3785"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27B764"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enable16QAM-ul in PUR-config-NB</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4B37284"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New</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3CD6BD"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 16QAM for NPUSCH in PUR procedure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0717FC"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Enable/disable the use of 16QAM for NPUSCH in PUR procedure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B2FD3D3"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4DDFEBF"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disable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382DC99"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E55B30C"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8C2A88D"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36.331</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5EC91737"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According to the following agreement, the configurations are up to RAN2, including  the MCS indices, RU indices and UL power control parameter:</w:t>
            </w:r>
            <w:r w:rsidRPr="00535E2B">
              <w:rPr>
                <w:rFonts w:ascii="Arial" w:eastAsia="DengXian" w:hAnsi="Arial" w:cs="Arial"/>
                <w:color w:val="000000"/>
                <w:sz w:val="10"/>
                <w:szCs w:val="10"/>
                <w:lang w:eastAsia="zh-CN"/>
              </w:rPr>
              <w:br/>
              <w:t xml:space="preserve"> Agreement</w:t>
            </w:r>
            <w:r w:rsidRPr="00535E2B">
              <w:rPr>
                <w:rFonts w:ascii="Arial" w:eastAsia="DengXian" w:hAnsi="Arial" w:cs="Arial"/>
                <w:color w:val="000000"/>
                <w:sz w:val="10"/>
                <w:szCs w:val="10"/>
                <w:lang w:eastAsia="zh-CN"/>
              </w:rPr>
              <w:br/>
              <w:t>To support 16-QAM for NPDSCH and NPUSCH in PUR procedure,</w:t>
            </w:r>
            <w:r w:rsidRPr="00535E2B">
              <w:rPr>
                <w:rFonts w:ascii="Arial" w:eastAsia="DengXian" w:hAnsi="Arial" w:cs="Arial"/>
                <w:color w:val="000000"/>
                <w:sz w:val="10"/>
                <w:szCs w:val="10"/>
                <w:lang w:eastAsia="zh-CN"/>
              </w:rPr>
              <w:br/>
              <w:t>• 16-QAM can be enabled/disabled by UE specific RRC signaling for NPDSCH and NPUSCH separately</w:t>
            </w:r>
            <w:r w:rsidRPr="00535E2B">
              <w:rPr>
                <w:rFonts w:ascii="Arial" w:eastAsia="DengXian" w:hAnsi="Arial" w:cs="Arial"/>
                <w:color w:val="000000"/>
                <w:sz w:val="10"/>
                <w:szCs w:val="10"/>
                <w:lang w:eastAsia="zh-CN"/>
              </w:rPr>
              <w:br/>
              <w:t>•    The corresponding configurations and signaling details are up to RAN2</w:t>
            </w:r>
          </w:p>
        </w:tc>
      </w:tr>
      <w:tr w:rsidR="00535E2B" w:rsidRPr="00535E2B" w14:paraId="74B76686" w14:textId="77777777" w:rsidTr="00535E2B">
        <w:trPr>
          <w:trHeight w:val="140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1D80907"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NB_IOTenh4_LTE_eMTC6</w:t>
            </w:r>
          </w:p>
        </w:tc>
        <w:tc>
          <w:tcPr>
            <w:tcW w:w="567" w:type="dxa"/>
            <w:tcBorders>
              <w:top w:val="nil"/>
              <w:left w:val="nil"/>
              <w:bottom w:val="single" w:sz="4" w:space="0" w:color="auto"/>
              <w:right w:val="single" w:sz="4" w:space="0" w:color="auto"/>
            </w:tcBorders>
            <w:shd w:val="clear" w:color="auto" w:fill="auto"/>
            <w:vAlign w:val="center"/>
            <w:hideMark/>
          </w:tcPr>
          <w:p w14:paraId="77DF1174"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16QAM for NB-IoT</w:t>
            </w:r>
          </w:p>
        </w:tc>
        <w:tc>
          <w:tcPr>
            <w:tcW w:w="709" w:type="dxa"/>
            <w:tcBorders>
              <w:top w:val="nil"/>
              <w:left w:val="nil"/>
              <w:bottom w:val="single" w:sz="4" w:space="0" w:color="auto"/>
              <w:right w:val="single" w:sz="4" w:space="0" w:color="auto"/>
            </w:tcBorders>
            <w:shd w:val="clear" w:color="auto" w:fill="auto"/>
            <w:vAlign w:val="center"/>
            <w:hideMark/>
          </w:tcPr>
          <w:p w14:paraId="43AD8D05"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36.211, 36.213</w:t>
            </w:r>
          </w:p>
        </w:tc>
        <w:tc>
          <w:tcPr>
            <w:tcW w:w="283" w:type="dxa"/>
            <w:tcBorders>
              <w:top w:val="nil"/>
              <w:left w:val="nil"/>
              <w:bottom w:val="single" w:sz="4" w:space="0" w:color="auto"/>
              <w:right w:val="single" w:sz="4" w:space="0" w:color="auto"/>
            </w:tcBorders>
            <w:shd w:val="clear" w:color="auto" w:fill="auto"/>
            <w:noWrap/>
            <w:vAlign w:val="center"/>
            <w:hideMark/>
          </w:tcPr>
          <w:p w14:paraId="7407D8A6"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284" w:type="dxa"/>
            <w:tcBorders>
              <w:top w:val="nil"/>
              <w:left w:val="nil"/>
              <w:bottom w:val="single" w:sz="4" w:space="0" w:color="auto"/>
              <w:right w:val="single" w:sz="4" w:space="0" w:color="auto"/>
            </w:tcBorders>
            <w:shd w:val="clear" w:color="auto" w:fill="auto"/>
            <w:noWrap/>
            <w:vAlign w:val="center"/>
            <w:hideMark/>
          </w:tcPr>
          <w:p w14:paraId="6C0F3E5B"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283" w:type="dxa"/>
            <w:tcBorders>
              <w:top w:val="nil"/>
              <w:left w:val="nil"/>
              <w:bottom w:val="single" w:sz="4" w:space="0" w:color="auto"/>
              <w:right w:val="single" w:sz="4" w:space="0" w:color="auto"/>
            </w:tcBorders>
            <w:shd w:val="clear" w:color="auto" w:fill="auto"/>
            <w:noWrap/>
            <w:vAlign w:val="center"/>
            <w:hideMark/>
          </w:tcPr>
          <w:p w14:paraId="1FD8122F"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F3E68EB"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enable16QAM-dl in PUR-config-NB</w:t>
            </w:r>
          </w:p>
        </w:tc>
        <w:tc>
          <w:tcPr>
            <w:tcW w:w="425" w:type="dxa"/>
            <w:tcBorders>
              <w:top w:val="nil"/>
              <w:left w:val="nil"/>
              <w:bottom w:val="single" w:sz="4" w:space="0" w:color="auto"/>
              <w:right w:val="single" w:sz="4" w:space="0" w:color="auto"/>
            </w:tcBorders>
            <w:shd w:val="clear" w:color="auto" w:fill="auto"/>
            <w:noWrap/>
            <w:vAlign w:val="center"/>
            <w:hideMark/>
          </w:tcPr>
          <w:p w14:paraId="584BE306"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New</w:t>
            </w:r>
          </w:p>
        </w:tc>
        <w:tc>
          <w:tcPr>
            <w:tcW w:w="850" w:type="dxa"/>
            <w:tcBorders>
              <w:top w:val="nil"/>
              <w:left w:val="nil"/>
              <w:bottom w:val="single" w:sz="4" w:space="0" w:color="auto"/>
              <w:right w:val="single" w:sz="4" w:space="0" w:color="auto"/>
            </w:tcBorders>
            <w:shd w:val="clear" w:color="auto" w:fill="auto"/>
            <w:vAlign w:val="center"/>
            <w:hideMark/>
          </w:tcPr>
          <w:p w14:paraId="72514D58"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 16QAM for NPDSCH in PUR procedure</w:t>
            </w:r>
          </w:p>
        </w:tc>
        <w:tc>
          <w:tcPr>
            <w:tcW w:w="993" w:type="dxa"/>
            <w:tcBorders>
              <w:top w:val="nil"/>
              <w:left w:val="nil"/>
              <w:bottom w:val="single" w:sz="4" w:space="0" w:color="auto"/>
              <w:right w:val="single" w:sz="4" w:space="0" w:color="auto"/>
            </w:tcBorders>
            <w:shd w:val="clear" w:color="auto" w:fill="auto"/>
            <w:vAlign w:val="center"/>
            <w:hideMark/>
          </w:tcPr>
          <w:p w14:paraId="341125F3"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Enable/disable the use of 16QAM for NPDSCH in PUR procedure</w:t>
            </w:r>
          </w:p>
        </w:tc>
        <w:tc>
          <w:tcPr>
            <w:tcW w:w="425" w:type="dxa"/>
            <w:tcBorders>
              <w:top w:val="nil"/>
              <w:left w:val="nil"/>
              <w:bottom w:val="single" w:sz="4" w:space="0" w:color="auto"/>
              <w:right w:val="single" w:sz="4" w:space="0" w:color="auto"/>
            </w:tcBorders>
            <w:shd w:val="clear" w:color="auto" w:fill="auto"/>
            <w:vAlign w:val="center"/>
            <w:hideMark/>
          </w:tcPr>
          <w:p w14:paraId="10E9B438"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w:t>
            </w:r>
          </w:p>
        </w:tc>
        <w:tc>
          <w:tcPr>
            <w:tcW w:w="567" w:type="dxa"/>
            <w:tcBorders>
              <w:top w:val="nil"/>
              <w:left w:val="nil"/>
              <w:bottom w:val="single" w:sz="4" w:space="0" w:color="auto"/>
              <w:right w:val="single" w:sz="4" w:space="0" w:color="auto"/>
            </w:tcBorders>
            <w:shd w:val="clear" w:color="auto" w:fill="auto"/>
            <w:vAlign w:val="center"/>
            <w:hideMark/>
          </w:tcPr>
          <w:p w14:paraId="70B3931F"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disable</w:t>
            </w:r>
          </w:p>
        </w:tc>
        <w:tc>
          <w:tcPr>
            <w:tcW w:w="425" w:type="dxa"/>
            <w:tcBorders>
              <w:top w:val="nil"/>
              <w:left w:val="nil"/>
              <w:bottom w:val="single" w:sz="4" w:space="0" w:color="auto"/>
              <w:right w:val="single" w:sz="4" w:space="0" w:color="auto"/>
            </w:tcBorders>
            <w:shd w:val="clear" w:color="auto" w:fill="auto"/>
            <w:vAlign w:val="center"/>
            <w:hideMark/>
          </w:tcPr>
          <w:p w14:paraId="341FF0BE"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Per UE</w:t>
            </w:r>
          </w:p>
        </w:tc>
        <w:tc>
          <w:tcPr>
            <w:tcW w:w="567" w:type="dxa"/>
            <w:tcBorders>
              <w:top w:val="nil"/>
              <w:left w:val="nil"/>
              <w:bottom w:val="single" w:sz="4" w:space="0" w:color="auto"/>
              <w:right w:val="single" w:sz="4" w:space="0" w:color="auto"/>
            </w:tcBorders>
            <w:shd w:val="clear" w:color="auto" w:fill="auto"/>
            <w:vAlign w:val="center"/>
            <w:hideMark/>
          </w:tcPr>
          <w:p w14:paraId="486372D4"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UE specific</w:t>
            </w:r>
          </w:p>
        </w:tc>
        <w:tc>
          <w:tcPr>
            <w:tcW w:w="425" w:type="dxa"/>
            <w:tcBorders>
              <w:top w:val="nil"/>
              <w:left w:val="nil"/>
              <w:bottom w:val="single" w:sz="4" w:space="0" w:color="auto"/>
              <w:right w:val="single" w:sz="4" w:space="0" w:color="auto"/>
            </w:tcBorders>
            <w:shd w:val="clear" w:color="auto" w:fill="auto"/>
            <w:noWrap/>
            <w:vAlign w:val="center"/>
            <w:hideMark/>
          </w:tcPr>
          <w:p w14:paraId="2A3905A2"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36.331</w:t>
            </w:r>
          </w:p>
        </w:tc>
        <w:tc>
          <w:tcPr>
            <w:tcW w:w="1647" w:type="dxa"/>
            <w:tcBorders>
              <w:top w:val="nil"/>
              <w:left w:val="nil"/>
              <w:bottom w:val="single" w:sz="4" w:space="0" w:color="auto"/>
              <w:right w:val="single" w:sz="4" w:space="0" w:color="auto"/>
            </w:tcBorders>
            <w:shd w:val="clear" w:color="auto" w:fill="auto"/>
            <w:vAlign w:val="center"/>
            <w:hideMark/>
          </w:tcPr>
          <w:p w14:paraId="6899F0CA"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According to the following agreement, the configurations are up to RAN2, including the configuration of power allocation:</w:t>
            </w:r>
            <w:r w:rsidRPr="00535E2B">
              <w:rPr>
                <w:rFonts w:ascii="Arial" w:eastAsia="DengXian" w:hAnsi="Arial" w:cs="Arial"/>
                <w:color w:val="000000"/>
                <w:sz w:val="10"/>
                <w:szCs w:val="10"/>
                <w:lang w:eastAsia="zh-CN"/>
              </w:rPr>
              <w:br/>
              <w:t xml:space="preserve"> Agreement</w:t>
            </w:r>
            <w:r w:rsidRPr="00535E2B">
              <w:rPr>
                <w:rFonts w:ascii="Arial" w:eastAsia="DengXian" w:hAnsi="Arial" w:cs="Arial"/>
                <w:color w:val="000000"/>
                <w:sz w:val="10"/>
                <w:szCs w:val="10"/>
                <w:lang w:eastAsia="zh-CN"/>
              </w:rPr>
              <w:br/>
              <w:t>To support 16-QAM for NPDSCH and NPUSCH in PUR procedure,</w:t>
            </w:r>
            <w:r w:rsidRPr="00535E2B">
              <w:rPr>
                <w:rFonts w:ascii="Arial" w:eastAsia="DengXian" w:hAnsi="Arial" w:cs="Arial"/>
                <w:color w:val="000000"/>
                <w:sz w:val="10"/>
                <w:szCs w:val="10"/>
                <w:lang w:eastAsia="zh-CN"/>
              </w:rPr>
              <w:br/>
              <w:t>• 16-QAM can be enabled/disabled by UE specific RRC signaling for NPDSCH and NPUSCH separately</w:t>
            </w:r>
            <w:r w:rsidRPr="00535E2B">
              <w:rPr>
                <w:rFonts w:ascii="Arial" w:eastAsia="DengXian" w:hAnsi="Arial" w:cs="Arial"/>
                <w:color w:val="000000"/>
                <w:sz w:val="10"/>
                <w:szCs w:val="10"/>
                <w:lang w:eastAsia="zh-CN"/>
              </w:rPr>
              <w:br/>
              <w:t>•    The corresponding configurations and signaling details are up to RAN2</w:t>
            </w:r>
          </w:p>
        </w:tc>
      </w:tr>
    </w:tbl>
    <w:p w14:paraId="01797282" w14:textId="77777777" w:rsidR="00E74F54" w:rsidRDefault="00E74F54">
      <w:pPr>
        <w:spacing w:line="240" w:lineRule="auto"/>
      </w:pPr>
    </w:p>
    <w:p w14:paraId="2B2A970E" w14:textId="77777777" w:rsidR="00E74F54" w:rsidRDefault="00131C86">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E74F54" w14:paraId="7AD52ECD" w14:textId="77777777">
        <w:tc>
          <w:tcPr>
            <w:tcW w:w="1838" w:type="dxa"/>
          </w:tcPr>
          <w:p w14:paraId="1BF1C5E9" w14:textId="77777777" w:rsidR="00E74F54" w:rsidRDefault="00131C86">
            <w:pPr>
              <w:rPr>
                <w:szCs w:val="20"/>
              </w:rPr>
            </w:pPr>
            <w:r>
              <w:rPr>
                <w:rFonts w:hint="eastAsia"/>
                <w:szCs w:val="20"/>
              </w:rPr>
              <w:t>Comp</w:t>
            </w:r>
            <w:r>
              <w:rPr>
                <w:szCs w:val="20"/>
              </w:rPr>
              <w:t>anies</w:t>
            </w:r>
          </w:p>
        </w:tc>
        <w:tc>
          <w:tcPr>
            <w:tcW w:w="7469" w:type="dxa"/>
          </w:tcPr>
          <w:p w14:paraId="2542481C" w14:textId="77777777" w:rsidR="00E74F54" w:rsidRDefault="00131C86">
            <w:pPr>
              <w:rPr>
                <w:szCs w:val="20"/>
              </w:rPr>
            </w:pPr>
            <w:r>
              <w:rPr>
                <w:rFonts w:hint="eastAsia"/>
                <w:szCs w:val="20"/>
              </w:rPr>
              <w:t>Comments</w:t>
            </w:r>
          </w:p>
        </w:tc>
      </w:tr>
      <w:tr w:rsidR="00E74F54" w14:paraId="2A3F2160" w14:textId="77777777">
        <w:tc>
          <w:tcPr>
            <w:tcW w:w="1838" w:type="dxa"/>
          </w:tcPr>
          <w:p w14:paraId="5F7161C0" w14:textId="6BBF1E79" w:rsidR="00E74F54" w:rsidRDefault="00A95FA7">
            <w:pPr>
              <w:rPr>
                <w:sz w:val="20"/>
                <w:szCs w:val="20"/>
              </w:rPr>
            </w:pPr>
            <w:r>
              <w:rPr>
                <w:sz w:val="20"/>
                <w:szCs w:val="20"/>
              </w:rPr>
              <w:t>Ericsson</w:t>
            </w:r>
          </w:p>
        </w:tc>
        <w:tc>
          <w:tcPr>
            <w:tcW w:w="7469" w:type="dxa"/>
          </w:tcPr>
          <w:p w14:paraId="1BBFDAF1" w14:textId="58968EA8" w:rsidR="00E74F54" w:rsidRDefault="00A95FA7">
            <w:pPr>
              <w:spacing w:line="240" w:lineRule="auto"/>
              <w:rPr>
                <w:sz w:val="20"/>
                <w:szCs w:val="20"/>
              </w:rPr>
            </w:pPr>
            <w:r>
              <w:rPr>
                <w:sz w:val="20"/>
                <w:szCs w:val="20"/>
              </w:rPr>
              <w:t>We are Ok with it.</w:t>
            </w:r>
          </w:p>
        </w:tc>
      </w:tr>
      <w:tr w:rsidR="00E74F54" w14:paraId="6E45A4DB" w14:textId="77777777">
        <w:tc>
          <w:tcPr>
            <w:tcW w:w="1838" w:type="dxa"/>
          </w:tcPr>
          <w:p w14:paraId="52F020D6" w14:textId="416F200C" w:rsidR="00E74F54" w:rsidRDefault="004E2186">
            <w:pPr>
              <w:rPr>
                <w:szCs w:val="20"/>
                <w:lang w:eastAsia="zh-CN"/>
              </w:rPr>
            </w:pPr>
            <w:r>
              <w:rPr>
                <w:szCs w:val="20"/>
                <w:lang w:eastAsia="zh-CN"/>
              </w:rPr>
              <w:t>Qualcomm</w:t>
            </w:r>
          </w:p>
        </w:tc>
        <w:tc>
          <w:tcPr>
            <w:tcW w:w="7469" w:type="dxa"/>
          </w:tcPr>
          <w:p w14:paraId="61289E16" w14:textId="6774DDFD" w:rsidR="00E74F54" w:rsidRDefault="004E2186">
            <w:pPr>
              <w:spacing w:line="240" w:lineRule="auto"/>
            </w:pPr>
            <w:r>
              <w:t>OK</w:t>
            </w:r>
          </w:p>
        </w:tc>
      </w:tr>
      <w:tr w:rsidR="00E74F54" w14:paraId="5CE7027C" w14:textId="77777777">
        <w:tc>
          <w:tcPr>
            <w:tcW w:w="1838" w:type="dxa"/>
          </w:tcPr>
          <w:p w14:paraId="00D250DC" w14:textId="3BAE6FE0" w:rsidR="00E74F54" w:rsidRDefault="003308F0">
            <w:pPr>
              <w:rPr>
                <w:szCs w:val="20"/>
                <w:lang w:eastAsia="zh-CN"/>
              </w:rPr>
            </w:pPr>
            <w:r>
              <w:rPr>
                <w:szCs w:val="20"/>
                <w:lang w:eastAsia="zh-CN"/>
              </w:rPr>
              <w:t>Nokia, NSB</w:t>
            </w:r>
          </w:p>
        </w:tc>
        <w:tc>
          <w:tcPr>
            <w:tcW w:w="7469" w:type="dxa"/>
          </w:tcPr>
          <w:p w14:paraId="1F74BF99" w14:textId="5531C4D7" w:rsidR="00E74F54" w:rsidRDefault="003308F0">
            <w:pPr>
              <w:rPr>
                <w:szCs w:val="20"/>
                <w:lang w:eastAsia="zh-CN"/>
              </w:rPr>
            </w:pPr>
            <w:r>
              <w:rPr>
                <w:szCs w:val="20"/>
                <w:lang w:eastAsia="zh-CN"/>
              </w:rPr>
              <w:t>OK</w:t>
            </w:r>
          </w:p>
        </w:tc>
      </w:tr>
    </w:tbl>
    <w:p w14:paraId="275B7B4B" w14:textId="77777777" w:rsidR="00E74F54" w:rsidRDefault="00E74F54">
      <w:pPr>
        <w:rPr>
          <w:b/>
        </w:rPr>
      </w:pPr>
    </w:p>
    <w:p w14:paraId="7B95C721" w14:textId="77777777" w:rsidR="00E74F54" w:rsidRDefault="00131C86">
      <w:pPr>
        <w:outlineLvl w:val="2"/>
        <w:rPr>
          <w:b/>
        </w:rPr>
      </w:pPr>
      <w:r>
        <w:rPr>
          <w:rFonts w:hint="eastAsia"/>
          <w:b/>
        </w:rPr>
        <w:t>Issue 1</w:t>
      </w:r>
      <w:r>
        <w:rPr>
          <w:b/>
        </w:rPr>
        <w:t>-2</w:t>
      </w:r>
      <w:r>
        <w:rPr>
          <w:rFonts w:hint="eastAsia"/>
          <w:b/>
        </w:rPr>
        <w:t xml:space="preserve">: </w:t>
      </w:r>
      <w:r>
        <w:rPr>
          <w:b/>
        </w:rPr>
        <w:t>Configuration for downlink power allocation</w:t>
      </w:r>
    </w:p>
    <w:p w14:paraId="287B7832" w14:textId="77777777" w:rsidR="009454AE" w:rsidRDefault="009454AE">
      <w:pPr>
        <w:spacing w:line="240" w:lineRule="auto"/>
      </w:pPr>
    </w:p>
    <w:p w14:paraId="23BEEF41" w14:textId="7C1DDEA4" w:rsidR="00104C45" w:rsidRDefault="002F58B3">
      <w:pPr>
        <w:spacing w:line="240" w:lineRule="auto"/>
      </w:pPr>
      <w:r>
        <w:t>For the following rows for configuration of power allocation:</w:t>
      </w:r>
    </w:p>
    <w:tbl>
      <w:tblPr>
        <w:tblW w:w="10288" w:type="dxa"/>
        <w:tblInd w:w="-5" w:type="dxa"/>
        <w:tblLayout w:type="fixed"/>
        <w:tblLook w:val="04A0" w:firstRow="1" w:lastRow="0" w:firstColumn="1" w:lastColumn="0" w:noHBand="0" w:noVBand="1"/>
      </w:tblPr>
      <w:tblGrid>
        <w:gridCol w:w="709"/>
        <w:gridCol w:w="567"/>
        <w:gridCol w:w="425"/>
        <w:gridCol w:w="284"/>
        <w:gridCol w:w="283"/>
        <w:gridCol w:w="284"/>
        <w:gridCol w:w="850"/>
        <w:gridCol w:w="426"/>
        <w:gridCol w:w="992"/>
        <w:gridCol w:w="1276"/>
        <w:gridCol w:w="344"/>
        <w:gridCol w:w="236"/>
        <w:gridCol w:w="412"/>
        <w:gridCol w:w="567"/>
        <w:gridCol w:w="425"/>
        <w:gridCol w:w="2208"/>
      </w:tblGrid>
      <w:tr w:rsidR="002F58B3" w:rsidRPr="002F58B3" w14:paraId="1B97BA31" w14:textId="77777777" w:rsidTr="008471F3">
        <w:trPr>
          <w:trHeight w:val="180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ACCB3"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F6BBAB5"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16QAM for NB-IoT</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2E676C4"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36.213</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7E66FBD7"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4FD8619D"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B259D46"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0F6D15"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NPDSCH-NRS-PowerRatio</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3D892A0"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New</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7DCF5A"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Power ratio of NPDSCH EPRE to NRS EPRE in symbols without NRS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8897A0"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the Power ratio of NPDSCH EPRE to NRS EPRE in symbols without NRS for standalone and guard-band deployments, or in symbols without NRS nor CRS for in-band deployments</w:t>
            </w:r>
          </w:p>
        </w:tc>
        <w:tc>
          <w:tcPr>
            <w:tcW w:w="344" w:type="dxa"/>
            <w:tcBorders>
              <w:top w:val="single" w:sz="4" w:space="0" w:color="auto"/>
              <w:left w:val="nil"/>
              <w:bottom w:val="single" w:sz="4" w:space="0" w:color="auto"/>
              <w:right w:val="single" w:sz="4" w:space="0" w:color="auto"/>
            </w:tcBorders>
            <w:shd w:val="clear" w:color="auto" w:fill="FFFF00"/>
            <w:noWrap/>
            <w:vAlign w:val="center"/>
            <w:hideMark/>
          </w:tcPr>
          <w:p w14:paraId="2A2D8621"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FFS</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14:paraId="2F7F71E3"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412" w:type="dxa"/>
            <w:tcBorders>
              <w:top w:val="single" w:sz="4" w:space="0" w:color="auto"/>
              <w:left w:val="nil"/>
              <w:bottom w:val="single" w:sz="4" w:space="0" w:color="auto"/>
              <w:right w:val="single" w:sz="4" w:space="0" w:color="auto"/>
            </w:tcBorders>
            <w:shd w:val="clear" w:color="auto" w:fill="auto"/>
            <w:vAlign w:val="center"/>
            <w:hideMark/>
          </w:tcPr>
          <w:p w14:paraId="4740D965"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DE0DFEB"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6FB073F"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36.331</w:t>
            </w:r>
          </w:p>
        </w:tc>
        <w:tc>
          <w:tcPr>
            <w:tcW w:w="2208" w:type="dxa"/>
            <w:tcBorders>
              <w:top w:val="single" w:sz="4" w:space="0" w:color="auto"/>
              <w:left w:val="nil"/>
              <w:bottom w:val="single" w:sz="4" w:space="0" w:color="auto"/>
              <w:right w:val="single" w:sz="4" w:space="0" w:color="auto"/>
            </w:tcBorders>
            <w:shd w:val="clear" w:color="auto" w:fill="auto"/>
            <w:vAlign w:val="center"/>
            <w:hideMark/>
          </w:tcPr>
          <w:p w14:paraId="7751E3A9"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Confirm working assumption:</w:t>
            </w:r>
            <w:r w:rsidRPr="002F58B3">
              <w:rPr>
                <w:rFonts w:ascii="Arial" w:eastAsia="DengXian" w:hAnsi="Arial" w:cs="Arial"/>
                <w:color w:val="000000"/>
                <w:sz w:val="10"/>
                <w:szCs w:val="10"/>
                <w:lang w:eastAsia="zh-CN"/>
              </w:rPr>
              <w:br/>
              <w:t>Working Assumption</w:t>
            </w:r>
            <w:r w:rsidRPr="002F58B3">
              <w:rPr>
                <w:rFonts w:ascii="Arial" w:eastAsia="DengXian" w:hAnsi="Arial" w:cs="Arial"/>
                <w:color w:val="000000"/>
                <w:sz w:val="10"/>
                <w:szCs w:val="10"/>
                <w:lang w:eastAsia="zh-CN"/>
              </w:rPr>
              <w:br/>
              <w:t>For downlink power allocation to support 16QAM:</w:t>
            </w:r>
            <w:r w:rsidRPr="002F58B3">
              <w:rPr>
                <w:rFonts w:ascii="Arial" w:eastAsia="DengXian" w:hAnsi="Arial" w:cs="Arial"/>
                <w:color w:val="000000"/>
                <w:sz w:val="10"/>
                <w:szCs w:val="10"/>
                <w:lang w:eastAsia="zh-CN"/>
              </w:rPr>
              <w:br/>
              <w:t>• For standalone and guard-band deployments:</w:t>
            </w:r>
            <w:r w:rsidRPr="002F58B3">
              <w:rPr>
                <w:rFonts w:ascii="Arial" w:eastAsia="DengXian" w:hAnsi="Arial" w:cs="Arial"/>
                <w:color w:val="000000"/>
                <w:sz w:val="10"/>
                <w:szCs w:val="10"/>
                <w:lang w:eastAsia="zh-CN"/>
              </w:rPr>
              <w:br/>
              <w:t>o One power ratio is signaled optionally</w:t>
            </w:r>
            <w:r w:rsidRPr="002F58B3">
              <w:rPr>
                <w:rFonts w:ascii="Arial" w:eastAsia="DengXian" w:hAnsi="Arial" w:cs="Arial"/>
                <w:color w:val="000000"/>
                <w:sz w:val="10"/>
                <w:szCs w:val="10"/>
                <w:lang w:eastAsia="zh-CN"/>
              </w:rPr>
              <w:br/>
              <w:t>§ NPDSCH EPRE to NRS EPRE in symbols without NRS</w:t>
            </w:r>
            <w:r w:rsidRPr="002F58B3">
              <w:rPr>
                <w:rFonts w:ascii="Arial" w:eastAsia="DengXian" w:hAnsi="Arial" w:cs="Arial"/>
                <w:color w:val="000000"/>
                <w:sz w:val="10"/>
                <w:szCs w:val="10"/>
                <w:lang w:eastAsia="zh-CN"/>
              </w:rPr>
              <w:br/>
              <w:t>o The same transmit power is assumed across different symbols.</w:t>
            </w:r>
            <w:r w:rsidRPr="002F58B3">
              <w:rPr>
                <w:rFonts w:ascii="Arial" w:eastAsia="DengXian" w:hAnsi="Arial" w:cs="Arial"/>
                <w:color w:val="000000"/>
                <w:sz w:val="10"/>
                <w:szCs w:val="10"/>
                <w:lang w:eastAsia="zh-CN"/>
              </w:rPr>
              <w:br/>
              <w:t>o If the signalling is not indicated, the legacy power allocation is used.</w:t>
            </w:r>
            <w:r w:rsidRPr="002F58B3">
              <w:rPr>
                <w:rFonts w:ascii="Arial" w:eastAsia="DengXian" w:hAnsi="Arial" w:cs="Arial"/>
                <w:color w:val="000000"/>
                <w:sz w:val="10"/>
                <w:szCs w:val="10"/>
                <w:lang w:eastAsia="zh-CN"/>
              </w:rPr>
              <w:br/>
              <w:t>§ i.e., the ratio of NPDSCH EPRE to NRS EPRE is 0dB for one NRS antenna port, and -3dB for two NRS antenna ports</w:t>
            </w:r>
            <w:r w:rsidRPr="002F58B3">
              <w:rPr>
                <w:rFonts w:ascii="Arial" w:eastAsia="DengXian" w:hAnsi="Arial" w:cs="Arial"/>
                <w:color w:val="000000"/>
                <w:sz w:val="10"/>
                <w:szCs w:val="10"/>
                <w:lang w:eastAsia="zh-CN"/>
              </w:rPr>
              <w:br/>
              <w:t>• UE specific signalling is used</w:t>
            </w:r>
          </w:p>
        </w:tc>
      </w:tr>
      <w:tr w:rsidR="002F58B3" w:rsidRPr="002F58B3" w14:paraId="39BF4772" w14:textId="77777777" w:rsidTr="008471F3">
        <w:trPr>
          <w:trHeight w:val="126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E9D94"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NB_IOTenh4_LTE_eMTC6</w:t>
            </w:r>
          </w:p>
        </w:tc>
        <w:tc>
          <w:tcPr>
            <w:tcW w:w="567" w:type="dxa"/>
            <w:tcBorders>
              <w:top w:val="nil"/>
              <w:left w:val="nil"/>
              <w:bottom w:val="single" w:sz="4" w:space="0" w:color="auto"/>
              <w:right w:val="single" w:sz="4" w:space="0" w:color="auto"/>
            </w:tcBorders>
            <w:shd w:val="clear" w:color="auto" w:fill="auto"/>
            <w:vAlign w:val="center"/>
            <w:hideMark/>
          </w:tcPr>
          <w:p w14:paraId="5F7FFDF2"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16QAM for NB-IoT</w:t>
            </w:r>
          </w:p>
        </w:tc>
        <w:tc>
          <w:tcPr>
            <w:tcW w:w="425" w:type="dxa"/>
            <w:tcBorders>
              <w:top w:val="nil"/>
              <w:left w:val="nil"/>
              <w:bottom w:val="single" w:sz="4" w:space="0" w:color="auto"/>
              <w:right w:val="single" w:sz="4" w:space="0" w:color="auto"/>
            </w:tcBorders>
            <w:shd w:val="clear" w:color="auto" w:fill="auto"/>
            <w:noWrap/>
            <w:vAlign w:val="center"/>
            <w:hideMark/>
          </w:tcPr>
          <w:p w14:paraId="4C3E1C2F"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36.213</w:t>
            </w:r>
          </w:p>
        </w:tc>
        <w:tc>
          <w:tcPr>
            <w:tcW w:w="284" w:type="dxa"/>
            <w:tcBorders>
              <w:top w:val="nil"/>
              <w:left w:val="nil"/>
              <w:bottom w:val="single" w:sz="4" w:space="0" w:color="auto"/>
              <w:right w:val="single" w:sz="4" w:space="0" w:color="auto"/>
            </w:tcBorders>
            <w:shd w:val="clear" w:color="auto" w:fill="auto"/>
            <w:noWrap/>
            <w:vAlign w:val="center"/>
            <w:hideMark/>
          </w:tcPr>
          <w:p w14:paraId="05CC06CD"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283" w:type="dxa"/>
            <w:tcBorders>
              <w:top w:val="nil"/>
              <w:left w:val="nil"/>
              <w:bottom w:val="single" w:sz="4" w:space="0" w:color="auto"/>
              <w:right w:val="single" w:sz="4" w:space="0" w:color="auto"/>
            </w:tcBorders>
            <w:shd w:val="clear" w:color="auto" w:fill="auto"/>
            <w:noWrap/>
            <w:vAlign w:val="center"/>
            <w:hideMark/>
          </w:tcPr>
          <w:p w14:paraId="7F2DA423"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284" w:type="dxa"/>
            <w:tcBorders>
              <w:top w:val="nil"/>
              <w:left w:val="nil"/>
              <w:bottom w:val="single" w:sz="4" w:space="0" w:color="auto"/>
              <w:right w:val="single" w:sz="4" w:space="0" w:color="auto"/>
            </w:tcBorders>
            <w:shd w:val="clear" w:color="auto" w:fill="auto"/>
            <w:noWrap/>
            <w:vAlign w:val="center"/>
            <w:hideMark/>
          </w:tcPr>
          <w:p w14:paraId="14FEBF5D"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C0014F3"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NPDSCH-NRS-PowerRatio-withCRS</w:t>
            </w:r>
          </w:p>
        </w:tc>
        <w:tc>
          <w:tcPr>
            <w:tcW w:w="426" w:type="dxa"/>
            <w:tcBorders>
              <w:top w:val="nil"/>
              <w:left w:val="nil"/>
              <w:bottom w:val="single" w:sz="4" w:space="0" w:color="auto"/>
              <w:right w:val="single" w:sz="4" w:space="0" w:color="auto"/>
            </w:tcBorders>
            <w:shd w:val="clear" w:color="auto" w:fill="auto"/>
            <w:noWrap/>
            <w:vAlign w:val="center"/>
            <w:hideMark/>
          </w:tcPr>
          <w:p w14:paraId="7A3070A9"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F5F010D"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Power ratio of NPDSCH EPRE to NRS EPRE in symbols with CRS</w:t>
            </w:r>
          </w:p>
        </w:tc>
        <w:tc>
          <w:tcPr>
            <w:tcW w:w="1276" w:type="dxa"/>
            <w:tcBorders>
              <w:top w:val="nil"/>
              <w:left w:val="nil"/>
              <w:bottom w:val="single" w:sz="4" w:space="0" w:color="auto"/>
              <w:right w:val="single" w:sz="4" w:space="0" w:color="auto"/>
            </w:tcBorders>
            <w:shd w:val="clear" w:color="auto" w:fill="auto"/>
            <w:vAlign w:val="center"/>
            <w:hideMark/>
          </w:tcPr>
          <w:p w14:paraId="6AB81AB9"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the Power ratio of NPDSCH EPRE to NRS EPRE in symbols with CRS for inband deployments</w:t>
            </w:r>
          </w:p>
        </w:tc>
        <w:tc>
          <w:tcPr>
            <w:tcW w:w="344" w:type="dxa"/>
            <w:tcBorders>
              <w:top w:val="nil"/>
              <w:left w:val="nil"/>
              <w:bottom w:val="single" w:sz="4" w:space="0" w:color="auto"/>
              <w:right w:val="single" w:sz="4" w:space="0" w:color="auto"/>
            </w:tcBorders>
            <w:shd w:val="clear" w:color="auto" w:fill="FFFF00"/>
            <w:noWrap/>
            <w:vAlign w:val="center"/>
            <w:hideMark/>
          </w:tcPr>
          <w:p w14:paraId="33E62498"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FFS</w:t>
            </w:r>
          </w:p>
        </w:tc>
        <w:tc>
          <w:tcPr>
            <w:tcW w:w="236" w:type="dxa"/>
            <w:tcBorders>
              <w:top w:val="nil"/>
              <w:left w:val="nil"/>
              <w:bottom w:val="single" w:sz="4" w:space="0" w:color="auto"/>
              <w:right w:val="single" w:sz="4" w:space="0" w:color="auto"/>
            </w:tcBorders>
            <w:shd w:val="clear" w:color="auto" w:fill="auto"/>
            <w:noWrap/>
            <w:vAlign w:val="center"/>
            <w:hideMark/>
          </w:tcPr>
          <w:p w14:paraId="1F169896"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412" w:type="dxa"/>
            <w:tcBorders>
              <w:top w:val="nil"/>
              <w:left w:val="nil"/>
              <w:bottom w:val="single" w:sz="4" w:space="0" w:color="auto"/>
              <w:right w:val="single" w:sz="4" w:space="0" w:color="auto"/>
            </w:tcBorders>
            <w:shd w:val="clear" w:color="auto" w:fill="auto"/>
            <w:vAlign w:val="center"/>
            <w:hideMark/>
          </w:tcPr>
          <w:p w14:paraId="40E88344"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Per UE</w:t>
            </w:r>
          </w:p>
        </w:tc>
        <w:tc>
          <w:tcPr>
            <w:tcW w:w="567" w:type="dxa"/>
            <w:tcBorders>
              <w:top w:val="nil"/>
              <w:left w:val="nil"/>
              <w:bottom w:val="single" w:sz="4" w:space="0" w:color="auto"/>
              <w:right w:val="single" w:sz="4" w:space="0" w:color="auto"/>
            </w:tcBorders>
            <w:shd w:val="clear" w:color="auto" w:fill="auto"/>
            <w:vAlign w:val="center"/>
            <w:hideMark/>
          </w:tcPr>
          <w:p w14:paraId="33009A33"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UE specific</w:t>
            </w:r>
          </w:p>
        </w:tc>
        <w:tc>
          <w:tcPr>
            <w:tcW w:w="425" w:type="dxa"/>
            <w:tcBorders>
              <w:top w:val="nil"/>
              <w:left w:val="nil"/>
              <w:bottom w:val="single" w:sz="4" w:space="0" w:color="auto"/>
              <w:right w:val="single" w:sz="4" w:space="0" w:color="auto"/>
            </w:tcBorders>
            <w:shd w:val="clear" w:color="auto" w:fill="auto"/>
            <w:noWrap/>
            <w:vAlign w:val="center"/>
            <w:hideMark/>
          </w:tcPr>
          <w:p w14:paraId="39286FD8"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36.331</w:t>
            </w:r>
          </w:p>
        </w:tc>
        <w:tc>
          <w:tcPr>
            <w:tcW w:w="2208" w:type="dxa"/>
            <w:tcBorders>
              <w:top w:val="nil"/>
              <w:left w:val="nil"/>
              <w:bottom w:val="single" w:sz="4" w:space="0" w:color="auto"/>
              <w:right w:val="single" w:sz="4" w:space="0" w:color="auto"/>
            </w:tcBorders>
            <w:shd w:val="clear" w:color="auto" w:fill="auto"/>
            <w:vAlign w:val="center"/>
            <w:hideMark/>
          </w:tcPr>
          <w:p w14:paraId="5F5778B9"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Agreement</w:t>
            </w:r>
            <w:r w:rsidRPr="002F58B3">
              <w:rPr>
                <w:rFonts w:ascii="Arial" w:eastAsia="DengXian" w:hAnsi="Arial" w:cs="Arial"/>
                <w:color w:val="000000"/>
                <w:sz w:val="10"/>
                <w:szCs w:val="10"/>
                <w:lang w:eastAsia="zh-CN"/>
              </w:rPr>
              <w:br/>
              <w:t>Confirm the following working assumption:</w:t>
            </w:r>
            <w:r w:rsidRPr="002F58B3">
              <w:rPr>
                <w:rFonts w:ascii="Arial" w:eastAsia="DengXian" w:hAnsi="Arial" w:cs="Arial"/>
                <w:color w:val="000000"/>
                <w:sz w:val="10"/>
                <w:szCs w:val="10"/>
                <w:lang w:eastAsia="zh-CN"/>
              </w:rPr>
              <w:br/>
              <w:t>For downlink power allocation to support 16QAM:</w:t>
            </w:r>
            <w:r w:rsidRPr="002F58B3">
              <w:rPr>
                <w:rFonts w:ascii="Arial" w:eastAsia="DengXian" w:hAnsi="Arial" w:cs="Arial"/>
                <w:color w:val="000000"/>
                <w:sz w:val="10"/>
                <w:szCs w:val="10"/>
                <w:lang w:eastAsia="zh-CN"/>
              </w:rPr>
              <w:br/>
              <w:t xml:space="preserve">• For inband deployments, a power ratio is signaled in addition to the signalling for standalone and guard-band deployments which in this case applies to “symbols with NRS” and “symbols without NRS nor CRS”. </w:t>
            </w:r>
            <w:r w:rsidRPr="002F58B3">
              <w:rPr>
                <w:rFonts w:ascii="Arial" w:eastAsia="DengXian" w:hAnsi="Arial" w:cs="Arial"/>
                <w:color w:val="000000"/>
                <w:sz w:val="10"/>
                <w:szCs w:val="10"/>
                <w:lang w:eastAsia="zh-CN"/>
              </w:rPr>
              <w:br/>
              <w:t>o the power ratio between NPDSCH EPRE and NRS EPRE in symbols with CRS is signalled</w:t>
            </w:r>
            <w:r w:rsidRPr="002F58B3">
              <w:rPr>
                <w:rFonts w:ascii="Arial" w:eastAsia="DengXian" w:hAnsi="Arial" w:cs="Arial"/>
                <w:color w:val="000000"/>
                <w:sz w:val="10"/>
                <w:szCs w:val="10"/>
                <w:lang w:eastAsia="zh-CN"/>
              </w:rPr>
              <w:br/>
              <w:t>o the signalling is UE specific</w:t>
            </w:r>
            <w:r w:rsidRPr="002F58B3">
              <w:rPr>
                <w:rFonts w:ascii="Arial" w:eastAsia="DengXian" w:hAnsi="Arial" w:cs="Arial"/>
                <w:color w:val="000000"/>
                <w:sz w:val="10"/>
                <w:szCs w:val="10"/>
                <w:lang w:eastAsia="zh-CN"/>
              </w:rPr>
              <w:br/>
              <w:t>Note: “symbols with NRS” and “symbols without NRS nor CRS” have the same power.</w:t>
            </w:r>
          </w:p>
        </w:tc>
      </w:tr>
    </w:tbl>
    <w:p w14:paraId="634137A7" w14:textId="77777777" w:rsidR="007E61D3" w:rsidRDefault="007E61D3">
      <w:pPr>
        <w:spacing w:line="240" w:lineRule="auto"/>
      </w:pPr>
    </w:p>
    <w:p w14:paraId="35EC8BD0" w14:textId="5800DD74" w:rsidR="00430F43" w:rsidRDefault="007E61D3">
      <w:pPr>
        <w:spacing w:line="240" w:lineRule="auto"/>
      </w:pPr>
      <w:r>
        <w:t>T</w:t>
      </w:r>
      <w:r>
        <w:rPr>
          <w:rFonts w:hint="eastAsia"/>
        </w:rPr>
        <w:t xml:space="preserve">here </w:t>
      </w:r>
      <w:r>
        <w:t>is following proposal</w:t>
      </w:r>
    </w:p>
    <w:tbl>
      <w:tblPr>
        <w:tblStyle w:val="TableGrid"/>
        <w:tblW w:w="0" w:type="auto"/>
        <w:tblLook w:val="04A0" w:firstRow="1" w:lastRow="0" w:firstColumn="1" w:lastColumn="0" w:noHBand="0" w:noVBand="1"/>
      </w:tblPr>
      <w:tblGrid>
        <w:gridCol w:w="1413"/>
        <w:gridCol w:w="7894"/>
      </w:tblGrid>
      <w:tr w:rsidR="00E91F1B" w14:paraId="25E3EEFD" w14:textId="77777777" w:rsidTr="00E91F1B">
        <w:tc>
          <w:tcPr>
            <w:tcW w:w="1413" w:type="dxa"/>
          </w:tcPr>
          <w:p w14:paraId="2B6C777F" w14:textId="7C19B05A" w:rsidR="00E91F1B" w:rsidRDefault="00E91F1B">
            <w:pPr>
              <w:spacing w:line="240" w:lineRule="auto"/>
            </w:pPr>
            <w:r>
              <w:rPr>
                <w:rFonts w:hint="eastAsia"/>
              </w:rPr>
              <w:t>Sourcing</w:t>
            </w:r>
          </w:p>
        </w:tc>
        <w:tc>
          <w:tcPr>
            <w:tcW w:w="7894" w:type="dxa"/>
          </w:tcPr>
          <w:p w14:paraId="7B311AF4" w14:textId="225D9B40" w:rsidR="00E91F1B" w:rsidRDefault="00E91F1B">
            <w:pPr>
              <w:spacing w:line="240" w:lineRule="auto"/>
            </w:pPr>
            <w:r>
              <w:rPr>
                <w:rFonts w:hint="eastAsia"/>
              </w:rPr>
              <w:t>Proposals</w:t>
            </w:r>
          </w:p>
        </w:tc>
      </w:tr>
      <w:tr w:rsidR="00E91F1B" w14:paraId="206FD7DF" w14:textId="77777777" w:rsidTr="00E91F1B">
        <w:tc>
          <w:tcPr>
            <w:tcW w:w="1413" w:type="dxa"/>
          </w:tcPr>
          <w:p w14:paraId="34542C90" w14:textId="008F5F31" w:rsidR="00E91F1B" w:rsidRDefault="00E91F1B">
            <w:pPr>
              <w:spacing w:line="240" w:lineRule="auto"/>
            </w:pPr>
            <w:r>
              <w:rPr>
                <w:rFonts w:hint="eastAsia"/>
              </w:rPr>
              <w:t>[3]</w:t>
            </w:r>
          </w:p>
        </w:tc>
        <w:tc>
          <w:tcPr>
            <w:tcW w:w="7894" w:type="dxa"/>
          </w:tcPr>
          <w:p w14:paraId="1C3E6330" w14:textId="5FFDB034" w:rsidR="00E91F1B" w:rsidRPr="00E91F1B" w:rsidRDefault="00E91F1B">
            <w:pPr>
              <w:spacing w:line="240" w:lineRule="auto"/>
              <w:rPr>
                <w:b/>
                <w:lang w:eastAsia="zh-CN"/>
              </w:rPr>
            </w:pPr>
            <w:r w:rsidRPr="00E91F1B">
              <w:rPr>
                <w:b/>
              </w:rPr>
              <w:t xml:space="preserve">Proposal 6: The value range for RRC parameter power ratio of NPDSCH EPRE to NRS EPRE in symbols without NRS should be </w:t>
            </w:r>
            <w:r w:rsidRPr="00E91F1B">
              <w:rPr>
                <w:b/>
                <w:lang w:eastAsia="zh-CN"/>
              </w:rPr>
              <w:t>{-6, -4.77, -3, -1.77, 0, 1, 2, 3} dB.</w:t>
            </w:r>
          </w:p>
        </w:tc>
      </w:tr>
    </w:tbl>
    <w:p w14:paraId="7CFF3B27" w14:textId="77777777" w:rsidR="002F58B3" w:rsidRDefault="002F58B3">
      <w:pPr>
        <w:spacing w:line="240" w:lineRule="auto"/>
      </w:pPr>
    </w:p>
    <w:p w14:paraId="4EBC7843" w14:textId="7F32320C" w:rsidR="00AB405D" w:rsidRDefault="008471F3" w:rsidP="00AB405D">
      <w:pPr>
        <w:spacing w:line="240" w:lineRule="auto"/>
      </w:pPr>
      <w:r>
        <w:rPr>
          <w:rFonts w:hint="eastAsia"/>
        </w:rPr>
        <w:t xml:space="preserve">Please input your </w:t>
      </w:r>
      <w:r w:rsidR="00A776C0">
        <w:t>comments on the value range of the higher layer parameters for power allocation</w:t>
      </w:r>
      <w:r w:rsidR="00AB405D">
        <w:rPr>
          <w:rFonts w:hint="eastAsia"/>
        </w:rPr>
        <w:t>:</w:t>
      </w:r>
    </w:p>
    <w:tbl>
      <w:tblPr>
        <w:tblStyle w:val="TableGrid"/>
        <w:tblW w:w="0" w:type="auto"/>
        <w:tblLook w:val="04A0" w:firstRow="1" w:lastRow="0" w:firstColumn="1" w:lastColumn="0" w:noHBand="0" w:noVBand="1"/>
      </w:tblPr>
      <w:tblGrid>
        <w:gridCol w:w="1838"/>
        <w:gridCol w:w="7469"/>
      </w:tblGrid>
      <w:tr w:rsidR="00AB405D" w14:paraId="05E688C4" w14:textId="77777777" w:rsidTr="002C1EC2">
        <w:tc>
          <w:tcPr>
            <w:tcW w:w="1838" w:type="dxa"/>
          </w:tcPr>
          <w:p w14:paraId="2F5E8A0B" w14:textId="77777777" w:rsidR="00AB405D" w:rsidRDefault="00AB405D" w:rsidP="002C1EC2">
            <w:pPr>
              <w:rPr>
                <w:szCs w:val="20"/>
              </w:rPr>
            </w:pPr>
            <w:r>
              <w:rPr>
                <w:rFonts w:hint="eastAsia"/>
                <w:szCs w:val="20"/>
              </w:rPr>
              <w:t>Comp</w:t>
            </w:r>
            <w:r>
              <w:rPr>
                <w:szCs w:val="20"/>
              </w:rPr>
              <w:t>anies</w:t>
            </w:r>
          </w:p>
        </w:tc>
        <w:tc>
          <w:tcPr>
            <w:tcW w:w="7469" w:type="dxa"/>
          </w:tcPr>
          <w:p w14:paraId="58E28A75" w14:textId="77777777" w:rsidR="00AB405D" w:rsidRDefault="00AB405D" w:rsidP="002C1EC2">
            <w:pPr>
              <w:rPr>
                <w:szCs w:val="20"/>
              </w:rPr>
            </w:pPr>
            <w:r>
              <w:rPr>
                <w:rFonts w:hint="eastAsia"/>
                <w:szCs w:val="20"/>
              </w:rPr>
              <w:t>Comments</w:t>
            </w:r>
          </w:p>
        </w:tc>
      </w:tr>
      <w:tr w:rsidR="00AB405D" w14:paraId="02310D49" w14:textId="77777777" w:rsidTr="002C1EC2">
        <w:tc>
          <w:tcPr>
            <w:tcW w:w="1838" w:type="dxa"/>
          </w:tcPr>
          <w:p w14:paraId="78198E02" w14:textId="49813867" w:rsidR="00AB405D" w:rsidRPr="00513A89" w:rsidRDefault="00A95FA7" w:rsidP="002C1EC2">
            <w:pPr>
              <w:rPr>
                <w:sz w:val="21"/>
                <w:szCs w:val="21"/>
                <w:lang w:eastAsia="zh-CN"/>
              </w:rPr>
            </w:pPr>
            <w:r>
              <w:rPr>
                <w:sz w:val="21"/>
                <w:szCs w:val="21"/>
                <w:lang w:eastAsia="zh-CN"/>
              </w:rPr>
              <w:t>Ericsson</w:t>
            </w:r>
          </w:p>
        </w:tc>
        <w:tc>
          <w:tcPr>
            <w:tcW w:w="7469" w:type="dxa"/>
          </w:tcPr>
          <w:p w14:paraId="0769D585" w14:textId="754C2F27" w:rsidR="00AB405D" w:rsidRPr="00513A89" w:rsidRDefault="00A95FA7" w:rsidP="002C1EC2">
            <w:pPr>
              <w:spacing w:line="240" w:lineRule="auto"/>
              <w:rPr>
                <w:sz w:val="21"/>
                <w:szCs w:val="21"/>
                <w:lang w:eastAsia="zh-CN"/>
              </w:rPr>
            </w:pPr>
            <w:r w:rsidRPr="00A95FA7">
              <w:rPr>
                <w:sz w:val="21"/>
                <w:szCs w:val="21"/>
                <w:lang w:eastAsia="zh-CN"/>
              </w:rPr>
              <w:t>Proposal 6 refers to the power ratio of “NPDSCH EPRE to NRS EPRE in symbols without NRS”, is the right understanding that the same set of values is being proposed to be used for “the Power ratio of NPDSCH EPRE to NRS EPRE in symbols with CRS”?</w:t>
            </w:r>
          </w:p>
        </w:tc>
      </w:tr>
      <w:tr w:rsidR="00AB405D" w14:paraId="4A5DD4F4" w14:textId="77777777" w:rsidTr="002C1EC2">
        <w:tc>
          <w:tcPr>
            <w:tcW w:w="1838" w:type="dxa"/>
          </w:tcPr>
          <w:p w14:paraId="2ED76550" w14:textId="08D2F672" w:rsidR="00AB405D" w:rsidRDefault="0023790E" w:rsidP="002C1EC2">
            <w:pPr>
              <w:rPr>
                <w:szCs w:val="20"/>
                <w:lang w:eastAsia="zh-CN"/>
              </w:rPr>
            </w:pPr>
            <w:r>
              <w:rPr>
                <w:szCs w:val="20"/>
                <w:lang w:eastAsia="zh-CN"/>
              </w:rPr>
              <w:t>Qualcomm</w:t>
            </w:r>
          </w:p>
        </w:tc>
        <w:tc>
          <w:tcPr>
            <w:tcW w:w="7469" w:type="dxa"/>
          </w:tcPr>
          <w:p w14:paraId="185685F5" w14:textId="1D2E5104" w:rsidR="00AB405D" w:rsidRDefault="00CC4CF7" w:rsidP="002C1EC2">
            <w:pPr>
              <w:spacing w:line="240" w:lineRule="auto"/>
            </w:pPr>
            <w:r>
              <w:t>We agree with Ericsson that it would be good to clarify the ranges for both types of symbols.</w:t>
            </w:r>
          </w:p>
        </w:tc>
      </w:tr>
      <w:tr w:rsidR="003308F0" w14:paraId="303581F2" w14:textId="77777777" w:rsidTr="002C1EC2">
        <w:tc>
          <w:tcPr>
            <w:tcW w:w="1838" w:type="dxa"/>
          </w:tcPr>
          <w:p w14:paraId="0CBF8363" w14:textId="6CE3AB69" w:rsidR="003308F0" w:rsidRDefault="003308F0" w:rsidP="003308F0">
            <w:pPr>
              <w:rPr>
                <w:szCs w:val="20"/>
                <w:lang w:eastAsia="zh-CN"/>
              </w:rPr>
            </w:pPr>
            <w:r>
              <w:rPr>
                <w:szCs w:val="20"/>
                <w:lang w:eastAsia="zh-CN"/>
              </w:rPr>
              <w:t>Nokia, NSB</w:t>
            </w:r>
          </w:p>
        </w:tc>
        <w:tc>
          <w:tcPr>
            <w:tcW w:w="7469" w:type="dxa"/>
          </w:tcPr>
          <w:p w14:paraId="2A203246" w14:textId="0978AAA9" w:rsidR="003308F0" w:rsidRDefault="003308F0" w:rsidP="003308F0">
            <w:pPr>
              <w:rPr>
                <w:szCs w:val="20"/>
                <w:lang w:eastAsia="zh-CN"/>
              </w:rPr>
            </w:pPr>
            <w:r>
              <w:rPr>
                <w:szCs w:val="20"/>
                <w:lang w:eastAsia="zh-CN"/>
              </w:rPr>
              <w:t xml:space="preserve">We are fine with the proposed range for </w:t>
            </w:r>
            <w:r w:rsidRPr="003308F0">
              <w:rPr>
                <w:szCs w:val="20"/>
                <w:lang w:eastAsia="zh-CN"/>
              </w:rPr>
              <w:t>NPDSCH EPRE to NRS EPRE in symbols without NRS</w:t>
            </w:r>
          </w:p>
        </w:tc>
      </w:tr>
    </w:tbl>
    <w:p w14:paraId="0FC6E494" w14:textId="77777777" w:rsidR="00AB405D" w:rsidRDefault="00AB405D">
      <w:pPr>
        <w:spacing w:line="240" w:lineRule="auto"/>
      </w:pPr>
    </w:p>
    <w:p w14:paraId="5C3BB610" w14:textId="77777777" w:rsidR="00E74F54" w:rsidRDefault="00E74F54">
      <w:pPr>
        <w:spacing w:line="240" w:lineRule="auto"/>
      </w:pPr>
    </w:p>
    <w:p w14:paraId="79C47BC5" w14:textId="77777777" w:rsidR="00E74F54" w:rsidRDefault="00131C86">
      <w:pPr>
        <w:outlineLvl w:val="2"/>
        <w:rPr>
          <w:b/>
        </w:rPr>
      </w:pPr>
      <w:r>
        <w:rPr>
          <w:rFonts w:hint="eastAsia"/>
          <w:b/>
        </w:rPr>
        <w:t>Issue 1</w:t>
      </w:r>
      <w:r>
        <w:rPr>
          <w:b/>
        </w:rPr>
        <w:t>-3</w:t>
      </w:r>
      <w:r>
        <w:rPr>
          <w:rFonts w:hint="eastAsia"/>
          <w:b/>
        </w:rPr>
        <w:t xml:space="preserve">: </w:t>
      </w:r>
      <w:r>
        <w:rPr>
          <w:b/>
        </w:rPr>
        <w:t>Configuration for uplink power control</w:t>
      </w:r>
    </w:p>
    <w:p w14:paraId="01CD2D5B" w14:textId="622F84F3" w:rsidR="00E74F54" w:rsidRDefault="00131C86">
      <w:r>
        <w:rPr>
          <w:rFonts w:hint="eastAsia"/>
        </w:rPr>
        <w:t xml:space="preserve">This will be discussed once </w:t>
      </w:r>
      <w:r w:rsidR="00505D41">
        <w:t>there’s new agreement</w:t>
      </w:r>
      <w:r>
        <w:t>.</w:t>
      </w:r>
    </w:p>
    <w:p w14:paraId="30BFE934" w14:textId="77777777" w:rsidR="00E74F54" w:rsidRDefault="00E74F54">
      <w:pPr>
        <w:rPr>
          <w:b/>
        </w:rPr>
      </w:pPr>
    </w:p>
    <w:p w14:paraId="4D6233DA" w14:textId="77777777" w:rsidR="00E74F54" w:rsidRDefault="00131C86">
      <w:pPr>
        <w:outlineLvl w:val="2"/>
        <w:rPr>
          <w:b/>
        </w:rPr>
      </w:pPr>
      <w:r>
        <w:rPr>
          <w:rFonts w:hint="eastAsia"/>
          <w:b/>
        </w:rPr>
        <w:t>Issue 1</w:t>
      </w:r>
      <w:r>
        <w:rPr>
          <w:b/>
        </w:rPr>
        <w:t>-4</w:t>
      </w:r>
      <w:r>
        <w:rPr>
          <w:rFonts w:hint="eastAsia"/>
          <w:b/>
        </w:rPr>
        <w:t xml:space="preserve">: </w:t>
      </w:r>
      <w:r>
        <w:rPr>
          <w:b/>
        </w:rPr>
        <w:t>Others</w:t>
      </w:r>
    </w:p>
    <w:p w14:paraId="4B6C025E" w14:textId="77777777" w:rsidR="00E74F54" w:rsidRDefault="00131C86">
      <w:pPr>
        <w:rPr>
          <w:b/>
        </w:rPr>
      </w:pPr>
      <w:r>
        <w:t>Please input your comments on issues other than the above ones:</w:t>
      </w:r>
    </w:p>
    <w:tbl>
      <w:tblPr>
        <w:tblStyle w:val="TableGrid"/>
        <w:tblW w:w="0" w:type="auto"/>
        <w:tblLook w:val="04A0" w:firstRow="1" w:lastRow="0" w:firstColumn="1" w:lastColumn="0" w:noHBand="0" w:noVBand="1"/>
      </w:tblPr>
      <w:tblGrid>
        <w:gridCol w:w="1838"/>
        <w:gridCol w:w="7469"/>
      </w:tblGrid>
      <w:tr w:rsidR="00E74F54" w14:paraId="66A7159E" w14:textId="77777777">
        <w:tc>
          <w:tcPr>
            <w:tcW w:w="1838" w:type="dxa"/>
          </w:tcPr>
          <w:p w14:paraId="09A3B7A1" w14:textId="77777777" w:rsidR="00E74F54" w:rsidRDefault="00131C86">
            <w:pPr>
              <w:rPr>
                <w:szCs w:val="20"/>
              </w:rPr>
            </w:pPr>
            <w:r>
              <w:rPr>
                <w:rFonts w:hint="eastAsia"/>
                <w:szCs w:val="20"/>
              </w:rPr>
              <w:t>Comp</w:t>
            </w:r>
            <w:r>
              <w:rPr>
                <w:szCs w:val="20"/>
              </w:rPr>
              <w:t>anies</w:t>
            </w:r>
          </w:p>
        </w:tc>
        <w:tc>
          <w:tcPr>
            <w:tcW w:w="7469" w:type="dxa"/>
          </w:tcPr>
          <w:p w14:paraId="68C8490B" w14:textId="77777777" w:rsidR="00E74F54" w:rsidRDefault="00131C86">
            <w:pPr>
              <w:rPr>
                <w:szCs w:val="20"/>
              </w:rPr>
            </w:pPr>
            <w:r>
              <w:rPr>
                <w:rFonts w:hint="eastAsia"/>
                <w:szCs w:val="20"/>
              </w:rPr>
              <w:t>Comments</w:t>
            </w:r>
          </w:p>
        </w:tc>
      </w:tr>
      <w:tr w:rsidR="00E74F54" w14:paraId="3A5FB133" w14:textId="77777777">
        <w:tc>
          <w:tcPr>
            <w:tcW w:w="1838" w:type="dxa"/>
          </w:tcPr>
          <w:p w14:paraId="32F53A72" w14:textId="7795E37F" w:rsidR="00E74F54" w:rsidRDefault="00A95FA7">
            <w:pPr>
              <w:rPr>
                <w:sz w:val="20"/>
                <w:szCs w:val="20"/>
                <w:lang w:eastAsia="zh-CN"/>
              </w:rPr>
            </w:pPr>
            <w:r>
              <w:rPr>
                <w:sz w:val="20"/>
                <w:szCs w:val="20"/>
                <w:lang w:eastAsia="zh-CN"/>
              </w:rPr>
              <w:t>Ericsson</w:t>
            </w:r>
          </w:p>
        </w:tc>
        <w:tc>
          <w:tcPr>
            <w:tcW w:w="7469" w:type="dxa"/>
          </w:tcPr>
          <w:p w14:paraId="04CFFE69" w14:textId="79184E37" w:rsidR="00E74F54" w:rsidRPr="003A0E90" w:rsidRDefault="00A95FA7">
            <w:pPr>
              <w:spacing w:line="240" w:lineRule="auto"/>
              <w:rPr>
                <w:rFonts w:eastAsia="Times New Roman"/>
                <w:bCs/>
                <w:szCs w:val="20"/>
              </w:rPr>
            </w:pPr>
            <w:r>
              <w:rPr>
                <w:rFonts w:eastAsia="Times New Roman"/>
                <w:bCs/>
                <w:szCs w:val="20"/>
              </w:rPr>
              <w:t>None</w:t>
            </w:r>
          </w:p>
        </w:tc>
      </w:tr>
      <w:tr w:rsidR="00E74F54" w14:paraId="236683BF" w14:textId="77777777">
        <w:tc>
          <w:tcPr>
            <w:tcW w:w="1838" w:type="dxa"/>
          </w:tcPr>
          <w:p w14:paraId="041DCE11" w14:textId="77777777" w:rsidR="00E74F54" w:rsidRDefault="00E74F54">
            <w:pPr>
              <w:rPr>
                <w:szCs w:val="20"/>
                <w:lang w:eastAsia="zh-CN"/>
              </w:rPr>
            </w:pPr>
          </w:p>
        </w:tc>
        <w:tc>
          <w:tcPr>
            <w:tcW w:w="7469" w:type="dxa"/>
          </w:tcPr>
          <w:p w14:paraId="0677222B" w14:textId="77777777" w:rsidR="00E74F54" w:rsidRDefault="00E74F54">
            <w:pPr>
              <w:spacing w:line="240" w:lineRule="auto"/>
            </w:pPr>
          </w:p>
        </w:tc>
      </w:tr>
      <w:tr w:rsidR="00E74F54" w14:paraId="548FABA9" w14:textId="77777777">
        <w:tc>
          <w:tcPr>
            <w:tcW w:w="1838" w:type="dxa"/>
          </w:tcPr>
          <w:p w14:paraId="2ED8EBBD" w14:textId="77777777" w:rsidR="00E74F54" w:rsidRDefault="00E74F54">
            <w:pPr>
              <w:rPr>
                <w:szCs w:val="20"/>
                <w:lang w:eastAsia="zh-CN"/>
              </w:rPr>
            </w:pPr>
          </w:p>
        </w:tc>
        <w:tc>
          <w:tcPr>
            <w:tcW w:w="7469" w:type="dxa"/>
          </w:tcPr>
          <w:p w14:paraId="52D871B9" w14:textId="77777777" w:rsidR="00E74F54" w:rsidRDefault="00E74F54">
            <w:pPr>
              <w:rPr>
                <w:szCs w:val="20"/>
                <w:lang w:eastAsia="zh-CN"/>
              </w:rPr>
            </w:pPr>
          </w:p>
        </w:tc>
      </w:tr>
    </w:tbl>
    <w:p w14:paraId="26B949FD" w14:textId="77777777" w:rsidR="00E74F54" w:rsidRDefault="00E74F54">
      <w:pPr>
        <w:rPr>
          <w:b/>
        </w:rPr>
      </w:pPr>
    </w:p>
    <w:p w14:paraId="2D582F5A" w14:textId="77777777" w:rsidR="00E74F54" w:rsidRDefault="00E74F54">
      <w:pPr>
        <w:rPr>
          <w:b/>
        </w:rPr>
      </w:pPr>
    </w:p>
    <w:p w14:paraId="2B1D4B44" w14:textId="77777777" w:rsidR="00E74F54" w:rsidRDefault="00131C86">
      <w:pPr>
        <w:pStyle w:val="Heading2"/>
        <w:rPr>
          <w:lang w:eastAsia="zh-CN"/>
        </w:rPr>
      </w:pPr>
      <w:r>
        <w:rPr>
          <w:lang w:eastAsia="zh-CN"/>
        </w:rPr>
        <w:t>Support additional PDSCH scheduling delay for introduction of 14-HARQ processes in DL for eMTC</w:t>
      </w:r>
    </w:p>
    <w:p w14:paraId="1DDD32B1" w14:textId="77777777" w:rsidR="00E74F54" w:rsidRDefault="00E74F54"/>
    <w:p w14:paraId="49EE729D" w14:textId="77777777" w:rsidR="00E74F54" w:rsidRDefault="00131C86">
      <w:pPr>
        <w:rPr>
          <w:b/>
        </w:rPr>
      </w:pPr>
      <w:r>
        <w:t>Please input your comments in below table:</w:t>
      </w:r>
    </w:p>
    <w:tbl>
      <w:tblPr>
        <w:tblStyle w:val="TableGrid"/>
        <w:tblW w:w="0" w:type="auto"/>
        <w:tblLook w:val="04A0" w:firstRow="1" w:lastRow="0" w:firstColumn="1" w:lastColumn="0" w:noHBand="0" w:noVBand="1"/>
      </w:tblPr>
      <w:tblGrid>
        <w:gridCol w:w="1838"/>
        <w:gridCol w:w="7469"/>
      </w:tblGrid>
      <w:tr w:rsidR="00E74F54" w14:paraId="23D3AEA3" w14:textId="77777777">
        <w:tc>
          <w:tcPr>
            <w:tcW w:w="1838" w:type="dxa"/>
          </w:tcPr>
          <w:p w14:paraId="5BAFC15B" w14:textId="77777777" w:rsidR="00E74F54" w:rsidRDefault="00131C86">
            <w:pPr>
              <w:rPr>
                <w:szCs w:val="20"/>
              </w:rPr>
            </w:pPr>
            <w:r>
              <w:rPr>
                <w:rFonts w:hint="eastAsia"/>
                <w:szCs w:val="20"/>
              </w:rPr>
              <w:t>Comp</w:t>
            </w:r>
            <w:r>
              <w:rPr>
                <w:szCs w:val="20"/>
              </w:rPr>
              <w:t>anies</w:t>
            </w:r>
          </w:p>
        </w:tc>
        <w:tc>
          <w:tcPr>
            <w:tcW w:w="7469" w:type="dxa"/>
          </w:tcPr>
          <w:p w14:paraId="0099B57A" w14:textId="77777777" w:rsidR="00E74F54" w:rsidRDefault="00131C86">
            <w:pPr>
              <w:rPr>
                <w:szCs w:val="20"/>
              </w:rPr>
            </w:pPr>
            <w:r>
              <w:rPr>
                <w:rFonts w:hint="eastAsia"/>
                <w:szCs w:val="20"/>
              </w:rPr>
              <w:t>Comments</w:t>
            </w:r>
          </w:p>
        </w:tc>
      </w:tr>
      <w:tr w:rsidR="00E74F54" w14:paraId="33555169" w14:textId="77777777">
        <w:tc>
          <w:tcPr>
            <w:tcW w:w="1838" w:type="dxa"/>
          </w:tcPr>
          <w:p w14:paraId="0ADF683B" w14:textId="70BB0AB5" w:rsidR="00E74F54" w:rsidRPr="00B81B15" w:rsidRDefault="00A95FA7">
            <w:pPr>
              <w:rPr>
                <w:lang w:eastAsia="zh-CN"/>
              </w:rPr>
            </w:pPr>
            <w:r>
              <w:rPr>
                <w:lang w:eastAsia="zh-CN"/>
              </w:rPr>
              <w:t>Ericsson</w:t>
            </w:r>
          </w:p>
        </w:tc>
        <w:tc>
          <w:tcPr>
            <w:tcW w:w="7469" w:type="dxa"/>
          </w:tcPr>
          <w:p w14:paraId="37AE4336" w14:textId="7399CA2E" w:rsidR="00E74F54" w:rsidRPr="00B81B15" w:rsidRDefault="00A95FA7" w:rsidP="00636A00">
            <w:pPr>
              <w:widowControl w:val="0"/>
              <w:spacing w:line="240" w:lineRule="auto"/>
            </w:pPr>
            <w:r>
              <w:t>None</w:t>
            </w:r>
          </w:p>
        </w:tc>
      </w:tr>
      <w:tr w:rsidR="00E74F54" w14:paraId="2D24B323" w14:textId="77777777">
        <w:tc>
          <w:tcPr>
            <w:tcW w:w="1838" w:type="dxa"/>
          </w:tcPr>
          <w:p w14:paraId="6B2102C2" w14:textId="14BFF131" w:rsidR="00E74F54" w:rsidRDefault="00E74F54">
            <w:pPr>
              <w:rPr>
                <w:szCs w:val="20"/>
                <w:lang w:eastAsia="zh-CN"/>
              </w:rPr>
            </w:pPr>
          </w:p>
        </w:tc>
        <w:tc>
          <w:tcPr>
            <w:tcW w:w="7469" w:type="dxa"/>
          </w:tcPr>
          <w:p w14:paraId="6C73AF9B" w14:textId="0CB84872" w:rsidR="00E74F54" w:rsidRDefault="00E74F54">
            <w:pPr>
              <w:spacing w:line="240" w:lineRule="auto"/>
            </w:pPr>
          </w:p>
        </w:tc>
      </w:tr>
      <w:tr w:rsidR="00E74F54" w14:paraId="64C4B9D3" w14:textId="77777777">
        <w:tc>
          <w:tcPr>
            <w:tcW w:w="1838" w:type="dxa"/>
          </w:tcPr>
          <w:p w14:paraId="73F919DB" w14:textId="3C96AB74" w:rsidR="00E74F54" w:rsidRDefault="00E74F54">
            <w:pPr>
              <w:rPr>
                <w:szCs w:val="20"/>
                <w:lang w:eastAsia="zh-CN"/>
              </w:rPr>
            </w:pPr>
          </w:p>
        </w:tc>
        <w:tc>
          <w:tcPr>
            <w:tcW w:w="7469" w:type="dxa"/>
          </w:tcPr>
          <w:p w14:paraId="3661E616" w14:textId="2294ABFC" w:rsidR="00E74F54" w:rsidRDefault="00E74F54" w:rsidP="00D92BDB">
            <w:pPr>
              <w:rPr>
                <w:szCs w:val="20"/>
                <w:lang w:eastAsia="zh-CN"/>
              </w:rPr>
            </w:pPr>
          </w:p>
        </w:tc>
      </w:tr>
    </w:tbl>
    <w:p w14:paraId="6A19B9B4" w14:textId="77777777" w:rsidR="00E74F54" w:rsidRDefault="00E74F54"/>
    <w:p w14:paraId="77F6175D" w14:textId="77777777" w:rsidR="00E74F54" w:rsidRDefault="00E74F54"/>
    <w:p w14:paraId="36EB36FC" w14:textId="77777777" w:rsidR="00E74F54" w:rsidRDefault="00131C86">
      <w:pPr>
        <w:pStyle w:val="Heading2"/>
        <w:rPr>
          <w:lang w:eastAsia="zh-CN"/>
        </w:rPr>
      </w:pPr>
      <w:r>
        <w:rPr>
          <w:lang w:eastAsia="zh-CN"/>
        </w:rPr>
        <w:t>Support a maximum DL TBS of 1736 bits as a Rel-17 optional UE capability</w:t>
      </w:r>
    </w:p>
    <w:p w14:paraId="62C0DFCF" w14:textId="77777777" w:rsidR="00E74F54" w:rsidRDefault="00E74F54">
      <w:pPr>
        <w:autoSpaceDE/>
        <w:autoSpaceDN/>
        <w:adjustRightInd/>
        <w:snapToGrid/>
        <w:spacing w:after="0"/>
        <w:rPr>
          <w:b/>
          <w:szCs w:val="21"/>
          <w:lang w:eastAsia="zh-CN"/>
        </w:rPr>
      </w:pPr>
    </w:p>
    <w:p w14:paraId="1C56F632" w14:textId="77777777" w:rsidR="00E74F54" w:rsidRDefault="00131C86">
      <w:r>
        <w:rPr>
          <w:rFonts w:hint="eastAsia"/>
        </w:rPr>
        <w:t xml:space="preserve">Please input your comments </w:t>
      </w:r>
      <w:r>
        <w:t>in below table</w:t>
      </w:r>
      <w:r>
        <w:rPr>
          <w:rFonts w:hint="eastAsia"/>
        </w:rPr>
        <w:t>:</w:t>
      </w:r>
    </w:p>
    <w:tbl>
      <w:tblPr>
        <w:tblStyle w:val="TableGrid"/>
        <w:tblW w:w="0" w:type="auto"/>
        <w:tblLook w:val="04A0" w:firstRow="1" w:lastRow="0" w:firstColumn="1" w:lastColumn="0" w:noHBand="0" w:noVBand="1"/>
      </w:tblPr>
      <w:tblGrid>
        <w:gridCol w:w="1838"/>
        <w:gridCol w:w="7469"/>
      </w:tblGrid>
      <w:tr w:rsidR="00E74F54" w14:paraId="01E5BC58" w14:textId="77777777">
        <w:tc>
          <w:tcPr>
            <w:tcW w:w="1838" w:type="dxa"/>
          </w:tcPr>
          <w:p w14:paraId="4F2FA884" w14:textId="77777777" w:rsidR="00E74F54" w:rsidRDefault="00131C86">
            <w:pPr>
              <w:rPr>
                <w:szCs w:val="20"/>
              </w:rPr>
            </w:pPr>
            <w:r>
              <w:rPr>
                <w:rFonts w:hint="eastAsia"/>
                <w:szCs w:val="20"/>
              </w:rPr>
              <w:t>Comp</w:t>
            </w:r>
            <w:r>
              <w:rPr>
                <w:szCs w:val="20"/>
              </w:rPr>
              <w:t>anies</w:t>
            </w:r>
          </w:p>
        </w:tc>
        <w:tc>
          <w:tcPr>
            <w:tcW w:w="7469" w:type="dxa"/>
          </w:tcPr>
          <w:p w14:paraId="7260AD50" w14:textId="77777777" w:rsidR="00E74F54" w:rsidRDefault="00131C86">
            <w:pPr>
              <w:rPr>
                <w:szCs w:val="20"/>
              </w:rPr>
            </w:pPr>
            <w:r>
              <w:rPr>
                <w:rFonts w:hint="eastAsia"/>
                <w:szCs w:val="20"/>
              </w:rPr>
              <w:t>Comments</w:t>
            </w:r>
          </w:p>
        </w:tc>
      </w:tr>
      <w:tr w:rsidR="00E74F54" w14:paraId="323DA5AA" w14:textId="77777777">
        <w:tc>
          <w:tcPr>
            <w:tcW w:w="1838" w:type="dxa"/>
          </w:tcPr>
          <w:p w14:paraId="65772D32" w14:textId="688A6D59" w:rsidR="00E74F54" w:rsidRDefault="00A95FA7">
            <w:pPr>
              <w:rPr>
                <w:sz w:val="20"/>
                <w:szCs w:val="20"/>
              </w:rPr>
            </w:pPr>
            <w:r>
              <w:rPr>
                <w:sz w:val="20"/>
                <w:szCs w:val="20"/>
              </w:rPr>
              <w:t>Ericsson</w:t>
            </w:r>
          </w:p>
        </w:tc>
        <w:tc>
          <w:tcPr>
            <w:tcW w:w="7469" w:type="dxa"/>
          </w:tcPr>
          <w:p w14:paraId="280DBDF8" w14:textId="46679328" w:rsidR="00E74F54" w:rsidRDefault="00A95FA7">
            <w:pPr>
              <w:rPr>
                <w:sz w:val="20"/>
                <w:szCs w:val="20"/>
              </w:rPr>
            </w:pPr>
            <w:r w:rsidRPr="00A95FA7">
              <w:rPr>
                <w:sz w:val="20"/>
                <w:szCs w:val="20"/>
              </w:rPr>
              <w:t>Due that RAN2 has agreed to support PUR for this feature, we will need to add a parameter to Enable/Disable it (Similar to what has been done for 16-QAM)</w:t>
            </w:r>
            <w:r>
              <w:rPr>
                <w:sz w:val="20"/>
                <w:szCs w:val="20"/>
              </w:rPr>
              <w:t>.</w:t>
            </w:r>
          </w:p>
        </w:tc>
      </w:tr>
      <w:tr w:rsidR="00E74F54" w14:paraId="7D8EF099" w14:textId="77777777">
        <w:tc>
          <w:tcPr>
            <w:tcW w:w="1838" w:type="dxa"/>
          </w:tcPr>
          <w:p w14:paraId="02094B0B" w14:textId="49AE61CE" w:rsidR="00E74F54" w:rsidRDefault="00E74F54">
            <w:pPr>
              <w:rPr>
                <w:szCs w:val="20"/>
                <w:lang w:eastAsia="zh-CN"/>
              </w:rPr>
            </w:pPr>
          </w:p>
        </w:tc>
        <w:tc>
          <w:tcPr>
            <w:tcW w:w="7469" w:type="dxa"/>
          </w:tcPr>
          <w:p w14:paraId="3990A822" w14:textId="3030580B" w:rsidR="00E74F54" w:rsidRDefault="00E74F54">
            <w:pPr>
              <w:rPr>
                <w:lang w:eastAsia="zh-CN"/>
              </w:rPr>
            </w:pPr>
          </w:p>
        </w:tc>
      </w:tr>
      <w:tr w:rsidR="00E74F54" w14:paraId="181D28FC" w14:textId="77777777">
        <w:tc>
          <w:tcPr>
            <w:tcW w:w="1838" w:type="dxa"/>
          </w:tcPr>
          <w:p w14:paraId="6FB12307" w14:textId="7016060A" w:rsidR="00E74F54" w:rsidRDefault="00E74F54">
            <w:pPr>
              <w:rPr>
                <w:szCs w:val="20"/>
                <w:lang w:eastAsia="zh-CN"/>
              </w:rPr>
            </w:pPr>
          </w:p>
        </w:tc>
        <w:tc>
          <w:tcPr>
            <w:tcW w:w="7469" w:type="dxa"/>
          </w:tcPr>
          <w:p w14:paraId="7999B0B6" w14:textId="41EB0470" w:rsidR="00E74F54" w:rsidRDefault="00E74F54">
            <w:pPr>
              <w:rPr>
                <w:szCs w:val="20"/>
                <w:lang w:eastAsia="zh-CN"/>
              </w:rPr>
            </w:pPr>
          </w:p>
        </w:tc>
      </w:tr>
    </w:tbl>
    <w:p w14:paraId="31BA108F" w14:textId="77777777" w:rsidR="00E74F54" w:rsidRDefault="00E74F54">
      <w:pPr>
        <w:autoSpaceDE/>
        <w:autoSpaceDN/>
        <w:adjustRightInd/>
        <w:snapToGrid/>
        <w:spacing w:after="0"/>
        <w:rPr>
          <w:b/>
          <w:szCs w:val="21"/>
          <w:lang w:eastAsia="zh-CN"/>
        </w:rPr>
      </w:pPr>
    </w:p>
    <w:p w14:paraId="4A19FC97" w14:textId="77777777" w:rsidR="00E74F54" w:rsidRDefault="00131C86">
      <w:pPr>
        <w:pStyle w:val="Heading1"/>
      </w:pPr>
      <w:r>
        <w:rPr>
          <w:rFonts w:hint="eastAsia"/>
          <w:lang w:eastAsia="zh-CN"/>
        </w:rPr>
        <w:t>Summary</w:t>
      </w:r>
    </w:p>
    <w:p w14:paraId="61FC0100" w14:textId="77777777" w:rsidR="00E74F54" w:rsidRDefault="00E74F54"/>
    <w:p w14:paraId="1BBF362B" w14:textId="77777777" w:rsidR="00E74F54" w:rsidRDefault="00131C86">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4D46CBEE" wp14:editId="300A3E9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118DC8F2" w14:textId="0CF9585D" w:rsidR="00E74F54" w:rsidRDefault="00FB6A34" w:rsidP="00FB6A34">
      <w:pPr>
        <w:pStyle w:val="ListParagraph"/>
        <w:numPr>
          <w:ilvl w:val="0"/>
          <w:numId w:val="14"/>
        </w:numPr>
        <w:spacing w:after="60"/>
        <w:rPr>
          <w:rFonts w:ascii="Times New Roman" w:hAnsi="Times New Roman" w:cs="Times New Roman"/>
          <w:sz w:val="22"/>
        </w:rPr>
      </w:pPr>
      <w:r w:rsidRPr="00FB6A34">
        <w:rPr>
          <w:rFonts w:ascii="Times New Roman" w:hAnsi="Times New Roman" w:cs="Times New Roman"/>
          <w:sz w:val="22"/>
        </w:rPr>
        <w:t>R1-2110650 Feature lead summary on 106bis-e-R17-RRC-NB-IoT-eMTC</w:t>
      </w:r>
      <w:r w:rsidR="00131C86">
        <w:rPr>
          <w:rFonts w:ascii="Times New Roman" w:hAnsi="Times New Roman" w:cs="Times New Roman"/>
          <w:sz w:val="22"/>
        </w:rPr>
        <w:t>, Moderator (Huawei), RAN1#106</w:t>
      </w:r>
      <w:r>
        <w:rPr>
          <w:rFonts w:ascii="Times New Roman" w:hAnsi="Times New Roman" w:cs="Times New Roman"/>
          <w:sz w:val="22"/>
        </w:rPr>
        <w:t>bis</w:t>
      </w:r>
      <w:r w:rsidR="00131C86">
        <w:rPr>
          <w:rFonts w:ascii="Times New Roman" w:hAnsi="Times New Roman" w:cs="Times New Roman"/>
          <w:sz w:val="22"/>
        </w:rPr>
        <w:t>-e,</w:t>
      </w:r>
      <w:r>
        <w:rPr>
          <w:rFonts w:ascii="Times New Roman" w:hAnsi="Times New Roman" w:cs="Times New Roman"/>
          <w:sz w:val="22"/>
        </w:rPr>
        <w:t xml:space="preserve"> Oct</w:t>
      </w:r>
      <w:r w:rsidR="00131C86">
        <w:rPr>
          <w:rFonts w:ascii="Times New Roman" w:hAnsi="Times New Roman" w:cs="Times New Roman"/>
          <w:sz w:val="22"/>
        </w:rPr>
        <w:t>., 1</w:t>
      </w:r>
      <w:r>
        <w:rPr>
          <w:rFonts w:ascii="Times New Roman" w:hAnsi="Times New Roman" w:cs="Times New Roman"/>
          <w:sz w:val="22"/>
        </w:rPr>
        <w:t>1</w:t>
      </w:r>
      <w:r w:rsidR="00131C86">
        <w:rPr>
          <w:rFonts w:ascii="Times New Roman" w:hAnsi="Times New Roman" w:cs="Times New Roman"/>
          <w:sz w:val="22"/>
        </w:rPr>
        <w:t>th-</w:t>
      </w:r>
      <w:r>
        <w:rPr>
          <w:rFonts w:ascii="Times New Roman" w:hAnsi="Times New Roman" w:cs="Times New Roman"/>
          <w:sz w:val="22"/>
        </w:rPr>
        <w:t>19</w:t>
      </w:r>
      <w:r w:rsidR="00131C86">
        <w:rPr>
          <w:rFonts w:ascii="Times New Roman" w:hAnsi="Times New Roman" w:cs="Times New Roman"/>
          <w:sz w:val="22"/>
        </w:rPr>
        <w:t>th, 2021.</w:t>
      </w:r>
    </w:p>
    <w:p w14:paraId="54C325C6" w14:textId="49896D3F" w:rsidR="00220E4A" w:rsidRDefault="00220E4A" w:rsidP="00220E4A">
      <w:pPr>
        <w:pStyle w:val="ListParagraph"/>
        <w:numPr>
          <w:ilvl w:val="0"/>
          <w:numId w:val="14"/>
        </w:numPr>
        <w:spacing w:after="60"/>
        <w:rPr>
          <w:rFonts w:ascii="Times New Roman" w:hAnsi="Times New Roman" w:cs="Times New Roman"/>
          <w:sz w:val="22"/>
        </w:rPr>
      </w:pPr>
      <w:r w:rsidRPr="00220E4A">
        <w:rPr>
          <w:rFonts w:ascii="Times New Roman" w:hAnsi="Times New Roman" w:cs="Times New Roman"/>
          <w:sz w:val="22"/>
        </w:rPr>
        <w:t>R1-2110572</w:t>
      </w:r>
      <w:r w:rsidRPr="00220E4A">
        <w:rPr>
          <w:rFonts w:ascii="Times New Roman" w:hAnsi="Times New Roman" w:cs="Times New Roman"/>
          <w:sz w:val="22"/>
        </w:rPr>
        <w:tab/>
        <w:t>Consolidated higher layers parameter list for Rel-17 LTE</w:t>
      </w:r>
      <w:r>
        <w:rPr>
          <w:rFonts w:ascii="Times New Roman" w:hAnsi="Times New Roman" w:cs="Times New Roman"/>
          <w:sz w:val="22"/>
        </w:rPr>
        <w:t xml:space="preserve">, </w:t>
      </w:r>
      <w:r w:rsidRPr="00220E4A">
        <w:rPr>
          <w:rFonts w:ascii="Times New Roman" w:hAnsi="Times New Roman" w:cs="Times New Roman"/>
          <w:sz w:val="22"/>
        </w:rPr>
        <w:t>Moderator (Ericsson)</w:t>
      </w:r>
      <w:r>
        <w:rPr>
          <w:rFonts w:ascii="Times New Roman" w:hAnsi="Times New Roman" w:cs="Times New Roman"/>
          <w:sz w:val="22"/>
        </w:rPr>
        <w:t>, RAN1#106bis-e, Oct., 11th-19th, 2021.</w:t>
      </w:r>
    </w:p>
    <w:p w14:paraId="0E5F310A"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R1-2110857</w:t>
      </w:r>
      <w:r w:rsidRPr="00333B32">
        <w:rPr>
          <w:rFonts w:ascii="Times New Roman" w:hAnsi="Times New Roman" w:cs="Times New Roman"/>
          <w:sz w:val="22"/>
        </w:rPr>
        <w:tab/>
        <w:t>Support of 16QAM for unicast in UL and DL in NB-IoT</w:t>
      </w:r>
      <w:r w:rsidRPr="00333B32">
        <w:rPr>
          <w:rFonts w:ascii="Times New Roman" w:hAnsi="Times New Roman" w:cs="Times New Roman"/>
          <w:sz w:val="22"/>
        </w:rPr>
        <w:tab/>
        <w:t>Huawei, HiSilicon</w:t>
      </w:r>
    </w:p>
    <w:p w14:paraId="74E91649"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R1-2111070</w:t>
      </w:r>
      <w:r w:rsidRPr="00333B32">
        <w:rPr>
          <w:rFonts w:ascii="Times New Roman" w:hAnsi="Times New Roman" w:cs="Times New Roman"/>
          <w:sz w:val="22"/>
        </w:rPr>
        <w:tab/>
        <w:t>Discussion on 16QAM for NB-IoT</w:t>
      </w:r>
      <w:r w:rsidRPr="00333B32">
        <w:rPr>
          <w:rFonts w:ascii="Times New Roman" w:hAnsi="Times New Roman" w:cs="Times New Roman"/>
          <w:sz w:val="22"/>
        </w:rPr>
        <w:tab/>
        <w:t>ZTE, Sanechips</w:t>
      </w:r>
    </w:p>
    <w:p w14:paraId="2D08DD91"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R1-2111133</w:t>
      </w:r>
      <w:r w:rsidRPr="00333B32">
        <w:rPr>
          <w:rFonts w:ascii="Times New Roman" w:hAnsi="Times New Roman" w:cs="Times New Roman"/>
          <w:sz w:val="22"/>
        </w:rPr>
        <w:tab/>
        <w:t>Support of 16-QAM for NB-IoT</w:t>
      </w:r>
      <w:r w:rsidRPr="00333B32">
        <w:rPr>
          <w:rFonts w:ascii="Times New Roman" w:hAnsi="Times New Roman" w:cs="Times New Roman"/>
          <w:sz w:val="22"/>
        </w:rPr>
        <w:tab/>
        <w:t>Nokia, Nokia Shanghai Bell</w:t>
      </w:r>
    </w:p>
    <w:p w14:paraId="4828BEA5"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R1-2111449</w:t>
      </w:r>
      <w:r w:rsidRPr="00333B32">
        <w:rPr>
          <w:rFonts w:ascii="Times New Roman" w:hAnsi="Times New Roman" w:cs="Times New Roman"/>
          <w:sz w:val="22"/>
        </w:rPr>
        <w:tab/>
        <w:t>Support of 16-QAM for NB-IoT</w:t>
      </w:r>
      <w:r w:rsidRPr="00333B32">
        <w:rPr>
          <w:rFonts w:ascii="Times New Roman" w:hAnsi="Times New Roman" w:cs="Times New Roman"/>
          <w:sz w:val="22"/>
        </w:rPr>
        <w:tab/>
        <w:t>Qualcomm Incorporated</w:t>
      </w:r>
    </w:p>
    <w:p w14:paraId="5E2697E8"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R1-2112001</w:t>
      </w:r>
      <w:r w:rsidRPr="00333B32">
        <w:rPr>
          <w:rFonts w:ascii="Times New Roman" w:hAnsi="Times New Roman" w:cs="Times New Roman"/>
          <w:sz w:val="22"/>
        </w:rPr>
        <w:tab/>
        <w:t>Support 16QAM for NBIoT</w:t>
      </w:r>
      <w:r w:rsidRPr="00333B32">
        <w:rPr>
          <w:rFonts w:ascii="Times New Roman" w:hAnsi="Times New Roman" w:cs="Times New Roman"/>
          <w:sz w:val="22"/>
        </w:rPr>
        <w:tab/>
        <w:t>Lenovo, Motorola Mobility</w:t>
      </w:r>
    </w:p>
    <w:p w14:paraId="099E8291"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R1-2112300</w:t>
      </w:r>
      <w:r w:rsidRPr="00333B32">
        <w:rPr>
          <w:rFonts w:ascii="Times New Roman" w:hAnsi="Times New Roman" w:cs="Times New Roman"/>
          <w:sz w:val="22"/>
        </w:rPr>
        <w:tab/>
        <w:t>Discussion on CQI table and NPUSCH power control parameter for 16QAM</w:t>
      </w:r>
      <w:r w:rsidRPr="00333B32">
        <w:rPr>
          <w:rFonts w:ascii="Times New Roman" w:hAnsi="Times New Roman" w:cs="Times New Roman"/>
          <w:sz w:val="22"/>
        </w:rPr>
        <w:tab/>
        <w:t>MediaTek Inc.</w:t>
      </w:r>
    </w:p>
    <w:p w14:paraId="4492F1D0" w14:textId="21039BA4" w:rsidR="00E74F54"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R1-2112361</w:t>
      </w:r>
      <w:r w:rsidRPr="00333B32">
        <w:rPr>
          <w:rFonts w:ascii="Times New Roman" w:hAnsi="Times New Roman" w:cs="Times New Roman"/>
          <w:sz w:val="22"/>
        </w:rPr>
        <w:tab/>
        <w:t>Support of 16-QAM for unicast in UL and DL in NB-IoT</w:t>
      </w:r>
      <w:r w:rsidRPr="00333B32">
        <w:rPr>
          <w:rFonts w:ascii="Times New Roman" w:hAnsi="Times New Roman" w:cs="Times New Roman"/>
          <w:sz w:val="22"/>
        </w:rPr>
        <w:tab/>
        <w:t>Ericsson</w:t>
      </w:r>
    </w:p>
    <w:p w14:paraId="2FE51F39" w14:textId="77777777" w:rsidR="009E09D1" w:rsidRP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R1-2110858</w:t>
      </w:r>
      <w:r w:rsidRPr="009E09D1">
        <w:rPr>
          <w:rFonts w:ascii="Times New Roman" w:hAnsi="Times New Roman" w:cs="Times New Roman"/>
          <w:sz w:val="22"/>
        </w:rPr>
        <w:tab/>
        <w:t>Support of 14-HARQ processes in DL for HD-FDD MTC UEs</w:t>
      </w:r>
      <w:r w:rsidRPr="009E09D1">
        <w:rPr>
          <w:rFonts w:ascii="Times New Roman" w:hAnsi="Times New Roman" w:cs="Times New Roman"/>
          <w:sz w:val="22"/>
        </w:rPr>
        <w:tab/>
        <w:t>Huawei, HiSilicon</w:t>
      </w:r>
    </w:p>
    <w:p w14:paraId="03EB9471" w14:textId="77777777" w:rsidR="009E09D1" w:rsidRP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lastRenderedPageBreak/>
        <w:t>R1-2111071</w:t>
      </w:r>
      <w:r w:rsidRPr="009E09D1">
        <w:rPr>
          <w:rFonts w:ascii="Times New Roman" w:hAnsi="Times New Roman" w:cs="Times New Roman"/>
          <w:sz w:val="22"/>
        </w:rPr>
        <w:tab/>
        <w:t>Remaining issues on 14-HARQ processes in DL for eMTC</w:t>
      </w:r>
      <w:r w:rsidRPr="009E09D1">
        <w:rPr>
          <w:rFonts w:ascii="Times New Roman" w:hAnsi="Times New Roman" w:cs="Times New Roman"/>
          <w:sz w:val="22"/>
        </w:rPr>
        <w:tab/>
        <w:t>ZTE, Sanechips</w:t>
      </w:r>
    </w:p>
    <w:p w14:paraId="7FAA7881" w14:textId="77777777" w:rsidR="009E09D1" w:rsidRP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R1-2111134</w:t>
      </w:r>
      <w:r w:rsidRPr="009E09D1">
        <w:rPr>
          <w:rFonts w:ascii="Times New Roman" w:hAnsi="Times New Roman" w:cs="Times New Roman"/>
          <w:sz w:val="22"/>
        </w:rPr>
        <w:tab/>
        <w:t>Support of 14-HARQ processes in DL for eMTC</w:t>
      </w:r>
      <w:r w:rsidRPr="009E09D1">
        <w:rPr>
          <w:rFonts w:ascii="Times New Roman" w:hAnsi="Times New Roman" w:cs="Times New Roman"/>
          <w:sz w:val="22"/>
        </w:rPr>
        <w:tab/>
        <w:t>Nokia, Nokia Shanghai Bell</w:t>
      </w:r>
    </w:p>
    <w:p w14:paraId="49DDFBAD" w14:textId="77777777" w:rsidR="009E09D1" w:rsidRP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R1-2111450</w:t>
      </w:r>
      <w:r w:rsidRPr="009E09D1">
        <w:rPr>
          <w:rFonts w:ascii="Times New Roman" w:hAnsi="Times New Roman" w:cs="Times New Roman"/>
          <w:sz w:val="22"/>
        </w:rPr>
        <w:tab/>
        <w:t>Support of 14 HARQ processes and scheduling delay</w:t>
      </w:r>
      <w:r w:rsidRPr="009E09D1">
        <w:rPr>
          <w:rFonts w:ascii="Times New Roman" w:hAnsi="Times New Roman" w:cs="Times New Roman"/>
          <w:sz w:val="22"/>
        </w:rPr>
        <w:tab/>
        <w:t>Qualcomm Incorporated</w:t>
      </w:r>
    </w:p>
    <w:p w14:paraId="2276A770" w14:textId="640CFDC7" w:rsidR="00333B32"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R1-2112362</w:t>
      </w:r>
      <w:r w:rsidRPr="009E09D1">
        <w:rPr>
          <w:rFonts w:ascii="Times New Roman" w:hAnsi="Times New Roman" w:cs="Times New Roman"/>
          <w:sz w:val="22"/>
        </w:rPr>
        <w:tab/>
        <w:t>Support of 14 HARQ processes in DL in LTE-MTC</w:t>
      </w:r>
      <w:r w:rsidRPr="009E09D1">
        <w:rPr>
          <w:rFonts w:ascii="Times New Roman" w:hAnsi="Times New Roman" w:cs="Times New Roman"/>
          <w:sz w:val="22"/>
        </w:rPr>
        <w:tab/>
        <w:t>Ericsson</w:t>
      </w:r>
    </w:p>
    <w:p w14:paraId="7870ADA2" w14:textId="77777777" w:rsidR="009E09D1" w:rsidRP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R1-2111939</w:t>
      </w:r>
      <w:r w:rsidRPr="009E09D1">
        <w:rPr>
          <w:rFonts w:ascii="Times New Roman" w:hAnsi="Times New Roman" w:cs="Times New Roman"/>
          <w:sz w:val="22"/>
        </w:rPr>
        <w:tab/>
        <w:t>Further considerations on Rel-17 NB-IoT and eMTC enhancements</w:t>
      </w:r>
      <w:r w:rsidRPr="009E09D1">
        <w:rPr>
          <w:rFonts w:ascii="Times New Roman" w:hAnsi="Times New Roman" w:cs="Times New Roman"/>
          <w:sz w:val="22"/>
        </w:rPr>
        <w:tab/>
        <w:t>Huawei, HiSilicon</w:t>
      </w:r>
    </w:p>
    <w:p w14:paraId="6170A4A4" w14:textId="15C20BD3" w:rsid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R1-2112363</w:t>
      </w:r>
      <w:r w:rsidRPr="009E09D1">
        <w:rPr>
          <w:rFonts w:ascii="Times New Roman" w:hAnsi="Times New Roman" w:cs="Times New Roman"/>
          <w:sz w:val="22"/>
        </w:rPr>
        <w:tab/>
        <w:t>On the support of 16-QAM for unicast in UL and DL in TDD NB-IoT</w:t>
      </w:r>
      <w:r w:rsidRPr="009E09D1">
        <w:rPr>
          <w:rFonts w:ascii="Times New Roman" w:hAnsi="Times New Roman" w:cs="Times New Roman"/>
          <w:sz w:val="22"/>
        </w:rPr>
        <w:tab/>
        <w:t>Ericsson</w:t>
      </w:r>
    </w:p>
    <w:sectPr w:rsidR="009E09D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9D61E" w14:textId="77777777" w:rsidR="008B30F8" w:rsidRDefault="008B30F8"/>
  </w:endnote>
  <w:endnote w:type="continuationSeparator" w:id="0">
    <w:p w14:paraId="7A92D184" w14:textId="77777777" w:rsidR="008B30F8" w:rsidRDefault="008B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850EE" w14:textId="77777777" w:rsidR="008B30F8" w:rsidRDefault="008B30F8"/>
  </w:footnote>
  <w:footnote w:type="continuationSeparator" w:id="0">
    <w:p w14:paraId="66B542EF" w14:textId="77777777" w:rsidR="008B30F8" w:rsidRDefault="008B3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4" w15:restartNumberingAfterBreak="0">
    <w:nsid w:val="2C0D1883"/>
    <w:multiLevelType w:val="multilevel"/>
    <w:tmpl w:val="1F9C2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348A1"/>
    <w:multiLevelType w:val="hybridMultilevel"/>
    <w:tmpl w:val="2E62C9A2"/>
    <w:lvl w:ilvl="0" w:tplc="E07C7C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980B8E"/>
    <w:multiLevelType w:val="hybridMultilevel"/>
    <w:tmpl w:val="003EB4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EB60162"/>
    <w:multiLevelType w:val="multilevel"/>
    <w:tmpl w:val="7932F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63933BD3"/>
    <w:multiLevelType w:val="multilevel"/>
    <w:tmpl w:val="7BD8A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94219A"/>
    <w:multiLevelType w:val="multilevel"/>
    <w:tmpl w:val="77EC1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0"/>
  </w:num>
  <w:num w:numId="3">
    <w:abstractNumId w:val="8"/>
  </w:num>
  <w:num w:numId="4">
    <w:abstractNumId w:val="19"/>
  </w:num>
  <w:num w:numId="5">
    <w:abstractNumId w:val="9"/>
  </w:num>
  <w:num w:numId="6">
    <w:abstractNumId w:val="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12"/>
  </w:num>
  <w:num w:numId="11">
    <w:abstractNumId w:val="13"/>
  </w:num>
  <w:num w:numId="12">
    <w:abstractNumId w:val="2"/>
  </w:num>
  <w:num w:numId="13">
    <w:abstractNumId w:val="1"/>
  </w:num>
  <w:num w:numId="14">
    <w:abstractNumId w:val="6"/>
  </w:num>
  <w:num w:numId="15">
    <w:abstractNumId w:val="11"/>
  </w:num>
  <w:num w:numId="16">
    <w:abstractNumId w:val="18"/>
  </w:num>
  <w:num w:numId="17">
    <w:abstractNumId w:val="17"/>
  </w:num>
  <w:num w:numId="18">
    <w:abstractNumId w:val="7"/>
  </w:num>
  <w:num w:numId="19">
    <w:abstractNumId w:val="4"/>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521"/>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2DDD"/>
    <w:rsid w:val="0007338C"/>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3A31"/>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9B"/>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BA9"/>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4C45"/>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554"/>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C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5721D"/>
    <w:rsid w:val="00160814"/>
    <w:rsid w:val="00160B70"/>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9CC"/>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4E9A"/>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34A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16D"/>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75E"/>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0E4A"/>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E"/>
    <w:rsid w:val="00237A05"/>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A3B"/>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4D1A"/>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1CBE"/>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58B3"/>
    <w:rsid w:val="002F657D"/>
    <w:rsid w:val="002F678D"/>
    <w:rsid w:val="002F6C16"/>
    <w:rsid w:val="002F6E61"/>
    <w:rsid w:val="002F7180"/>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8F0"/>
    <w:rsid w:val="00330F33"/>
    <w:rsid w:val="0033145B"/>
    <w:rsid w:val="003314CD"/>
    <w:rsid w:val="003316A1"/>
    <w:rsid w:val="00331855"/>
    <w:rsid w:val="003320E2"/>
    <w:rsid w:val="00332827"/>
    <w:rsid w:val="00332894"/>
    <w:rsid w:val="00332BBD"/>
    <w:rsid w:val="00332CAF"/>
    <w:rsid w:val="0033355D"/>
    <w:rsid w:val="00333A7D"/>
    <w:rsid w:val="00333B32"/>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240"/>
    <w:rsid w:val="00344844"/>
    <w:rsid w:val="00344BB8"/>
    <w:rsid w:val="00344E03"/>
    <w:rsid w:val="00344EC9"/>
    <w:rsid w:val="00345659"/>
    <w:rsid w:val="00345789"/>
    <w:rsid w:val="0034589A"/>
    <w:rsid w:val="00345A57"/>
    <w:rsid w:val="00345A5F"/>
    <w:rsid w:val="00345B52"/>
    <w:rsid w:val="00345C7B"/>
    <w:rsid w:val="00350470"/>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077"/>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0E90"/>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08D4"/>
    <w:rsid w:val="003D10D0"/>
    <w:rsid w:val="003D1803"/>
    <w:rsid w:val="003D2A2C"/>
    <w:rsid w:val="003D3673"/>
    <w:rsid w:val="003D3C59"/>
    <w:rsid w:val="003D3D10"/>
    <w:rsid w:val="003D48E3"/>
    <w:rsid w:val="003D5664"/>
    <w:rsid w:val="003D5E21"/>
    <w:rsid w:val="003D632F"/>
    <w:rsid w:val="003D67D5"/>
    <w:rsid w:val="003D6D37"/>
    <w:rsid w:val="003D7B6C"/>
    <w:rsid w:val="003E0CCE"/>
    <w:rsid w:val="003E1741"/>
    <w:rsid w:val="003E1988"/>
    <w:rsid w:val="003E1A73"/>
    <w:rsid w:val="003E20C7"/>
    <w:rsid w:val="003E2201"/>
    <w:rsid w:val="003E26EC"/>
    <w:rsid w:val="003E34B6"/>
    <w:rsid w:val="003E3624"/>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30"/>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C5D"/>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AF7"/>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0F43"/>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245"/>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2EEB"/>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795"/>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186"/>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2614"/>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D41"/>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21CA"/>
    <w:rsid w:val="00513200"/>
    <w:rsid w:val="005133C7"/>
    <w:rsid w:val="00513A89"/>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2B"/>
    <w:rsid w:val="00535E92"/>
    <w:rsid w:val="0053620D"/>
    <w:rsid w:val="00536516"/>
    <w:rsid w:val="005368D3"/>
    <w:rsid w:val="0053704D"/>
    <w:rsid w:val="0053709B"/>
    <w:rsid w:val="005371BD"/>
    <w:rsid w:val="005375CE"/>
    <w:rsid w:val="00537C0B"/>
    <w:rsid w:val="0054061A"/>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1F73"/>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0BCC"/>
    <w:rsid w:val="005812BC"/>
    <w:rsid w:val="005812D1"/>
    <w:rsid w:val="00582AC5"/>
    <w:rsid w:val="005841DD"/>
    <w:rsid w:val="0058515E"/>
    <w:rsid w:val="00585877"/>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734"/>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1D7C"/>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265B"/>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AB9"/>
    <w:rsid w:val="0063594F"/>
    <w:rsid w:val="00635AEF"/>
    <w:rsid w:val="00635CED"/>
    <w:rsid w:val="006360AD"/>
    <w:rsid w:val="00636A00"/>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0A8"/>
    <w:rsid w:val="006A6546"/>
    <w:rsid w:val="006A6763"/>
    <w:rsid w:val="006A68C5"/>
    <w:rsid w:val="006A697F"/>
    <w:rsid w:val="006A6D7E"/>
    <w:rsid w:val="006A6DE4"/>
    <w:rsid w:val="006A6EA2"/>
    <w:rsid w:val="006A73FD"/>
    <w:rsid w:val="006A7494"/>
    <w:rsid w:val="006A7A48"/>
    <w:rsid w:val="006A7ECA"/>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0F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C7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3E26"/>
    <w:rsid w:val="00704156"/>
    <w:rsid w:val="00704350"/>
    <w:rsid w:val="007045B9"/>
    <w:rsid w:val="0070490F"/>
    <w:rsid w:val="00704D06"/>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531"/>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178"/>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3E4F"/>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12"/>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567"/>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1D3"/>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6C31"/>
    <w:rsid w:val="007F7516"/>
    <w:rsid w:val="007F7876"/>
    <w:rsid w:val="00800256"/>
    <w:rsid w:val="00800D5B"/>
    <w:rsid w:val="00801171"/>
    <w:rsid w:val="00801D6F"/>
    <w:rsid w:val="00802358"/>
    <w:rsid w:val="00802C58"/>
    <w:rsid w:val="00802E3E"/>
    <w:rsid w:val="00802FA7"/>
    <w:rsid w:val="008037F8"/>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9AD"/>
    <w:rsid w:val="00826ABE"/>
    <w:rsid w:val="00826E71"/>
    <w:rsid w:val="00827290"/>
    <w:rsid w:val="00827A83"/>
    <w:rsid w:val="008300D4"/>
    <w:rsid w:val="00830277"/>
    <w:rsid w:val="0083050B"/>
    <w:rsid w:val="00830884"/>
    <w:rsid w:val="00830EE0"/>
    <w:rsid w:val="0083156B"/>
    <w:rsid w:val="0083167F"/>
    <w:rsid w:val="008316EA"/>
    <w:rsid w:val="00831A19"/>
    <w:rsid w:val="00831D0B"/>
    <w:rsid w:val="00831F0C"/>
    <w:rsid w:val="00832099"/>
    <w:rsid w:val="008325BF"/>
    <w:rsid w:val="00832B2E"/>
    <w:rsid w:val="00832DAD"/>
    <w:rsid w:val="00832FCA"/>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37E56"/>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1F3"/>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5F0B"/>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3F83"/>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601"/>
    <w:rsid w:val="008928D8"/>
    <w:rsid w:val="00892E8C"/>
    <w:rsid w:val="0089310A"/>
    <w:rsid w:val="00893A83"/>
    <w:rsid w:val="00893BED"/>
    <w:rsid w:val="0089403F"/>
    <w:rsid w:val="00894206"/>
    <w:rsid w:val="008943A4"/>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0F8"/>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775"/>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63"/>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2673"/>
    <w:rsid w:val="0092316C"/>
    <w:rsid w:val="00923FC3"/>
    <w:rsid w:val="00924289"/>
    <w:rsid w:val="00924313"/>
    <w:rsid w:val="00925511"/>
    <w:rsid w:val="00926FD5"/>
    <w:rsid w:val="00927A66"/>
    <w:rsid w:val="00927C22"/>
    <w:rsid w:val="00931672"/>
    <w:rsid w:val="009316CB"/>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4A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455"/>
    <w:rsid w:val="00953720"/>
    <w:rsid w:val="00953E69"/>
    <w:rsid w:val="00954451"/>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4ED"/>
    <w:rsid w:val="00961B3F"/>
    <w:rsid w:val="00961B77"/>
    <w:rsid w:val="0096231C"/>
    <w:rsid w:val="0096264B"/>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52"/>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855"/>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CA6"/>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9D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0A2D"/>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1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416"/>
    <w:rsid w:val="00A76D11"/>
    <w:rsid w:val="00A7721F"/>
    <w:rsid w:val="00A77413"/>
    <w:rsid w:val="00A774D9"/>
    <w:rsid w:val="00A776C0"/>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8729B"/>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5FA7"/>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05D"/>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5D2"/>
    <w:rsid w:val="00AD5E16"/>
    <w:rsid w:val="00AD6373"/>
    <w:rsid w:val="00AD76FD"/>
    <w:rsid w:val="00AD778F"/>
    <w:rsid w:val="00AD7D3E"/>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436"/>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497"/>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37E23"/>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7E3"/>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B15"/>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4FA"/>
    <w:rsid w:val="00BA7718"/>
    <w:rsid w:val="00BB081E"/>
    <w:rsid w:val="00BB0DB7"/>
    <w:rsid w:val="00BB0E49"/>
    <w:rsid w:val="00BB18FE"/>
    <w:rsid w:val="00BB1CCC"/>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2F6"/>
    <w:rsid w:val="00BC45B9"/>
    <w:rsid w:val="00BC4763"/>
    <w:rsid w:val="00BC4C9E"/>
    <w:rsid w:val="00BC50C2"/>
    <w:rsid w:val="00BC51DC"/>
    <w:rsid w:val="00BC59B8"/>
    <w:rsid w:val="00BC5AB2"/>
    <w:rsid w:val="00BC5F6C"/>
    <w:rsid w:val="00BC6925"/>
    <w:rsid w:val="00BC708A"/>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2FE"/>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4BE7"/>
    <w:rsid w:val="00BF5263"/>
    <w:rsid w:val="00BF5EF7"/>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94"/>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2ACB"/>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4FF1"/>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4CF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3F7"/>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2FE9"/>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62F"/>
    <w:rsid w:val="00D57EBC"/>
    <w:rsid w:val="00D57F24"/>
    <w:rsid w:val="00D60114"/>
    <w:rsid w:val="00D60141"/>
    <w:rsid w:val="00D6065B"/>
    <w:rsid w:val="00D606E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BDB"/>
    <w:rsid w:val="00D92C6C"/>
    <w:rsid w:val="00D933C2"/>
    <w:rsid w:val="00D9418F"/>
    <w:rsid w:val="00D94C52"/>
    <w:rsid w:val="00D95745"/>
    <w:rsid w:val="00D95FFC"/>
    <w:rsid w:val="00D96082"/>
    <w:rsid w:val="00D9638C"/>
    <w:rsid w:val="00D964D8"/>
    <w:rsid w:val="00D96C1A"/>
    <w:rsid w:val="00D973B4"/>
    <w:rsid w:val="00DA0BE2"/>
    <w:rsid w:val="00DA1BAF"/>
    <w:rsid w:val="00DA1EB8"/>
    <w:rsid w:val="00DA25F7"/>
    <w:rsid w:val="00DA265C"/>
    <w:rsid w:val="00DA274F"/>
    <w:rsid w:val="00DA2979"/>
    <w:rsid w:val="00DA2AC2"/>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3DDA"/>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D51"/>
    <w:rsid w:val="00E06E35"/>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510"/>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2AC"/>
    <w:rsid w:val="00E74373"/>
    <w:rsid w:val="00E74DAD"/>
    <w:rsid w:val="00E74F54"/>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1B"/>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281"/>
    <w:rsid w:val="00EB246E"/>
    <w:rsid w:val="00EB24DE"/>
    <w:rsid w:val="00EB2791"/>
    <w:rsid w:val="00EB27DA"/>
    <w:rsid w:val="00EB2FDE"/>
    <w:rsid w:val="00EB427B"/>
    <w:rsid w:val="00EB449B"/>
    <w:rsid w:val="00EB4819"/>
    <w:rsid w:val="00EB52FF"/>
    <w:rsid w:val="00EB5452"/>
    <w:rsid w:val="00EB545D"/>
    <w:rsid w:val="00EB5AF6"/>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B9C"/>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56D"/>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8D"/>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536"/>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5C55"/>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4D9"/>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996"/>
    <w:rsid w:val="00FB4BBD"/>
    <w:rsid w:val="00FB4DDB"/>
    <w:rsid w:val="00FB5169"/>
    <w:rsid w:val="00FB519A"/>
    <w:rsid w:val="00FB5C7E"/>
    <w:rsid w:val="00FB5E12"/>
    <w:rsid w:val="00FB6868"/>
    <w:rsid w:val="00FB6905"/>
    <w:rsid w:val="00FB6A34"/>
    <w:rsid w:val="00FB6BDF"/>
    <w:rsid w:val="00FB7224"/>
    <w:rsid w:val="00FB7323"/>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9AC6F27"/>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2C4F6E"/>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EC3B1A5"/>
  <w15:docId w15:val="{B9B10542-58C4-4024-B0C1-D8F933D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pPr>
      <w:spacing w:after="160" w:line="259" w:lineRule="auto"/>
    </w:pPr>
    <w:rPr>
      <w:sz w:val="22"/>
      <w:szCs w:val="22"/>
      <w:lang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356924">
      <w:bodyDiv w:val="1"/>
      <w:marLeft w:val="0"/>
      <w:marRight w:val="0"/>
      <w:marTop w:val="0"/>
      <w:marBottom w:val="0"/>
      <w:divBdr>
        <w:top w:val="none" w:sz="0" w:space="0" w:color="auto"/>
        <w:left w:val="none" w:sz="0" w:space="0" w:color="auto"/>
        <w:bottom w:val="none" w:sz="0" w:space="0" w:color="auto"/>
        <w:right w:val="none" w:sz="0" w:space="0" w:color="auto"/>
      </w:divBdr>
    </w:div>
    <w:div w:id="353921624">
      <w:bodyDiv w:val="1"/>
      <w:marLeft w:val="0"/>
      <w:marRight w:val="0"/>
      <w:marTop w:val="0"/>
      <w:marBottom w:val="0"/>
      <w:divBdr>
        <w:top w:val="none" w:sz="0" w:space="0" w:color="auto"/>
        <w:left w:val="none" w:sz="0" w:space="0" w:color="auto"/>
        <w:bottom w:val="none" w:sz="0" w:space="0" w:color="auto"/>
        <w:right w:val="none" w:sz="0" w:space="0" w:color="auto"/>
      </w:divBdr>
    </w:div>
    <w:div w:id="386687313">
      <w:bodyDiv w:val="1"/>
      <w:marLeft w:val="0"/>
      <w:marRight w:val="0"/>
      <w:marTop w:val="0"/>
      <w:marBottom w:val="0"/>
      <w:divBdr>
        <w:top w:val="none" w:sz="0" w:space="0" w:color="auto"/>
        <w:left w:val="none" w:sz="0" w:space="0" w:color="auto"/>
        <w:bottom w:val="none" w:sz="0" w:space="0" w:color="auto"/>
        <w:right w:val="none" w:sz="0" w:space="0" w:color="auto"/>
      </w:divBdr>
    </w:div>
    <w:div w:id="522598565">
      <w:bodyDiv w:val="1"/>
      <w:marLeft w:val="0"/>
      <w:marRight w:val="0"/>
      <w:marTop w:val="0"/>
      <w:marBottom w:val="0"/>
      <w:divBdr>
        <w:top w:val="none" w:sz="0" w:space="0" w:color="auto"/>
        <w:left w:val="none" w:sz="0" w:space="0" w:color="auto"/>
        <w:bottom w:val="none" w:sz="0" w:space="0" w:color="auto"/>
        <w:right w:val="none" w:sz="0" w:space="0" w:color="auto"/>
      </w:divBdr>
    </w:div>
    <w:div w:id="887688572">
      <w:bodyDiv w:val="1"/>
      <w:marLeft w:val="0"/>
      <w:marRight w:val="0"/>
      <w:marTop w:val="0"/>
      <w:marBottom w:val="0"/>
      <w:divBdr>
        <w:top w:val="none" w:sz="0" w:space="0" w:color="auto"/>
        <w:left w:val="none" w:sz="0" w:space="0" w:color="auto"/>
        <w:bottom w:val="none" w:sz="0" w:space="0" w:color="auto"/>
        <w:right w:val="none" w:sz="0" w:space="0" w:color="auto"/>
      </w:divBdr>
    </w:div>
    <w:div w:id="1567643972">
      <w:bodyDiv w:val="1"/>
      <w:marLeft w:val="0"/>
      <w:marRight w:val="0"/>
      <w:marTop w:val="0"/>
      <w:marBottom w:val="0"/>
      <w:divBdr>
        <w:top w:val="none" w:sz="0" w:space="0" w:color="auto"/>
        <w:left w:val="none" w:sz="0" w:space="0" w:color="auto"/>
        <w:bottom w:val="none" w:sz="0" w:space="0" w:color="auto"/>
        <w:right w:val="none" w:sz="0" w:space="0" w:color="auto"/>
      </w:divBdr>
    </w:div>
    <w:div w:id="182015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Inbox/drafts/8.9/RRC/RAN1%23107-e_Rel-17_RRC_NB-IoT_eMTC_v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D762A05-5C97-4881-80E5-158AEA5C57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Ratasuk, Rapeepat (Nokia - US/Naperville)</cp:lastModifiedBy>
  <cp:revision>3</cp:revision>
  <dcterms:created xsi:type="dcterms:W3CDTF">2021-11-15T22:33:00Z</dcterms:created>
  <dcterms:modified xsi:type="dcterms:W3CDTF">2021-11-16T13:49:00Z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