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96F5" w14:textId="77777777" w:rsidR="00A323B9" w:rsidRDefault="00A323B9" w:rsidP="002A2F25">
      <w:pPr>
        <w:rPr>
          <w:rFonts w:ascii="Arial" w:hAnsi="Arial" w:cs="Arial"/>
          <w:b/>
          <w:bCs/>
          <w:sz w:val="22"/>
        </w:rPr>
      </w:pPr>
    </w:p>
    <w:p w14:paraId="7FE76819" w14:textId="06F0DC13"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w:t>
      </w:r>
      <w:r w:rsidR="00EC168F">
        <w:rPr>
          <w:rFonts w:ascii="Arial" w:hAnsi="Arial" w:cs="Arial"/>
          <w:b/>
          <w:bCs/>
          <w:sz w:val="22"/>
        </w:rPr>
        <w:t>xxxx</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7F0E8B7F"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EC168F">
        <w:rPr>
          <w:rFonts w:ascii="Arial" w:hAnsi="Arial" w:cs="Arial"/>
          <w:b/>
        </w:rPr>
        <w:t xml:space="preserve">sensing beam selection </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47B8929"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EC168F">
        <w:rPr>
          <w:rFonts w:ascii="Arial" w:hAnsi="Arial" w:cs="Arial"/>
          <w:bCs/>
        </w:rPr>
        <w:t>Qualcomm</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2A52B7C6"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EC168F">
        <w:rPr>
          <w:rFonts w:ascii="Arial" w:hAnsi="Arial" w:cs="Arial"/>
          <w:bCs/>
        </w:rPr>
        <w:t>4</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3C487F1B"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EC168F">
        <w:rPr>
          <w:rFonts w:cs="Arial"/>
          <w:b w:val="0"/>
          <w:bCs/>
        </w:rPr>
        <w:t>Jing Sun</w:t>
      </w:r>
    </w:p>
    <w:p w14:paraId="436A1EDE" w14:textId="5F056438"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r w:rsidR="00EC168F">
        <w:rPr>
          <w:rFonts w:cs="Arial"/>
          <w:b w:val="0"/>
          <w:bCs/>
          <w:color w:val="auto"/>
        </w:rPr>
        <w:t>jingsun@qti.qualcomm.com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630FBC1C" w14:textId="64498CEE" w:rsidR="0012167A" w:rsidRDefault="00EC168F" w:rsidP="00DF4C2A">
      <w:pPr>
        <w:rPr>
          <w:rFonts w:ascii="Arial" w:hAnsi="Arial" w:cs="Arial"/>
        </w:rPr>
      </w:pPr>
      <w:r>
        <w:rPr>
          <w:rFonts w:ascii="Arial" w:hAnsi="Arial" w:cs="Arial"/>
        </w:rPr>
        <w:t>For LBT operation in FR2-2, RAN1 discussed the relationship between the transmission beam and the sensing beam used for LBT for the transmission, and has the following agreements:</w:t>
      </w:r>
    </w:p>
    <w:p w14:paraId="74B08011" w14:textId="322E04D0" w:rsidR="00EC168F" w:rsidRDefault="00EC168F" w:rsidP="00DF4C2A">
      <w:pPr>
        <w:rPr>
          <w:rFonts w:ascii="Arial" w:hAnsi="Arial" w:cs="Arial"/>
        </w:rPr>
      </w:pPr>
    </w:p>
    <w:p w14:paraId="2E2A7776" w14:textId="77777777" w:rsidR="00EC168F" w:rsidRPr="00EC168F" w:rsidRDefault="00EC168F" w:rsidP="00EC168F">
      <w:pPr>
        <w:rPr>
          <w:lang w:eastAsia="x-none"/>
        </w:rPr>
      </w:pPr>
      <w:commentRangeStart w:id="0"/>
      <w:commentRangeStart w:id="1"/>
      <w:r w:rsidRPr="00EC168F">
        <w:rPr>
          <w:highlight w:val="green"/>
          <w:lang w:eastAsia="x-none"/>
        </w:rPr>
        <w:t>Agreement:</w:t>
      </w:r>
      <w:commentRangeEnd w:id="0"/>
      <w:r w:rsidR="00010825">
        <w:rPr>
          <w:rStyle w:val="CommentReference"/>
          <w:rFonts w:ascii="Arial" w:hAnsi="Arial"/>
        </w:rPr>
        <w:commentReference w:id="0"/>
      </w:r>
      <w:commentRangeEnd w:id="1"/>
      <w:r w:rsidR="00A54199">
        <w:rPr>
          <w:rStyle w:val="CommentReference"/>
          <w:rFonts w:ascii="Arial" w:hAnsi="Arial"/>
        </w:rPr>
        <w:commentReference w:id="1"/>
      </w:r>
    </w:p>
    <w:p w14:paraId="2E35B40C" w14:textId="77777777" w:rsidR="00EC168F" w:rsidRPr="00EC168F" w:rsidRDefault="00EC168F" w:rsidP="00EC168F">
      <w:pPr>
        <w:numPr>
          <w:ilvl w:val="0"/>
          <w:numId w:val="41"/>
        </w:numPr>
        <w:snapToGrid w:val="0"/>
        <w:spacing w:line="256" w:lineRule="auto"/>
        <w:rPr>
          <w:color w:val="000000"/>
        </w:rPr>
      </w:pPr>
      <w:r w:rsidRPr="00EC168F">
        <w:rPr>
          <w:color w:val="000000"/>
        </w:rPr>
        <w:t xml:space="preserve">When UE indicates a </w:t>
      </w:r>
      <w:r w:rsidRPr="00EC168F">
        <w:t>capability for beam correspondence with beamCorrespondenceWithoutUL-BeamSweeping ={1}</w:t>
      </w:r>
      <w:r w:rsidRPr="00EC168F">
        <w:rPr>
          <w:color w:val="000000"/>
        </w:rPr>
        <w:t>, support the following behaviors</w:t>
      </w:r>
    </w:p>
    <w:p w14:paraId="5D490374" w14:textId="77777777" w:rsidR="00EC168F" w:rsidRPr="00EC168F" w:rsidRDefault="00EC168F" w:rsidP="00EC168F">
      <w:pPr>
        <w:pStyle w:val="ListParagraph"/>
        <w:numPr>
          <w:ilvl w:val="0"/>
          <w:numId w:val="40"/>
        </w:numPr>
        <w:kinsoku w:val="0"/>
        <w:overflowPunct w:val="0"/>
        <w:adjustRightInd w:val="0"/>
        <w:snapToGrid w:val="0"/>
        <w:spacing w:line="256" w:lineRule="auto"/>
        <w:ind w:leftChars="0" w:left="1080"/>
        <w:rPr>
          <w:rFonts w:ascii="Times New Roman" w:hAnsi="Times New Roman"/>
          <w:color w:val="000000"/>
        </w:rPr>
      </w:pPr>
      <w:r w:rsidRPr="00EC168F">
        <w:rPr>
          <w:rFonts w:ascii="Times New Roman" w:hAnsi="Times New Roman"/>
          <w:color w:val="000000"/>
        </w:rPr>
        <w:t>If the UE is indicated to transmit with a beam corresponding to a certain SRI, the UE can use the same beam for sensing</w:t>
      </w:r>
    </w:p>
    <w:p w14:paraId="551663D6" w14:textId="77777777" w:rsidR="00EC168F" w:rsidRPr="00EC168F" w:rsidRDefault="00EC168F" w:rsidP="00EC168F">
      <w:pPr>
        <w:pStyle w:val="ListParagraph"/>
        <w:numPr>
          <w:ilvl w:val="0"/>
          <w:numId w:val="40"/>
        </w:numPr>
        <w:kinsoku w:val="0"/>
        <w:overflowPunct w:val="0"/>
        <w:adjustRightInd w:val="0"/>
        <w:snapToGrid w:val="0"/>
        <w:spacing w:line="256" w:lineRule="auto"/>
        <w:ind w:leftChars="0" w:left="1080"/>
        <w:rPr>
          <w:rFonts w:ascii="Times New Roman" w:hAnsi="Times New Roman"/>
          <w:color w:val="000000"/>
        </w:rPr>
      </w:pPr>
      <w:r w:rsidRPr="00EC168F">
        <w:rPr>
          <w:rFonts w:ascii="Times New Roman" w:hAnsi="Times New Roman"/>
          <w:color w:val="000000"/>
        </w:rPr>
        <w:t>Assuming Rel.17 unified TCI framework, if the UE is indicated to transmit with a beam corresponding to a certain unified TCI, the UE can use the reception beam corresponding to the TCI for sensing</w:t>
      </w:r>
    </w:p>
    <w:p w14:paraId="5700FBC2" w14:textId="77777777" w:rsidR="00EC168F" w:rsidRPr="00EC168F" w:rsidRDefault="00EC168F" w:rsidP="00EC168F">
      <w:pPr>
        <w:numPr>
          <w:ilvl w:val="0"/>
          <w:numId w:val="41"/>
        </w:numPr>
        <w:snapToGrid w:val="0"/>
        <w:spacing w:line="256" w:lineRule="auto"/>
        <w:rPr>
          <w:color w:val="000000"/>
        </w:rPr>
      </w:pPr>
      <w:r w:rsidRPr="00EC168F">
        <w:rPr>
          <w:color w:val="000000"/>
        </w:rPr>
        <w:t>FFS: The case when UE does not indicate a capability for beam correspondence</w:t>
      </w:r>
    </w:p>
    <w:p w14:paraId="5BC71459" w14:textId="77777777" w:rsidR="00EC168F" w:rsidRPr="00EC168F" w:rsidRDefault="00EC168F" w:rsidP="00EC168F">
      <w:pPr>
        <w:numPr>
          <w:ilvl w:val="0"/>
          <w:numId w:val="41"/>
        </w:numPr>
        <w:snapToGrid w:val="0"/>
        <w:spacing w:line="256" w:lineRule="auto"/>
        <w:rPr>
          <w:color w:val="000000"/>
        </w:rPr>
      </w:pPr>
      <w:r w:rsidRPr="00EC168F">
        <w:rPr>
          <w:color w:val="000000"/>
        </w:rPr>
        <w:t>Note: The UE should meet local regulatory requirements</w:t>
      </w:r>
    </w:p>
    <w:p w14:paraId="2A7B6420" w14:textId="77777777" w:rsidR="00EC168F" w:rsidRDefault="00EC168F" w:rsidP="00DF4C2A">
      <w:pPr>
        <w:rPr>
          <w:rFonts w:ascii="Arial" w:hAnsi="Arial" w:cs="Arial"/>
        </w:rPr>
      </w:pPr>
    </w:p>
    <w:p w14:paraId="7F236FCF" w14:textId="01479B63" w:rsidR="00EC168F" w:rsidRDefault="00EC168F" w:rsidP="00DF4C2A">
      <w:pPr>
        <w:rPr>
          <w:rFonts w:ascii="Arial" w:hAnsi="Arial" w:cs="Arial"/>
        </w:rPr>
      </w:pPr>
    </w:p>
    <w:p w14:paraId="0F302C50" w14:textId="77777777" w:rsidR="00EC168F" w:rsidRPr="00955C28" w:rsidRDefault="00EC168F" w:rsidP="00EC168F">
      <w:pPr>
        <w:pStyle w:val="discussionpoint"/>
        <w:spacing w:after="0"/>
        <w:jc w:val="left"/>
        <w:rPr>
          <w:b/>
          <w:color w:val="000000"/>
        </w:rPr>
      </w:pPr>
      <w:r w:rsidRPr="00955C28">
        <w:rPr>
          <w:b/>
          <w:snapToGrid/>
          <w:highlight w:val="green"/>
        </w:rPr>
        <w:t>Agreement</w:t>
      </w:r>
    </w:p>
    <w:p w14:paraId="4620AB9A" w14:textId="77777777" w:rsidR="00EC168F" w:rsidRPr="0008343E" w:rsidRDefault="00EC168F" w:rsidP="00EC168F">
      <w:pPr>
        <w:rPr>
          <w:szCs w:val="18"/>
        </w:rPr>
      </w:pPr>
      <w:r w:rsidRPr="0008343E">
        <w:rPr>
          <w:szCs w:val="18"/>
        </w:rPr>
        <w:t>For the following situations</w:t>
      </w:r>
    </w:p>
    <w:p w14:paraId="6E640D6B" w14:textId="77777777" w:rsidR="00EC168F" w:rsidRPr="0008343E" w:rsidRDefault="00EC168F" w:rsidP="00EC168F">
      <w:pPr>
        <w:numPr>
          <w:ilvl w:val="0"/>
          <w:numId w:val="40"/>
        </w:numPr>
        <w:autoSpaceDE w:val="0"/>
        <w:autoSpaceDN w:val="0"/>
        <w:adjustRightInd w:val="0"/>
        <w:snapToGrid w:val="0"/>
        <w:jc w:val="both"/>
        <w:rPr>
          <w:szCs w:val="18"/>
        </w:rPr>
      </w:pPr>
      <w:r w:rsidRPr="0008343E">
        <w:rPr>
          <w:szCs w:val="18"/>
        </w:rPr>
        <w:t xml:space="preserve">Selecting sensing beam at the gNB </w:t>
      </w:r>
    </w:p>
    <w:p w14:paraId="0F63BB8F" w14:textId="77777777" w:rsidR="00EC168F" w:rsidRPr="0008343E" w:rsidRDefault="00EC168F" w:rsidP="00EC168F">
      <w:pPr>
        <w:numPr>
          <w:ilvl w:val="0"/>
          <w:numId w:val="40"/>
        </w:numPr>
        <w:autoSpaceDE w:val="0"/>
        <w:autoSpaceDN w:val="0"/>
        <w:adjustRightInd w:val="0"/>
        <w:snapToGrid w:val="0"/>
        <w:jc w:val="both"/>
        <w:rPr>
          <w:szCs w:val="18"/>
        </w:rPr>
      </w:pPr>
      <w:r w:rsidRPr="0008343E">
        <w:rPr>
          <w:szCs w:val="18"/>
        </w:rPr>
        <w:t>Selecting sensing beam at the UE when UE does not indicate a capability for beam correspondence with beamCorrespondenceWithoutUL-BeamSweeping ={1}</w:t>
      </w:r>
    </w:p>
    <w:p w14:paraId="001F0FD4" w14:textId="77777777" w:rsidR="00EC168F" w:rsidRPr="0008343E" w:rsidRDefault="00EC168F" w:rsidP="00EC168F">
      <w:pPr>
        <w:numPr>
          <w:ilvl w:val="0"/>
          <w:numId w:val="40"/>
        </w:numPr>
        <w:autoSpaceDE w:val="0"/>
        <w:autoSpaceDN w:val="0"/>
        <w:adjustRightInd w:val="0"/>
        <w:snapToGrid w:val="0"/>
        <w:jc w:val="both"/>
        <w:rPr>
          <w:szCs w:val="18"/>
        </w:rPr>
      </w:pPr>
      <w:r w:rsidRPr="0008343E">
        <w:rPr>
          <w:szCs w:val="18"/>
        </w:rPr>
        <w:t xml:space="preserve">Selecting sensing beam at the UE when UE uses a different beam for sensing than the beam used for transmission, </w:t>
      </w:r>
    </w:p>
    <w:p w14:paraId="42AEF84E" w14:textId="77777777" w:rsidR="00EC168F" w:rsidRPr="0008343E" w:rsidRDefault="00EC168F" w:rsidP="00EC168F">
      <w:pPr>
        <w:rPr>
          <w:szCs w:val="18"/>
        </w:rPr>
      </w:pPr>
      <w:r w:rsidRPr="0008343E">
        <w:rPr>
          <w:szCs w:val="18"/>
        </w:rPr>
        <w:t>Specify necessary requirement/test procedure to guarantee sensing beam(s) “covers” the transmission beam(s)</w:t>
      </w:r>
    </w:p>
    <w:p w14:paraId="4D789C55" w14:textId="77777777" w:rsidR="00EC168F" w:rsidRPr="0008343E" w:rsidRDefault="00EC168F" w:rsidP="00EC168F">
      <w:pPr>
        <w:numPr>
          <w:ilvl w:val="0"/>
          <w:numId w:val="40"/>
        </w:numPr>
        <w:autoSpaceDE w:val="0"/>
        <w:autoSpaceDN w:val="0"/>
        <w:adjustRightInd w:val="0"/>
        <w:snapToGrid w:val="0"/>
        <w:jc w:val="both"/>
        <w:rPr>
          <w:szCs w:val="18"/>
          <w:lang w:val="en-US"/>
        </w:rPr>
      </w:pPr>
      <w:r w:rsidRPr="0008343E">
        <w:rPr>
          <w:szCs w:val="18"/>
        </w:rPr>
        <w:t>Some methods to define “cover” have been discussed in RAN1</w:t>
      </w:r>
    </w:p>
    <w:p w14:paraId="2712427F"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Alt-1A: the angle included in the [3] dB beamwidth of the transmission beam is included in the [X, FFS] dB beamwidth of the sensing beam.</w:t>
      </w:r>
    </w:p>
    <w:p w14:paraId="028DBEE8"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Alt-1B:  the sensing beam gain measured along the direction of peak transmission direction is at least X [FFS] dB of the transmission beam gain</w:t>
      </w:r>
    </w:p>
    <w:p w14:paraId="12E189AC"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716B5896"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3E325FD0"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 xml:space="preserve">Alt-1E: Sensing beam has the minimum [3] dB beamwidth which at least contains all beam peak directions of transmission beams. </w:t>
      </w:r>
    </w:p>
    <w:p w14:paraId="2D928901"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Alt-1F:</w:t>
      </w:r>
    </w:p>
    <w:p w14:paraId="699EA80E" w14:textId="77777777" w:rsidR="00EC168F" w:rsidRPr="0008343E" w:rsidRDefault="00EC168F" w:rsidP="00EC168F">
      <w:pPr>
        <w:numPr>
          <w:ilvl w:val="2"/>
          <w:numId w:val="40"/>
        </w:numPr>
        <w:autoSpaceDE w:val="0"/>
        <w:autoSpaceDN w:val="0"/>
        <w:adjustRightInd w:val="0"/>
        <w:snapToGrid w:val="0"/>
        <w:jc w:val="both"/>
        <w:rPr>
          <w:szCs w:val="18"/>
        </w:rPr>
      </w:pPr>
      <w:r w:rsidRPr="0008343E">
        <w:rPr>
          <w:szCs w:val="18"/>
        </w:rPr>
        <w:t>Selecting sensing beam at the gNB is up to gNB’s implementation</w:t>
      </w:r>
    </w:p>
    <w:p w14:paraId="06A1FFE0" w14:textId="77777777" w:rsidR="00EC168F" w:rsidRPr="0008343E" w:rsidRDefault="00EC168F" w:rsidP="00EC168F">
      <w:pPr>
        <w:numPr>
          <w:ilvl w:val="2"/>
          <w:numId w:val="40"/>
        </w:numPr>
        <w:autoSpaceDE w:val="0"/>
        <w:autoSpaceDN w:val="0"/>
        <w:adjustRightInd w:val="0"/>
        <w:snapToGrid w:val="0"/>
        <w:jc w:val="both"/>
        <w:rPr>
          <w:szCs w:val="18"/>
        </w:rPr>
      </w:pPr>
      <w:r w:rsidRPr="0008343E">
        <w:rPr>
          <w:szCs w:val="18"/>
        </w:rPr>
        <w:lastRenderedPageBreak/>
        <w:t>Sensing beam at the UE may use a wider beam for sensing than the beam used for transmission, when the UE does not indicate a capability for beam correspondence with beamCorrespondenceWithoutUL-BeamSweeping ={1}</w:t>
      </w:r>
    </w:p>
    <w:p w14:paraId="0FE1DF3D" w14:textId="77777777" w:rsidR="00EC168F" w:rsidRPr="0008343E" w:rsidRDefault="00EC168F" w:rsidP="00EC168F">
      <w:pPr>
        <w:numPr>
          <w:ilvl w:val="0"/>
          <w:numId w:val="40"/>
        </w:numPr>
        <w:autoSpaceDE w:val="0"/>
        <w:autoSpaceDN w:val="0"/>
        <w:adjustRightInd w:val="0"/>
        <w:snapToGrid w:val="0"/>
        <w:jc w:val="both"/>
        <w:rPr>
          <w:szCs w:val="18"/>
        </w:rPr>
      </w:pPr>
      <w:r w:rsidRPr="0008343E">
        <w:rPr>
          <w:szCs w:val="18"/>
        </w:rPr>
        <w:t>Sending LS to RAN4 and inform them the above and request them to make the final choice</w:t>
      </w:r>
    </w:p>
    <w:p w14:paraId="673DD6BD" w14:textId="77777777" w:rsidR="00EC168F" w:rsidRPr="0008343E" w:rsidRDefault="00EC168F" w:rsidP="00EC168F">
      <w:pPr>
        <w:numPr>
          <w:ilvl w:val="1"/>
          <w:numId w:val="40"/>
        </w:numPr>
        <w:autoSpaceDE w:val="0"/>
        <w:autoSpaceDN w:val="0"/>
        <w:adjustRightInd w:val="0"/>
        <w:snapToGrid w:val="0"/>
        <w:jc w:val="both"/>
        <w:rPr>
          <w:szCs w:val="18"/>
        </w:rPr>
      </w:pPr>
      <w:r w:rsidRPr="0008343E">
        <w:rPr>
          <w:szCs w:val="18"/>
        </w:rPr>
        <w:t>RAN4 choice may not be limited by the list above</w:t>
      </w:r>
    </w:p>
    <w:p w14:paraId="4A63F79C" w14:textId="77777777" w:rsidR="00EC168F" w:rsidRPr="0008343E" w:rsidRDefault="00EC168F" w:rsidP="00EC168F">
      <w:pPr>
        <w:numPr>
          <w:ilvl w:val="1"/>
          <w:numId w:val="40"/>
        </w:numPr>
        <w:autoSpaceDE w:val="0"/>
        <w:autoSpaceDN w:val="0"/>
        <w:adjustRightInd w:val="0"/>
        <w:snapToGrid w:val="0"/>
        <w:jc w:val="both"/>
        <w:rPr>
          <w:sz w:val="22"/>
        </w:rPr>
      </w:pPr>
      <w:r w:rsidRPr="0008343E">
        <w:rPr>
          <w:szCs w:val="18"/>
        </w:rPr>
        <w:t>RAN4 can further decide for gNB or UE separately if such test or requirement is not needed or not practical and leave it to gNB or UE implementation</w:t>
      </w:r>
    </w:p>
    <w:p w14:paraId="3320DFA3" w14:textId="286B5799" w:rsidR="00EC168F" w:rsidRDefault="00EC168F" w:rsidP="00DF4C2A">
      <w:pPr>
        <w:rPr>
          <w:rFonts w:ascii="Arial" w:hAnsi="Arial" w:cs="Arial"/>
        </w:rPr>
      </w:pPr>
    </w:p>
    <w:p w14:paraId="285CDB1C" w14:textId="43FD6624" w:rsidR="00EC168F" w:rsidRPr="0068727F" w:rsidRDefault="00EC168F" w:rsidP="00EC168F">
      <w:pPr>
        <w:rPr>
          <w:rFonts w:ascii="Arial" w:hAnsi="Arial" w:cs="Arial"/>
        </w:rPr>
      </w:pPr>
      <w:r w:rsidRPr="0068727F">
        <w:rPr>
          <w:rFonts w:ascii="Arial" w:hAnsi="Arial" w:cs="Arial"/>
        </w:rPr>
        <w:t>RAN1 would like to kindly ask RAN</w:t>
      </w:r>
      <w:r>
        <w:rPr>
          <w:rFonts w:ascii="Arial" w:hAnsi="Arial" w:cs="Arial"/>
        </w:rPr>
        <w:t xml:space="preserve">4 </w:t>
      </w:r>
      <w:r w:rsidRPr="0068727F">
        <w:rPr>
          <w:rFonts w:ascii="Arial" w:hAnsi="Arial" w:cs="Arial"/>
        </w:rPr>
        <w:t xml:space="preserve">to </w:t>
      </w:r>
      <w:ins w:id="2" w:author="ANKIT BHAMRI" w:date="2021-11-15T19:41:00Z">
        <w:r w:rsidR="00010825">
          <w:rPr>
            <w:rFonts w:ascii="Arial" w:hAnsi="Arial" w:cs="Arial"/>
          </w:rPr>
          <w:t xml:space="preserve">take </w:t>
        </w:r>
      </w:ins>
      <w:r>
        <w:rPr>
          <w:rFonts w:ascii="Arial" w:hAnsi="Arial" w:cs="Arial"/>
        </w:rPr>
        <w:t>the above agreements into consideration</w:t>
      </w:r>
      <w:r w:rsidR="001567E9">
        <w:rPr>
          <w:rFonts w:ascii="Arial" w:hAnsi="Arial" w:cs="Arial"/>
        </w:rPr>
        <w:t xml:space="preserve"> </w:t>
      </w:r>
      <w:commentRangeStart w:id="3"/>
      <w:del w:id="4" w:author="Ericsson" w:date="2021-11-16T15:48:00Z">
        <w:r w:rsidR="001567E9" w:rsidDel="00DD4244">
          <w:rPr>
            <w:rFonts w:ascii="Arial" w:hAnsi="Arial" w:cs="Arial"/>
          </w:rPr>
          <w:delText>for ensuring that a sensing beam for LBT operation “covers” the transmission beam</w:delText>
        </w:r>
        <w:r w:rsidRPr="0068727F" w:rsidDel="00DD4244">
          <w:rPr>
            <w:rFonts w:ascii="Arial" w:hAnsi="Arial" w:cs="Arial"/>
          </w:rPr>
          <w:delText>.</w:delText>
        </w:r>
        <w:commentRangeEnd w:id="3"/>
        <w:r w:rsidR="00A54199" w:rsidDel="00DD4244">
          <w:rPr>
            <w:rStyle w:val="CommentReference"/>
            <w:rFonts w:ascii="Arial" w:hAnsi="Arial"/>
          </w:rPr>
          <w:commentReference w:id="3"/>
        </w:r>
      </w:del>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669028E2"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C168F">
        <w:rPr>
          <w:rFonts w:ascii="Arial" w:hAnsi="Arial" w:cs="Arial"/>
        </w:rPr>
        <w:t>4</w:t>
      </w:r>
      <w:r w:rsidR="00A8184B">
        <w:rPr>
          <w:rFonts w:ascii="Arial" w:hAnsi="Arial" w:cs="Arial"/>
        </w:rPr>
        <w:t xml:space="preserve"> </w:t>
      </w:r>
      <w:r w:rsidR="00A8184B" w:rsidRPr="0068727F">
        <w:rPr>
          <w:rFonts w:ascii="Arial" w:hAnsi="Arial" w:cs="Arial"/>
        </w:rPr>
        <w:t xml:space="preserve">to </w:t>
      </w:r>
      <w:ins w:id="5" w:author="ANKIT BHAMRI" w:date="2021-11-15T19:41:00Z">
        <w:r w:rsidR="00010825">
          <w:rPr>
            <w:rFonts w:ascii="Arial" w:hAnsi="Arial" w:cs="Arial"/>
          </w:rPr>
          <w:t xml:space="preserve">take </w:t>
        </w:r>
      </w:ins>
      <w:r w:rsidR="00EC168F">
        <w:rPr>
          <w:rFonts w:ascii="Arial" w:hAnsi="Arial" w:cs="Arial"/>
        </w:rPr>
        <w:t>the above agreements into consideration</w:t>
      </w:r>
      <w:ins w:id="6" w:author="Ericsson" w:date="2021-11-16T15:49:00Z">
        <w:r w:rsidR="00DD4244">
          <w:rPr>
            <w:rFonts w:ascii="Arial" w:hAnsi="Arial" w:cs="Arial"/>
          </w:rPr>
          <w:t>.</w:t>
        </w:r>
      </w:ins>
      <w:r w:rsidR="001567E9">
        <w:rPr>
          <w:rFonts w:ascii="Arial" w:hAnsi="Arial" w:cs="Arial"/>
        </w:rPr>
        <w:t xml:space="preserve"> </w:t>
      </w:r>
      <w:del w:id="7" w:author="Ericsson" w:date="2021-11-16T15:49:00Z">
        <w:r w:rsidR="001567E9" w:rsidDel="00DD4244">
          <w:rPr>
            <w:rFonts w:ascii="Arial" w:hAnsi="Arial" w:cs="Arial"/>
          </w:rPr>
          <w:delText>for ensuring that a sensing beam for LBT operation “covers” the transmission beam</w:delText>
        </w:r>
        <w:r w:rsidR="00A8184B" w:rsidRPr="0068727F" w:rsidDel="00DD4244">
          <w:rPr>
            <w:rFonts w:ascii="Arial" w:hAnsi="Arial" w:cs="Arial"/>
          </w:rPr>
          <w:delText>.</w:delText>
        </w:r>
      </w:del>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9630B6F"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r w:rsidR="00EC168F">
        <w:rPr>
          <w:rFonts w:ascii="Arial" w:hAnsi="Arial" w:cs="Arial"/>
          <w:bCs/>
        </w:rPr>
        <w:t>4</w:t>
      </w:r>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KIT BHAMRI" w:date="2021-11-15T19:43:00Z" w:initials="AB">
    <w:p w14:paraId="02DB9A1B" w14:textId="0F2F24CF" w:rsidR="00010825" w:rsidRDefault="00010825">
      <w:pPr>
        <w:pStyle w:val="CommentText"/>
      </w:pPr>
      <w:r>
        <w:rPr>
          <w:rStyle w:val="CommentReference"/>
        </w:rPr>
        <w:annotationRef/>
      </w:r>
      <w:r>
        <w:t xml:space="preserve">Lenovo, Motorola Mobility: In our view, this agreement can be removed </w:t>
      </w:r>
      <w:r w:rsidR="00066044">
        <w:t xml:space="preserve">from the LS </w:t>
      </w:r>
      <w:r>
        <w:t>as this doesn’t require any consideration/action from RAN4 – may create some confusion.</w:t>
      </w:r>
    </w:p>
    <w:p w14:paraId="340673C7" w14:textId="77777777" w:rsidR="00010825" w:rsidRDefault="00010825">
      <w:pPr>
        <w:pStyle w:val="CommentText"/>
      </w:pPr>
    </w:p>
    <w:p w14:paraId="1DDE3254" w14:textId="08770C7F" w:rsidR="00010825" w:rsidRDefault="00010825">
      <w:pPr>
        <w:pStyle w:val="CommentText"/>
      </w:pPr>
      <w:r>
        <w:t>Otherwise, clarification should be added that mainly the second agreement need to be considered by RAN4</w:t>
      </w:r>
    </w:p>
  </w:comment>
  <w:comment w:id="1" w:author="Ericsson" w:date="2021-11-16T15:48:00Z" w:initials="NM">
    <w:p w14:paraId="35D86C8A" w14:textId="3D234231" w:rsidR="00A54199" w:rsidRDefault="00A54199">
      <w:pPr>
        <w:pStyle w:val="CommentText"/>
      </w:pPr>
      <w:r>
        <w:rPr>
          <w:rStyle w:val="CommentReference"/>
        </w:rPr>
        <w:annotationRef/>
      </w:r>
      <w:r>
        <w:t xml:space="preserve">We agree that this is not relevant. </w:t>
      </w:r>
    </w:p>
  </w:comment>
  <w:comment w:id="3" w:author="Ericsson" w:date="2021-11-16T15:46:00Z" w:initials="NM">
    <w:p w14:paraId="081F55A7" w14:textId="06459100" w:rsidR="00A54199" w:rsidRDefault="00A54199">
      <w:pPr>
        <w:pStyle w:val="CommentText"/>
      </w:pPr>
      <w:r>
        <w:rPr>
          <w:rStyle w:val="CommentReference"/>
        </w:rPr>
        <w:annotationRef/>
      </w:r>
      <w:r>
        <w:t xml:space="preserve">We do not see a reason for this addition. It is evident from the Agreement. Furthermore, it is also clear that one of the alternatives (Alt 1F) would mean this is not ensured. So, we don’t see a need to explicitly state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DE3254" w15:done="0"/>
  <w15:commentEx w15:paraId="35D86C8A" w15:paraIdParent="1DDE3254" w15:done="0"/>
  <w15:commentEx w15:paraId="081F55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36CA" w16cex:dateUtc="2021-11-15T18:43:00Z"/>
  <w16cex:commentExtensible w16cex:durableId="253E5138" w16cex:dateUtc="2021-11-16T14:48:00Z"/>
  <w16cex:commentExtensible w16cex:durableId="253E50EB" w16cex:dateUtc="2021-11-16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DE3254" w16cid:durableId="253D36CA"/>
  <w16cid:commentId w16cid:paraId="35D86C8A" w16cid:durableId="253E5138"/>
  <w16cid:commentId w16cid:paraId="081F55A7" w16cid:durableId="253E50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BB60B" w14:textId="77777777" w:rsidR="004A2845" w:rsidRDefault="004A2845">
      <w:r>
        <w:separator/>
      </w:r>
    </w:p>
  </w:endnote>
  <w:endnote w:type="continuationSeparator" w:id="0">
    <w:p w14:paraId="0467438D" w14:textId="77777777" w:rsidR="004A2845" w:rsidRDefault="004A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25B79" w14:textId="77777777" w:rsidR="004A2845" w:rsidRDefault="004A2845">
      <w:r>
        <w:separator/>
      </w:r>
    </w:p>
  </w:footnote>
  <w:footnote w:type="continuationSeparator" w:id="0">
    <w:p w14:paraId="69C642EF" w14:textId="77777777" w:rsidR="004A2845" w:rsidRDefault="004A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9"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8"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1"/>
  </w:num>
  <w:num w:numId="4">
    <w:abstractNumId w:val="11"/>
  </w:num>
  <w:num w:numId="5">
    <w:abstractNumId w:val="2"/>
  </w:num>
  <w:num w:numId="6">
    <w:abstractNumId w:val="38"/>
  </w:num>
  <w:num w:numId="7">
    <w:abstractNumId w:val="7"/>
  </w:num>
  <w:num w:numId="8">
    <w:abstractNumId w:val="23"/>
  </w:num>
  <w:num w:numId="9">
    <w:abstractNumId w:val="20"/>
  </w:num>
  <w:num w:numId="10">
    <w:abstractNumId w:val="17"/>
  </w:num>
  <w:num w:numId="11">
    <w:abstractNumId w:val="14"/>
  </w:num>
  <w:num w:numId="12">
    <w:abstractNumId w:val="33"/>
  </w:num>
  <w:num w:numId="13">
    <w:abstractNumId w:val="18"/>
  </w:num>
  <w:num w:numId="14">
    <w:abstractNumId w:val="26"/>
  </w:num>
  <w:num w:numId="15">
    <w:abstractNumId w:val="9"/>
  </w:num>
  <w:num w:numId="16">
    <w:abstractNumId w:val="25"/>
  </w:num>
  <w:num w:numId="17">
    <w:abstractNumId w:val="36"/>
  </w:num>
  <w:num w:numId="18">
    <w:abstractNumId w:val="29"/>
  </w:num>
  <w:num w:numId="19">
    <w:abstractNumId w:val="10"/>
  </w:num>
  <w:num w:numId="20">
    <w:abstractNumId w:val="4"/>
  </w:num>
  <w:num w:numId="21">
    <w:abstractNumId w:val="15"/>
  </w:num>
  <w:num w:numId="22">
    <w:abstractNumId w:val="27"/>
  </w:num>
  <w:num w:numId="23">
    <w:abstractNumId w:val="24"/>
  </w:num>
  <w:num w:numId="24">
    <w:abstractNumId w:val="12"/>
  </w:num>
  <w:num w:numId="25">
    <w:abstractNumId w:val="19"/>
  </w:num>
  <w:num w:numId="26">
    <w:abstractNumId w:val="37"/>
  </w:num>
  <w:num w:numId="27">
    <w:abstractNumId w:val="31"/>
  </w:num>
  <w:num w:numId="28">
    <w:abstractNumId w:val="34"/>
  </w:num>
  <w:num w:numId="29">
    <w:abstractNumId w:val="8"/>
  </w:num>
  <w:num w:numId="30">
    <w:abstractNumId w:val="0"/>
  </w:num>
  <w:num w:numId="31">
    <w:abstractNumId w:val="5"/>
  </w:num>
  <w:num w:numId="32">
    <w:abstractNumId w:val="5"/>
  </w:num>
  <w:num w:numId="33">
    <w:abstractNumId w:val="35"/>
  </w:num>
  <w:num w:numId="34">
    <w:abstractNumId w:val="16"/>
  </w:num>
  <w:num w:numId="35">
    <w:abstractNumId w:val="30"/>
  </w:num>
  <w:num w:numId="36">
    <w:abstractNumId w:val="22"/>
  </w:num>
  <w:num w:numId="37">
    <w:abstractNumId w:val="6"/>
  </w:num>
  <w:num w:numId="38">
    <w:abstractNumId w:val="6"/>
  </w:num>
  <w:num w:numId="39">
    <w:abstractNumId w:val="13"/>
  </w:num>
  <w:num w:numId="40">
    <w:abstractNumId w:val="1"/>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KIT BHAMRI">
    <w15:presenceInfo w15:providerId="AD" w15:userId="S::abhamri@lenovo.com::3e26a9f4-4509-44f3-8433-eeb404fe82b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0825"/>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044"/>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567E9"/>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4D9E"/>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2845"/>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5756F"/>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2DD4"/>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711ED"/>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10D"/>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199"/>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66B8"/>
    <w:rsid w:val="00CF0325"/>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244"/>
    <w:rsid w:val="00DD4871"/>
    <w:rsid w:val="00DD4EEC"/>
    <w:rsid w:val="00DD6B8D"/>
    <w:rsid w:val="00DE0A5A"/>
    <w:rsid w:val="00DE2D55"/>
    <w:rsid w:val="00DE3B29"/>
    <w:rsid w:val="00DE6790"/>
    <w:rsid w:val="00DF359B"/>
    <w:rsid w:val="00DF4C2A"/>
    <w:rsid w:val="00E01D0B"/>
    <w:rsid w:val="00E02CC8"/>
    <w:rsid w:val="00E05C6E"/>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C168F"/>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列表段落,목록 단락,¥¡¡¡¡ì¬º¥¹¥È¶ÎÂä,ÁÐ³ö¶ÎÂä,列表段落1,—ño’i—Ž,¥ê¥¹¥È¶ÎÂä,1st level - Bullet List Paragraph,Lettre d'introduction,Paragrafo elenco,Normal bullet 2,Bullet list,목록단락,リスト段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列出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 w:type="paragraph" w:styleId="Revision">
    <w:name w:val="Revision"/>
    <w:hidden/>
    <w:uiPriority w:val="99"/>
    <w:semiHidden/>
    <w:rsid w:val="007711ED"/>
    <w:rPr>
      <w:lang w:val="en-GB" w:eastAsia="en-US"/>
    </w:rPr>
  </w:style>
  <w:style w:type="paragraph" w:customStyle="1" w:styleId="discussionpoint">
    <w:name w:val="discussion point"/>
    <w:basedOn w:val="Normal"/>
    <w:link w:val="discussionpointChar"/>
    <w:qFormat/>
    <w:rsid w:val="00EC168F"/>
    <w:pPr>
      <w:widowControl w:val="0"/>
      <w:kinsoku w:val="0"/>
      <w:overflowPunct w:val="0"/>
      <w:autoSpaceDE w:val="0"/>
      <w:autoSpaceDN w:val="0"/>
      <w:adjustRightInd w:val="0"/>
      <w:spacing w:after="60" w:line="259" w:lineRule="auto"/>
      <w:jc w:val="both"/>
      <w:textAlignment w:val="baseline"/>
      <w:outlineLvl w:val="4"/>
    </w:pPr>
    <w:rPr>
      <w:rFonts w:eastAsia="Batang"/>
      <w:snapToGrid w:val="0"/>
      <w:kern w:val="2"/>
      <w:szCs w:val="22"/>
    </w:rPr>
  </w:style>
  <w:style w:type="character" w:customStyle="1" w:styleId="discussionpointChar">
    <w:name w:val="discussion point Char"/>
    <w:link w:val="discussionpoint"/>
    <w:qFormat/>
    <w:rsid w:val="00EC168F"/>
    <w:rPr>
      <w:rFonts w:eastAsia="Batang"/>
      <w:snapToGrid w:val="0"/>
      <w:kern w:val="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Value>1033</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CTPClassification=CTP_PUBLIC:VisualMarkings=</TermName>
          <TermId xmlns="http://schemas.microsoft.com/office/infopath/2007/PartnerControls">d2741259-d12c-4309-aac6-8c5c754ac101</TermId>
        </TermInfo>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PublishingStartDate xmlns="http://schemas.microsoft.com/sharepoint/v3" xsi:nil="true"/>
    <_dlc_DocId xmlns="f166a696-7b5b-4ccd-9f0c-ffde0cceec81">5NUHHDQN7SK2-1476151046-509098</_dlc_DocId>
    <_dlc_DocIdUrl xmlns="f166a696-7b5b-4ccd-9f0c-ffde0cceec81">
      <Url>https://ericsson.sharepoint.com/sites/star/_layouts/15/DocIdRedir.aspx?ID=5NUHHDQN7SK2-1476151046-509098</Url>
      <Description>5NUHHDQN7SK2-1476151046-509098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5DEE70-A6BA-472B-B2C5-D6F29F735996}">
  <ds:schemaRefs>
    <ds:schemaRef ds:uri="http://schemas.microsoft.com/office/infopath/2007/PartnerControls"/>
    <ds:schemaRef ds:uri="http://purl.org/dc/elements/1.1/"/>
    <ds:schemaRef ds:uri="http://schemas.microsoft.com/office/2006/metadata/properties"/>
    <ds:schemaRef ds:uri="d8762117-8292-4133-b1c7-eab5c6487cfd"/>
    <ds:schemaRef ds:uri="http://schemas.microsoft.com/sharepoint/v3"/>
    <ds:schemaRef ds:uri="http://purl.org/dc/terms/"/>
    <ds:schemaRef ds:uri="http://schemas.openxmlformats.org/package/2006/metadata/core-properties"/>
    <ds:schemaRef ds:uri="611109f9-ed58-4498-a270-1fb2086a5321"/>
    <ds:schemaRef ds:uri="http://schemas.microsoft.com/office/2006/documentManagement/types"/>
    <ds:schemaRef ds:uri="f166a696-7b5b-4ccd-9f0c-ffde0cceec81"/>
    <ds:schemaRef ds:uri="http://www.w3.org/XML/1998/namespace"/>
    <ds:schemaRef ds:uri="http://purl.org/dc/dcmitype/"/>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9592B2CE-CBB3-4552-A97F-B8155CA15B9C}">
  <ds:schemaRefs>
    <ds:schemaRef ds:uri="http://schemas.openxmlformats.org/officeDocument/2006/bibliography"/>
  </ds:schemaRefs>
</ds:datastoreItem>
</file>

<file path=customXml/itemProps4.xml><?xml version="1.0" encoding="utf-8"?>
<ds:datastoreItem xmlns:ds="http://schemas.openxmlformats.org/officeDocument/2006/customXml" ds:itemID="{1BF42EF5-853F-4713-ACD0-9A0C946D8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DD00C7-A3A9-4140-8BFD-2CCB3446BE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Ericsson</cp:lastModifiedBy>
  <cp:revision>3</cp:revision>
  <cp:lastPrinted>2002-04-23T16:10:00Z</cp:lastPrinted>
  <dcterms:created xsi:type="dcterms:W3CDTF">2021-11-16T14:48:00Z</dcterms:created>
  <dcterms:modified xsi:type="dcterms:W3CDTF">2021-11-16T14:55:00Z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0x0101000A5832045C649C4FB0AB9A5D116E5EF3</vt:lpwstr>
  </property>
  <property fmtid="{D5CDD505-2E9C-101B-9397-08002B2CF9AE}" pid="9" name="_NewReviewCycle">
    <vt:lpwstr/>
  </property>
  <property fmtid="{D5CDD505-2E9C-101B-9397-08002B2CF9AE}" pid="10" name="CTPClassification">
    <vt:lpwstr>CTP_NT</vt:lpwstr>
  </property>
  <property fmtid="{D5CDD505-2E9C-101B-9397-08002B2CF9AE}" pid="11" name="EriCOLLCategory">
    <vt:lpwstr/>
  </property>
  <property fmtid="{D5CDD505-2E9C-101B-9397-08002B2CF9AE}" pid="12" name="TaxKeyword">
    <vt:lpwstr>1033;#CTPClassification=CTP_PUBLIC:VisualMarkings=|d2741259-d12c-4309-aac6-8c5c754ac101;#1020;#CTPClassification=CTP_NT|ce1f0795-e420-4dce-82ef-804ad4347e39</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4" name="EriCOLLCountryTaxHTField0">
    <vt:lpwstr/>
  </property>
  <property fmtid="{D5CDD505-2E9C-101B-9397-08002B2CF9AE}" pid="25" name="EriCOLLCustomerTaxHTField0">
    <vt:lpwstr/>
  </property>
  <property fmtid="{D5CDD505-2E9C-101B-9397-08002B2CF9AE}" pid="26" name="EriCOLLProductsTaxHTField0">
    <vt:lpwstr/>
  </property>
  <property fmtid="{D5CDD505-2E9C-101B-9397-08002B2CF9AE}" pid="27" name="EriCOLLProcessTaxHTField0">
    <vt:lpwstr/>
  </property>
  <property fmtid="{D5CDD505-2E9C-101B-9397-08002B2CF9AE}" pid="28" name="EriCOLLProjects">
    <vt:lpwstr/>
  </property>
  <property fmtid="{D5CDD505-2E9C-101B-9397-08002B2CF9AE}" pid="29" name="_dlc_DocIdItemGuid">
    <vt:lpwstr>5707dcf3-f589-4860-b209-d30d7bd77772</vt:lpwstr>
  </property>
</Properties>
</file>