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proofErr w:type="spellStart"/>
      <w:r w:rsidR="009D4EF9" w:rsidRPr="0068727F">
        <w:rPr>
          <w:rFonts w:cs="Arial"/>
          <w:b w:val="0"/>
          <w:bCs/>
          <w:color w:val="auto"/>
        </w:rPr>
        <w:t>daewon.lee</w:t>
      </w:r>
      <w:proofErr w:type="spellEnd"/>
      <w:r w:rsidR="009D4EF9" w:rsidRPr="0068727F">
        <w:rPr>
          <w:rFonts w:cs="Arial"/>
          <w:b w:val="0"/>
          <w:bCs/>
          <w:color w:val="auto"/>
        </w:rPr>
        <w:t xml:space="preserv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250F6086" w14:textId="11AAB648" w:rsidR="00304D9E" w:rsidRDefault="00A54B21" w:rsidP="00C15DB5">
      <w:pPr>
        <w:rPr>
          <w:rFonts w:ascii="Arial" w:hAnsi="Arial" w:cs="Arial"/>
        </w:rPr>
      </w:pPr>
      <w:r w:rsidRPr="0068727F">
        <w:rPr>
          <w:rFonts w:ascii="Arial" w:hAnsi="Arial" w:cs="Arial"/>
        </w:rPr>
        <w:t xml:space="preserve">RAN1 </w:t>
      </w:r>
      <w:r w:rsidR="006072A1">
        <w:rPr>
          <w:rFonts w:ascii="Arial" w:hAnsi="Arial" w:cs="Arial"/>
        </w:rPr>
        <w:t xml:space="preserve">would like to </w:t>
      </w:r>
      <w:r w:rsidR="00EB54C7">
        <w:rPr>
          <w:rFonts w:ascii="Arial" w:hAnsi="Arial" w:cs="Arial"/>
        </w:rPr>
        <w:t xml:space="preserve">let RAN2 be aware that the RAN1 has </w:t>
      </w:r>
      <w:r w:rsidR="00CF0325">
        <w:rPr>
          <w:rFonts w:ascii="Arial" w:hAnsi="Arial" w:cs="Arial"/>
        </w:rPr>
        <w:t xml:space="preserve">made the agreements </w:t>
      </w:r>
      <w:r w:rsidR="00CE3DDA">
        <w:rPr>
          <w:rFonts w:ascii="Arial" w:hAnsi="Arial" w:cs="Arial"/>
        </w:rPr>
        <w:t>listed</w:t>
      </w:r>
      <w:r w:rsidR="00F3323D">
        <w:rPr>
          <w:rFonts w:ascii="Arial" w:hAnsi="Arial" w:cs="Arial"/>
        </w:rPr>
        <w:t xml:space="preserve"> in the Appendix, </w:t>
      </w:r>
      <w:r w:rsidR="00CF0325">
        <w:rPr>
          <w:rFonts w:ascii="Arial" w:hAnsi="Arial" w:cs="Arial"/>
        </w:rPr>
        <w:t xml:space="preserve">regarding </w:t>
      </w:r>
      <w:r w:rsidR="00EB54C7">
        <w:rPr>
          <w:rFonts w:ascii="Arial" w:hAnsi="Arial" w:cs="Arial"/>
        </w:rPr>
        <w:t xml:space="preserve">support </w:t>
      </w:r>
      <w:r w:rsidR="00CF0325">
        <w:rPr>
          <w:rFonts w:ascii="Arial" w:hAnsi="Arial" w:cs="Arial"/>
        </w:rPr>
        <w:t xml:space="preserve">for </w:t>
      </w:r>
      <w:r w:rsidR="00EB54C7">
        <w:rPr>
          <w:rFonts w:ascii="Arial" w:hAnsi="Arial" w:cs="Arial"/>
        </w:rPr>
        <w:t xml:space="preserve">discovery burst </w:t>
      </w:r>
      <w:r w:rsidR="00CF0325">
        <w:rPr>
          <w:rFonts w:ascii="Arial" w:hAnsi="Arial" w:cs="Arial"/>
        </w:rPr>
        <w:t xml:space="preserve">transmission </w:t>
      </w:r>
      <w:r w:rsidR="00EB54C7">
        <w:rPr>
          <w:rFonts w:ascii="Arial" w:hAnsi="Arial" w:cs="Arial"/>
        </w:rPr>
        <w:t xml:space="preserve">window (DBTW) </w:t>
      </w:r>
      <w:r w:rsidR="00540496">
        <w:rPr>
          <w:rFonts w:ascii="Arial" w:hAnsi="Arial" w:cs="Arial"/>
        </w:rPr>
        <w:t xml:space="preserve">for </w:t>
      </w:r>
      <w:r w:rsidR="00540496" w:rsidRPr="002613A5">
        <w:rPr>
          <w:rFonts w:ascii="Arial" w:hAnsi="Arial" w:cs="Arial"/>
        </w:rPr>
        <w:t>operation with shared spectrum channel access</w:t>
      </w:r>
      <w:r w:rsidR="00540496">
        <w:rPr>
          <w:rFonts w:ascii="Arial" w:hAnsi="Arial" w:cs="Arial"/>
        </w:rPr>
        <w:t xml:space="preserve"> </w:t>
      </w:r>
      <w:r w:rsidR="00EB54C7">
        <w:rPr>
          <w:rFonts w:ascii="Arial" w:hAnsi="Arial" w:cs="Arial"/>
        </w:rPr>
        <w:t>for 120, 480, and 960 kHz subcarrier spacing.</w:t>
      </w:r>
      <w:r w:rsidR="00304D9E">
        <w:rPr>
          <w:rFonts w:ascii="Arial" w:hAnsi="Arial" w:cs="Arial"/>
        </w:rPr>
        <w:t xml:space="preserve"> </w:t>
      </w:r>
    </w:p>
    <w:p w14:paraId="0D446EDE" w14:textId="77777777" w:rsidR="00304D9E" w:rsidRDefault="00304D9E" w:rsidP="00C15DB5">
      <w:pPr>
        <w:rPr>
          <w:rFonts w:ascii="Arial" w:hAnsi="Arial" w:cs="Arial"/>
        </w:rPr>
      </w:pPr>
    </w:p>
    <w:p w14:paraId="3B4AB422" w14:textId="0F261DB0" w:rsidR="00EB54C7" w:rsidRDefault="00EB54C7" w:rsidP="00C15DB5">
      <w:pPr>
        <w:rPr>
          <w:rFonts w:ascii="Arial" w:hAnsi="Arial" w:cs="Arial"/>
        </w:rPr>
      </w:pPr>
      <w:r>
        <w:rPr>
          <w:rFonts w:ascii="Arial" w:hAnsi="Arial" w:cs="Arial"/>
        </w:rPr>
        <w:t xml:space="preserve">For </w:t>
      </w:r>
      <w:r w:rsidR="00101CFA" w:rsidRPr="001C0D5C">
        <w:rPr>
          <w:rFonts w:ascii="Arial" w:hAnsi="Arial" w:cs="Arial"/>
        </w:rPr>
        <w:t xml:space="preserve">operation with </w:t>
      </w:r>
      <w:r w:rsidR="00101CFA">
        <w:rPr>
          <w:rFonts w:ascii="Arial" w:hAnsi="Arial" w:cs="Arial"/>
        </w:rPr>
        <w:t xml:space="preserve">and without </w:t>
      </w:r>
      <w:r w:rsidR="00101CFA" w:rsidRPr="001C0D5C">
        <w:rPr>
          <w:rFonts w:ascii="Arial" w:hAnsi="Arial" w:cs="Arial"/>
        </w:rPr>
        <w:t>shared spectrum channel access</w:t>
      </w:r>
      <w:r w:rsidR="00F56BA7">
        <w:rPr>
          <w:rFonts w:ascii="Arial" w:hAnsi="Arial" w:cs="Arial"/>
        </w:rPr>
        <w:t xml:space="preserve"> in FR2-2</w:t>
      </w:r>
      <w:r>
        <w:rPr>
          <w:rFonts w:ascii="Arial" w:hAnsi="Arial" w:cs="Arial"/>
        </w:rPr>
        <w:t>, NR will support 64 candidate SSB positions in a half radio frame.</w:t>
      </w:r>
    </w:p>
    <w:p w14:paraId="33DC44E0" w14:textId="244B140D" w:rsidR="00EB54C7" w:rsidRDefault="00EB54C7" w:rsidP="00C15DB5">
      <w:pPr>
        <w:rPr>
          <w:rFonts w:ascii="Arial" w:hAnsi="Arial" w:cs="Arial"/>
        </w:rPr>
      </w:pPr>
    </w:p>
    <w:p w14:paraId="6F4D05EB" w14:textId="7387790D" w:rsidR="00EB54C7" w:rsidRDefault="00EB54C7" w:rsidP="00C15DB5">
      <w:pPr>
        <w:rPr>
          <w:rFonts w:ascii="Arial" w:hAnsi="Arial" w:cs="Arial"/>
        </w:rPr>
      </w:pPr>
      <w:r>
        <w:rPr>
          <w:rFonts w:ascii="Arial" w:hAnsi="Arial" w:cs="Arial"/>
        </w:rPr>
        <w:t xml:space="preserve">Currently, it is </w:t>
      </w:r>
      <w:r w:rsidR="00CF0325">
        <w:rPr>
          <w:rFonts w:ascii="Arial" w:hAnsi="Arial" w:cs="Arial"/>
        </w:rPr>
        <w:t xml:space="preserve">a </w:t>
      </w:r>
      <w:r>
        <w:rPr>
          <w:rFonts w:ascii="Arial" w:hAnsi="Arial" w:cs="Arial"/>
        </w:rPr>
        <w:t xml:space="preserve">working assumption in RAN1 that 2 bits will be </w:t>
      </w:r>
      <w:r w:rsidR="00CF0325">
        <w:rPr>
          <w:rFonts w:ascii="Arial" w:hAnsi="Arial" w:cs="Arial"/>
        </w:rPr>
        <w:t xml:space="preserve">repurposed </w:t>
      </w:r>
      <w:r w:rsidR="00F56BA7">
        <w:rPr>
          <w:rFonts w:ascii="Arial" w:hAnsi="Arial" w:cs="Arial"/>
        </w:rPr>
        <w:t xml:space="preserve">in FR2-2 </w:t>
      </w:r>
      <w:r>
        <w:rPr>
          <w:rFonts w:ascii="Arial" w:hAnsi="Arial" w:cs="Arial"/>
        </w:rPr>
        <w:t>to convey</w:t>
      </w:r>
      <w:r w:rsidR="00CF0325">
        <w:rPr>
          <w:rFonts w:ascii="Arial" w:hAnsi="Arial" w:cs="Arial"/>
        </w:rPr>
        <w:t xml:space="preserve"> up to 4 values of</w:t>
      </w:r>
      <w:r>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xml:space="preserve">, a parameter used to derive the QCL assumptions for SSB. The 2 bits identified by RAN1 for usage </w:t>
      </w:r>
      <w:r w:rsidR="00CF0325">
        <w:rPr>
          <w:rFonts w:ascii="Arial" w:hAnsi="Arial" w:cs="Arial"/>
        </w:rPr>
        <w:t xml:space="preserve">are </w:t>
      </w:r>
      <w:r w:rsidR="000142CE">
        <w:rPr>
          <w:rFonts w:ascii="Arial" w:hAnsi="Arial" w:cs="Arial"/>
        </w:rPr>
        <w:t>‘</w:t>
      </w:r>
      <w:proofErr w:type="spellStart"/>
      <w:r w:rsidR="000142CE">
        <w:rPr>
          <w:rFonts w:ascii="Arial" w:hAnsi="Arial" w:cs="Arial"/>
        </w:rPr>
        <w:t>subCarrierSpacingCommon</w:t>
      </w:r>
      <w:proofErr w:type="spellEnd"/>
      <w:r w:rsidR="000142CE">
        <w:rPr>
          <w:rFonts w:ascii="Arial" w:hAnsi="Arial" w:cs="Arial"/>
        </w:rPr>
        <w:t xml:space="preserve">’ and ‘spare’ bit contained in </w:t>
      </w:r>
      <w:r w:rsidR="00CF0325">
        <w:rPr>
          <w:rFonts w:ascii="Arial" w:hAnsi="Arial" w:cs="Arial"/>
        </w:rPr>
        <w:t xml:space="preserve">the </w:t>
      </w:r>
      <w:r w:rsidR="000142CE">
        <w:rPr>
          <w:rFonts w:ascii="Arial" w:hAnsi="Arial" w:cs="Arial"/>
        </w:rPr>
        <w:t>MIB IE.</w:t>
      </w:r>
      <w:r w:rsidR="00CF0325">
        <w:rPr>
          <w:rFonts w:ascii="Arial" w:hAnsi="Arial" w:cs="Arial"/>
        </w:rPr>
        <w:t xml:space="preserve"> </w:t>
      </w:r>
      <w:r w:rsidR="00304D9E">
        <w:rPr>
          <w:rFonts w:ascii="Arial" w:hAnsi="Arial" w:cs="Arial"/>
        </w:rPr>
        <w:t>Note that t</w:t>
      </w:r>
      <w:r w:rsidR="00CF0325">
        <w:rPr>
          <w:rFonts w:ascii="Arial" w:hAnsi="Arial" w:cs="Arial"/>
        </w:rPr>
        <w:t xml:space="preserve">he former can be repurposed since </w:t>
      </w:r>
      <w:r w:rsidR="006C2DD4">
        <w:rPr>
          <w:rFonts w:ascii="Arial" w:hAnsi="Arial" w:cs="Arial"/>
        </w:rPr>
        <w:t>according to WID</w:t>
      </w:r>
      <w:r w:rsidR="00CF0325">
        <w:rPr>
          <w:rFonts w:ascii="Arial" w:hAnsi="Arial" w:cs="Arial"/>
        </w:rPr>
        <w:t xml:space="preserve"> for FR2-2, the SCS for SS/PBCH block and CORESET0 are the same.</w:t>
      </w:r>
    </w:p>
    <w:p w14:paraId="78F9066B" w14:textId="04782F5C" w:rsidR="000142CE" w:rsidRDefault="000142CE" w:rsidP="00C15DB5">
      <w:pPr>
        <w:rPr>
          <w:rFonts w:ascii="Arial" w:hAnsi="Arial" w:cs="Arial"/>
        </w:rPr>
      </w:pPr>
    </w:p>
    <w:p w14:paraId="0D7B6AA6" w14:textId="0C8C7BDD" w:rsidR="00EB54C7" w:rsidRDefault="000142CE" w:rsidP="00C15DB5">
      <w:pPr>
        <w:rPr>
          <w:rFonts w:ascii="Arial" w:hAnsi="Arial" w:cs="Arial"/>
        </w:rPr>
      </w:pPr>
      <w:r>
        <w:rPr>
          <w:rFonts w:ascii="Arial" w:hAnsi="Arial" w:cs="Arial"/>
        </w:rPr>
        <w:t xml:space="preserve">RAN1 would like to ask RAN2 if they foresee any issues of using the ‘spare’ bit contained in MIB IE for purpose of </w:t>
      </w:r>
      <w:r w:rsidR="00CF0325">
        <w:rPr>
          <w:rFonts w:ascii="Arial" w:hAnsi="Arial" w:cs="Arial"/>
        </w:rPr>
        <w:t xml:space="preserve">signalling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to UEs.</w:t>
      </w: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0478753A"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r w:rsidR="00EC45BB">
        <w:rPr>
          <w:rFonts w:ascii="Arial" w:hAnsi="Arial" w:cs="Arial"/>
          <w:bCs/>
        </w:rPr>
        <w:t>4</w:t>
      </w:r>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rFonts w:ascii="Arial" w:hAnsi="Arial" w:cs="Arial"/>
          <w:bCs/>
        </w:rPr>
      </w:pPr>
    </w:p>
    <w:p w14:paraId="1E6296F7" w14:textId="6B669CB3" w:rsidR="00884B7F" w:rsidRDefault="00884B7F" w:rsidP="0010287D">
      <w:pPr>
        <w:spacing w:after="120"/>
        <w:rPr>
          <w:rFonts w:ascii="Arial" w:hAnsi="Arial" w:cs="Arial"/>
          <w:bCs/>
        </w:rPr>
      </w:pPr>
    </w:p>
    <w:p w14:paraId="215BDB13" w14:textId="1C35DE6E" w:rsidR="00F578D2" w:rsidRPr="0068727F" w:rsidRDefault="00A10814" w:rsidP="00F578D2">
      <w:pPr>
        <w:spacing w:after="120"/>
        <w:rPr>
          <w:rFonts w:ascii="Arial" w:hAnsi="Arial" w:cs="Arial"/>
          <w:b/>
        </w:rPr>
      </w:pPr>
      <w:r>
        <w:rPr>
          <w:rFonts w:ascii="Arial" w:hAnsi="Arial" w:cs="Arial"/>
          <w:b/>
        </w:rPr>
        <w:t>4</w:t>
      </w:r>
      <w:r w:rsidR="00F578D2" w:rsidRPr="0068727F">
        <w:rPr>
          <w:rFonts w:ascii="Arial" w:hAnsi="Arial" w:cs="Arial"/>
          <w:b/>
        </w:rPr>
        <w:t xml:space="preserve">. </w:t>
      </w:r>
      <w:r w:rsidR="00F578D2">
        <w:rPr>
          <w:rFonts w:ascii="Arial" w:hAnsi="Arial" w:cs="Arial"/>
          <w:b/>
        </w:rPr>
        <w:t xml:space="preserve">Appendix: Relevant RAN1 agreements </w:t>
      </w:r>
      <w:r w:rsidR="00F3323D">
        <w:rPr>
          <w:rFonts w:ascii="Arial" w:hAnsi="Arial" w:cs="Arial"/>
          <w:b/>
        </w:rPr>
        <w:t xml:space="preserve">and working assumptions </w:t>
      </w:r>
      <w:r w:rsidR="00F578D2">
        <w:rPr>
          <w:rFonts w:ascii="Arial" w:hAnsi="Arial" w:cs="Arial"/>
          <w:b/>
        </w:rPr>
        <w:t>from RAN1 #106-e, #106-bis-e, and #107-e</w:t>
      </w:r>
      <w:r w:rsidR="00F578D2" w:rsidRPr="0068727F">
        <w:rPr>
          <w:rFonts w:ascii="Arial" w:hAnsi="Arial" w:cs="Arial"/>
          <w:b/>
        </w:rPr>
        <w:t>:</w:t>
      </w:r>
    </w:p>
    <w:p w14:paraId="2111F33E" w14:textId="59A2E9D1" w:rsidR="00540496" w:rsidRPr="00F578D2" w:rsidRDefault="00540496" w:rsidP="00540496">
      <w:r w:rsidRPr="00F578D2">
        <w:rPr>
          <w:highlight w:val="green"/>
          <w:lang w:eastAsia="x-none"/>
        </w:rPr>
        <w:t>Agreement:</w:t>
      </w:r>
    </w:p>
    <w:p w14:paraId="6F67BD18" w14:textId="77777777" w:rsidR="00F578D2" w:rsidRPr="00615182" w:rsidRDefault="00F578D2" w:rsidP="00F578D2">
      <w:pPr>
        <w:rPr>
          <w:iCs/>
          <w:lang w:eastAsia="x-none"/>
        </w:rPr>
      </w:pPr>
      <w:r w:rsidRPr="00615182">
        <w:rPr>
          <w:iCs/>
          <w:lang w:eastAsia="x-none"/>
        </w:rPr>
        <w:t>Support DBTW for 120 kHz.</w:t>
      </w:r>
    </w:p>
    <w:p w14:paraId="6DC42F60" w14:textId="191E8185" w:rsidR="00F578D2" w:rsidRPr="00F578D2" w:rsidRDefault="00F578D2" w:rsidP="00F578D2">
      <w:pPr>
        <w:rPr>
          <w:rFonts w:eastAsia="Batang"/>
          <w:b/>
          <w:iCs/>
          <w:highlight w:val="green"/>
          <w:lang w:eastAsia="x-none"/>
        </w:rPr>
      </w:pPr>
    </w:p>
    <w:p w14:paraId="70BB05CA" w14:textId="77777777" w:rsidR="00540496" w:rsidRPr="00F578D2" w:rsidRDefault="00540496" w:rsidP="00540496">
      <w:r w:rsidRPr="00F578D2">
        <w:rPr>
          <w:highlight w:val="green"/>
          <w:lang w:eastAsia="x-none"/>
        </w:rPr>
        <w:t>Agreement:</w:t>
      </w:r>
    </w:p>
    <w:p w14:paraId="7C8BEFE4" w14:textId="77777777" w:rsidR="00F578D2" w:rsidRPr="002613A5" w:rsidRDefault="00F578D2" w:rsidP="00F578D2">
      <w:pPr>
        <w:pStyle w:val="BodyText"/>
        <w:overflowPunct w:val="0"/>
        <w:autoSpaceDE w:val="0"/>
        <w:autoSpaceDN w:val="0"/>
        <w:adjustRightInd w:val="0"/>
        <w:textAlignment w:val="baseline"/>
        <w:rPr>
          <w:rFonts w:ascii="Times New Roman" w:eastAsia="Times New Roman" w:hAnsi="Times New Roman" w:cs="Times New Roman"/>
          <w:color w:val="auto"/>
          <w:lang w:eastAsia="zh-CN"/>
        </w:rPr>
      </w:pPr>
      <w:r w:rsidRPr="002613A5">
        <w:rPr>
          <w:rFonts w:ascii="Times New Roman" w:eastAsia="Times New Roman" w:hAnsi="Times New Roman" w:cs="Times New Roman"/>
          <w:color w:val="auto"/>
          <w:lang w:eastAsia="zh-CN"/>
        </w:rPr>
        <w:lastRenderedPageBreak/>
        <w:t>For 120kHz SSB, the number of candidates SSBs in a half frame is 64.</w:t>
      </w:r>
    </w:p>
    <w:p w14:paraId="3190BFE5" w14:textId="77777777" w:rsidR="00F578D2" w:rsidRPr="00F578D2" w:rsidRDefault="00F578D2" w:rsidP="00F578D2">
      <w:pPr>
        <w:rPr>
          <w:rFonts w:eastAsia="Batang"/>
          <w:b/>
          <w:iCs/>
          <w:highlight w:val="green"/>
          <w:lang w:eastAsia="x-none"/>
        </w:rPr>
      </w:pPr>
    </w:p>
    <w:p w14:paraId="53A3C0A2" w14:textId="77777777" w:rsidR="00F578D2" w:rsidRPr="00F578D2" w:rsidRDefault="00F578D2" w:rsidP="00F578D2">
      <w:r w:rsidRPr="00F578D2">
        <w:rPr>
          <w:highlight w:val="green"/>
          <w:lang w:eastAsia="x-none"/>
        </w:rPr>
        <w:t>Agreement:</w:t>
      </w:r>
    </w:p>
    <w:p w14:paraId="4C21E197" w14:textId="77777777" w:rsidR="00F578D2" w:rsidRPr="00F578D2" w:rsidRDefault="00F578D2" w:rsidP="00F578D2">
      <w:r w:rsidRPr="00615182">
        <w:rPr>
          <w:lang w:eastAsia="x-none"/>
        </w:rPr>
        <w:t xml:space="preserve">No other values of n other than agreed previously is supported for 120kHz SCS, where parameter ‘n’ is the set of values to determine the first symbols of the candidate SSB blocks for 120kHz SCS in </w:t>
      </w:r>
      <w:r w:rsidRPr="00F578D2">
        <w:rPr>
          <w:lang w:eastAsia="x-none"/>
        </w:rPr>
        <w:t>agreement from RAN1 #104-bis-e.</w:t>
      </w:r>
    </w:p>
    <w:p w14:paraId="7CA434A4" w14:textId="77777777" w:rsidR="00F578D2" w:rsidRPr="00F578D2" w:rsidRDefault="00F578D2" w:rsidP="00F578D2">
      <w:pPr>
        <w:rPr>
          <w:rFonts w:eastAsia="Batang"/>
          <w:b/>
          <w:iCs/>
          <w:highlight w:val="green"/>
          <w:lang w:eastAsia="x-none"/>
        </w:rPr>
      </w:pPr>
    </w:p>
    <w:p w14:paraId="282078CC" w14:textId="1A5A72A3" w:rsidR="00F578D2" w:rsidRPr="00F578D2" w:rsidRDefault="00F578D2" w:rsidP="00F578D2">
      <w:pPr>
        <w:rPr>
          <w:rFonts w:eastAsia="Batang"/>
          <w:b/>
          <w:iCs/>
          <w:lang w:eastAsia="x-none"/>
        </w:rPr>
      </w:pPr>
      <w:r w:rsidRPr="00F578D2">
        <w:rPr>
          <w:rFonts w:eastAsia="Batang"/>
          <w:b/>
          <w:iCs/>
          <w:highlight w:val="green"/>
          <w:lang w:eastAsia="x-none"/>
        </w:rPr>
        <w:t>Agreement</w:t>
      </w:r>
    </w:p>
    <w:p w14:paraId="00C6F14C" w14:textId="77777777" w:rsidR="00F578D2" w:rsidRPr="00F578D2" w:rsidRDefault="00F578D2" w:rsidP="00F578D2">
      <w:pPr>
        <w:numPr>
          <w:ilvl w:val="0"/>
          <w:numId w:val="37"/>
        </w:numPr>
        <w:rPr>
          <w:rFonts w:eastAsia="Batang"/>
          <w:iCs/>
          <w:lang w:val="en-US" w:eastAsia="x-none"/>
        </w:rPr>
      </w:pPr>
      <w:r w:rsidRPr="00F578D2">
        <w:rPr>
          <w:rFonts w:eastAsia="Batang"/>
          <w:iCs/>
          <w:lang w:val="en-US" w:eastAsia="x-none"/>
        </w:rPr>
        <w:t>Support DBTW with 480 and 960 kHz SCS.</w:t>
      </w:r>
    </w:p>
    <w:p w14:paraId="6B239326" w14:textId="77777777" w:rsidR="00F578D2" w:rsidRPr="00F578D2" w:rsidRDefault="00F578D2" w:rsidP="00F578D2">
      <w:pPr>
        <w:numPr>
          <w:ilvl w:val="0"/>
          <w:numId w:val="37"/>
        </w:numPr>
        <w:rPr>
          <w:rFonts w:eastAsia="Batang"/>
          <w:iCs/>
          <w:lang w:val="en-US" w:eastAsia="x-none"/>
        </w:rPr>
      </w:pPr>
      <w:r w:rsidRPr="00F578D2">
        <w:rPr>
          <w:rFonts w:eastAsia="Batang"/>
          <w:iCs/>
          <w:lang w:val="en-US" w:eastAsia="x-none"/>
        </w:rPr>
        <w:t xml:space="preserve">For licensed and unlicensed operation, support 64 candidate SSB positions in a half frame </w:t>
      </w:r>
    </w:p>
    <w:p w14:paraId="4ED10EE4" w14:textId="77777777" w:rsidR="00F578D2" w:rsidRPr="00F578D2" w:rsidRDefault="00F578D2" w:rsidP="00F578D2">
      <w:pPr>
        <w:numPr>
          <w:ilvl w:val="0"/>
          <w:numId w:val="37"/>
        </w:numPr>
        <w:rPr>
          <w:rFonts w:eastAsia="Batang"/>
          <w:iCs/>
          <w:lang w:val="en-US" w:eastAsia="x-none"/>
        </w:rPr>
      </w:pPr>
      <w:r w:rsidRPr="00F578D2">
        <w:rPr>
          <w:rFonts w:eastAsia="Batang"/>
          <w:iCs/>
          <w:lang w:val="en-US" w:eastAsia="x-none"/>
        </w:rPr>
        <w:t xml:space="preserve">Working assumption: Use 2 bits for Q: </w:t>
      </w:r>
    </w:p>
    <w:p w14:paraId="45353065" w14:textId="77777777" w:rsidR="00F578D2" w:rsidRPr="00F578D2" w:rsidRDefault="00F578D2" w:rsidP="00F578D2">
      <w:pPr>
        <w:numPr>
          <w:ilvl w:val="1"/>
          <w:numId w:val="37"/>
        </w:numPr>
        <w:rPr>
          <w:rFonts w:eastAsia="Batang"/>
          <w:iCs/>
          <w:lang w:val="en-US" w:eastAsia="x-none"/>
        </w:rPr>
      </w:pPr>
      <w:proofErr w:type="spellStart"/>
      <w:r w:rsidRPr="00F578D2">
        <w:rPr>
          <w:rFonts w:eastAsia="Batang"/>
          <w:iCs/>
          <w:lang w:val="en-US" w:eastAsia="x-none"/>
        </w:rPr>
        <w:t>SubcarrierSpacingCommon</w:t>
      </w:r>
      <w:proofErr w:type="spellEnd"/>
    </w:p>
    <w:p w14:paraId="248E7E4A" w14:textId="77777777" w:rsidR="00F578D2" w:rsidRPr="00F578D2" w:rsidRDefault="00F578D2" w:rsidP="00F578D2">
      <w:pPr>
        <w:numPr>
          <w:ilvl w:val="1"/>
          <w:numId w:val="37"/>
        </w:numPr>
        <w:rPr>
          <w:rFonts w:eastAsia="Batang"/>
          <w:iCs/>
          <w:lang w:val="en-US" w:eastAsia="x-none"/>
        </w:rPr>
      </w:pPr>
      <w:r w:rsidRPr="00F578D2">
        <w:rPr>
          <w:rFonts w:eastAsia="Batang"/>
          <w:iCs/>
          <w:lang w:val="en-US" w:eastAsia="x-none"/>
        </w:rPr>
        <w:t>spare bit in MIB</w:t>
      </w:r>
    </w:p>
    <w:p w14:paraId="098FB06E" w14:textId="77777777" w:rsidR="00F578D2" w:rsidRPr="00F578D2" w:rsidRDefault="00F578D2" w:rsidP="00F578D2">
      <w:pPr>
        <w:numPr>
          <w:ilvl w:val="0"/>
          <w:numId w:val="37"/>
        </w:numPr>
        <w:rPr>
          <w:rFonts w:eastAsia="Batang"/>
          <w:iCs/>
          <w:lang w:val="en-US" w:eastAsia="x-none"/>
        </w:rPr>
      </w:pPr>
      <w:r w:rsidRPr="00F578D2">
        <w:rPr>
          <w:rFonts w:eastAsia="Batang"/>
          <w:iCs/>
          <w:lang w:val="en-US" w:eastAsia="x-none"/>
        </w:rPr>
        <w:t>Send LS to RAN2 for confirming the use of the spare bit in MIB</w:t>
      </w:r>
    </w:p>
    <w:p w14:paraId="687033BD" w14:textId="77777777" w:rsidR="00F578D2" w:rsidRPr="00F578D2" w:rsidRDefault="00F578D2" w:rsidP="00F578D2">
      <w:pPr>
        <w:numPr>
          <w:ilvl w:val="1"/>
          <w:numId w:val="37"/>
        </w:numPr>
        <w:rPr>
          <w:rFonts w:eastAsia="Batang"/>
          <w:iCs/>
          <w:lang w:val="en-US" w:eastAsia="x-none"/>
        </w:rPr>
      </w:pPr>
      <w:r w:rsidRPr="00F578D2">
        <w:rPr>
          <w:rFonts w:eastAsia="Batang"/>
          <w:iCs/>
          <w:lang w:val="en-US" w:eastAsia="x-none"/>
        </w:rPr>
        <w:t>The use of 2 bits for Q can be revisited if RAN2 tells RAN1 that the spare bit cannot be used</w:t>
      </w:r>
    </w:p>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C7FAD" w14:textId="77777777" w:rsidR="00797154" w:rsidRDefault="00797154">
      <w:r>
        <w:separator/>
      </w:r>
    </w:p>
  </w:endnote>
  <w:endnote w:type="continuationSeparator" w:id="0">
    <w:p w14:paraId="3CC846A6" w14:textId="77777777" w:rsidR="00797154" w:rsidRDefault="0079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AFA59" w14:textId="77777777" w:rsidR="00797154" w:rsidRDefault="00797154">
      <w:r>
        <w:separator/>
      </w:r>
    </w:p>
  </w:footnote>
  <w:footnote w:type="continuationSeparator" w:id="0">
    <w:p w14:paraId="46C7EAC1" w14:textId="77777777" w:rsidR="00797154" w:rsidRDefault="00797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9"/>
  </w:num>
  <w:num w:numId="5">
    <w:abstractNumId w:val="1"/>
  </w:num>
  <w:num w:numId="6">
    <w:abstractNumId w:val="36"/>
  </w:num>
  <w:num w:numId="7">
    <w:abstractNumId w:val="5"/>
  </w:num>
  <w:num w:numId="8">
    <w:abstractNumId w:val="21"/>
  </w:num>
  <w:num w:numId="9">
    <w:abstractNumId w:val="18"/>
  </w:num>
  <w:num w:numId="10">
    <w:abstractNumId w:val="15"/>
  </w:num>
  <w:num w:numId="11">
    <w:abstractNumId w:val="12"/>
  </w:num>
  <w:num w:numId="12">
    <w:abstractNumId w:val="31"/>
  </w:num>
  <w:num w:numId="13">
    <w:abstractNumId w:val="16"/>
  </w:num>
  <w:num w:numId="14">
    <w:abstractNumId w:val="24"/>
  </w:num>
  <w:num w:numId="15">
    <w:abstractNumId w:val="7"/>
  </w:num>
  <w:num w:numId="16">
    <w:abstractNumId w:val="23"/>
  </w:num>
  <w:num w:numId="17">
    <w:abstractNumId w:val="34"/>
  </w:num>
  <w:num w:numId="18">
    <w:abstractNumId w:val="27"/>
  </w:num>
  <w:num w:numId="19">
    <w:abstractNumId w:val="8"/>
  </w:num>
  <w:num w:numId="20">
    <w:abstractNumId w:val="2"/>
  </w:num>
  <w:num w:numId="21">
    <w:abstractNumId w:val="13"/>
  </w:num>
  <w:num w:numId="22">
    <w:abstractNumId w:val="25"/>
  </w:num>
  <w:num w:numId="23">
    <w:abstractNumId w:val="22"/>
  </w:num>
  <w:num w:numId="24">
    <w:abstractNumId w:val="10"/>
  </w:num>
  <w:num w:numId="25">
    <w:abstractNumId w:val="17"/>
  </w:num>
  <w:num w:numId="26">
    <w:abstractNumId w:val="35"/>
  </w:num>
  <w:num w:numId="27">
    <w:abstractNumId w:val="29"/>
  </w:num>
  <w:num w:numId="28">
    <w:abstractNumId w:val="32"/>
  </w:num>
  <w:num w:numId="29">
    <w:abstractNumId w:val="6"/>
  </w:num>
  <w:num w:numId="30">
    <w:abstractNumId w:val="0"/>
  </w:num>
  <w:num w:numId="31">
    <w:abstractNumId w:val="3"/>
  </w:num>
  <w:num w:numId="32">
    <w:abstractNumId w:val="3"/>
  </w:num>
  <w:num w:numId="33">
    <w:abstractNumId w:val="33"/>
  </w:num>
  <w:num w:numId="34">
    <w:abstractNumId w:val="14"/>
  </w:num>
  <w:num w:numId="35">
    <w:abstractNumId w:val="28"/>
  </w:num>
  <w:num w:numId="36">
    <w:abstractNumId w:val="20"/>
  </w:num>
  <w:num w:numId="37">
    <w:abstractNumId w:val="4"/>
  </w:num>
  <w:num w:numId="38">
    <w:abstractNumId w:val="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1CFA"/>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13A5"/>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4D9E"/>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0496"/>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2DD4"/>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711ED"/>
    <w:rsid w:val="00785B39"/>
    <w:rsid w:val="00797154"/>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10D"/>
    <w:rsid w:val="009B4223"/>
    <w:rsid w:val="009B5797"/>
    <w:rsid w:val="009D017B"/>
    <w:rsid w:val="009D1E06"/>
    <w:rsid w:val="009D21E6"/>
    <w:rsid w:val="009D4EF9"/>
    <w:rsid w:val="009E0646"/>
    <w:rsid w:val="009E3F1E"/>
    <w:rsid w:val="009E68A6"/>
    <w:rsid w:val="009E74C8"/>
    <w:rsid w:val="009F4B7A"/>
    <w:rsid w:val="00A10814"/>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4050"/>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2301"/>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3DDA"/>
    <w:rsid w:val="00CE66B8"/>
    <w:rsid w:val="00CF0325"/>
    <w:rsid w:val="00CF1820"/>
    <w:rsid w:val="00CF568D"/>
    <w:rsid w:val="00D01BE1"/>
    <w:rsid w:val="00D02539"/>
    <w:rsid w:val="00D02AEA"/>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05C6E"/>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291"/>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1577"/>
    <w:rsid w:val="00F2208D"/>
    <w:rsid w:val="00F24085"/>
    <w:rsid w:val="00F313CC"/>
    <w:rsid w:val="00F31BFE"/>
    <w:rsid w:val="00F3323D"/>
    <w:rsid w:val="00F3373E"/>
    <w:rsid w:val="00F46180"/>
    <w:rsid w:val="00F5397C"/>
    <w:rsid w:val="00F56BA7"/>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列出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 w:type="paragraph" w:styleId="Revision">
    <w:name w:val="Revision"/>
    <w:hidden/>
    <w:uiPriority w:val="99"/>
    <w:semiHidden/>
    <w:rsid w:val="007711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2.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D6B1C-BEB2-46EE-A467-18261CFA5F3F}">
  <ds:schemaRefs>
    <ds:schemaRef ds:uri="http://schemas.openxmlformats.org/officeDocument/2006/bibliography"/>
  </ds:schemaRefs>
</ds:datastoreItem>
</file>

<file path=customXml/itemProps4.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Lee, Daewon</cp:lastModifiedBy>
  <cp:revision>6</cp:revision>
  <cp:lastPrinted>2002-04-23T16:10:00Z</cp:lastPrinted>
  <dcterms:created xsi:type="dcterms:W3CDTF">2021-11-16T13:44:00Z</dcterms:created>
  <dcterms:modified xsi:type="dcterms:W3CDTF">2021-11-16T21:30:00Z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